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205"/>
      </w:tblGrid>
      <w:tr w:rsidR="005263ED" w14:paraId="20CEE74A" w14:textId="77777777" w:rsidTr="002F16E1">
        <w:tc>
          <w:tcPr>
            <w:tcW w:w="10421" w:type="dxa"/>
            <w:shd w:val="clear" w:color="auto" w:fill="auto"/>
          </w:tcPr>
          <w:p w14:paraId="19BA72B2" w14:textId="77777777" w:rsidR="005263ED" w:rsidRPr="002F16E1" w:rsidRDefault="00196026" w:rsidP="002F16E1">
            <w:pPr>
              <w:jc w:val="center"/>
              <w:rPr>
                <w:b/>
                <w:sz w:val="18"/>
                <w:szCs w:val="18"/>
              </w:rPr>
            </w:pPr>
            <w:r w:rsidRPr="002F16E1">
              <w:rPr>
                <w:b/>
                <w:sz w:val="18"/>
                <w:szCs w:val="18"/>
              </w:rPr>
              <w:t>CRITICALLY APPRAISED TOPIC</w:t>
            </w:r>
          </w:p>
        </w:tc>
      </w:tr>
    </w:tbl>
    <w:p w14:paraId="3C8BC671"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56C52D2E" w14:textId="77777777" w:rsidTr="002F16E1">
        <w:tc>
          <w:tcPr>
            <w:tcW w:w="10421" w:type="dxa"/>
            <w:shd w:val="clear" w:color="auto" w:fill="auto"/>
          </w:tcPr>
          <w:p w14:paraId="5948BE9B" w14:textId="1DDD427E" w:rsidR="008B5180" w:rsidRPr="002F16E1" w:rsidRDefault="00C93616" w:rsidP="002F16E1">
            <w:pPr>
              <w:spacing w:before="120" w:after="120"/>
              <w:rPr>
                <w:sz w:val="16"/>
                <w:szCs w:val="16"/>
              </w:rPr>
            </w:pPr>
            <w:r>
              <w:rPr>
                <w:sz w:val="18"/>
                <w:szCs w:val="18"/>
              </w:rPr>
              <w:t xml:space="preserve">For a 60 </w:t>
            </w:r>
            <w:proofErr w:type="spellStart"/>
            <w:r>
              <w:rPr>
                <w:sz w:val="18"/>
                <w:szCs w:val="18"/>
              </w:rPr>
              <w:t>yo</w:t>
            </w:r>
            <w:proofErr w:type="spellEnd"/>
            <w:r>
              <w:rPr>
                <w:sz w:val="18"/>
                <w:szCs w:val="18"/>
              </w:rPr>
              <w:t xml:space="preserve"> female with a </w:t>
            </w:r>
            <w:r w:rsidR="00341C17">
              <w:rPr>
                <w:sz w:val="18"/>
                <w:szCs w:val="18"/>
              </w:rPr>
              <w:t>lower extremity</w:t>
            </w:r>
            <w:r w:rsidR="00003D56">
              <w:rPr>
                <w:sz w:val="18"/>
                <w:szCs w:val="18"/>
              </w:rPr>
              <w:t xml:space="preserve"> </w:t>
            </w:r>
            <w:r w:rsidR="00341C17">
              <w:rPr>
                <w:sz w:val="18"/>
                <w:szCs w:val="18"/>
              </w:rPr>
              <w:t>deep vein thrombosis</w:t>
            </w:r>
            <w:r>
              <w:rPr>
                <w:sz w:val="18"/>
                <w:szCs w:val="18"/>
              </w:rPr>
              <w:t xml:space="preserve"> diagnosed in the last 24 hours (P)</w:t>
            </w:r>
            <w:r w:rsidR="00003D56">
              <w:rPr>
                <w:sz w:val="18"/>
                <w:szCs w:val="18"/>
              </w:rPr>
              <w:t xml:space="preserve">, is early ambulation </w:t>
            </w:r>
            <w:r>
              <w:rPr>
                <w:sz w:val="18"/>
                <w:szCs w:val="18"/>
              </w:rPr>
              <w:t xml:space="preserve">(I) </w:t>
            </w:r>
            <w:r w:rsidR="00003D56">
              <w:rPr>
                <w:sz w:val="18"/>
                <w:szCs w:val="18"/>
              </w:rPr>
              <w:t>or bed rest</w:t>
            </w:r>
            <w:r>
              <w:rPr>
                <w:sz w:val="18"/>
                <w:szCs w:val="18"/>
              </w:rPr>
              <w:t xml:space="preserve"> (C)</w:t>
            </w:r>
            <w:r w:rsidR="00003D56">
              <w:rPr>
                <w:sz w:val="18"/>
                <w:szCs w:val="18"/>
              </w:rPr>
              <w:t xml:space="preserve"> more appropriate to reduce incidence of pulmonary embolism, recurrence of DVT, post-thrombotic syndrome and mortality</w:t>
            </w:r>
            <w:r>
              <w:rPr>
                <w:sz w:val="18"/>
                <w:szCs w:val="18"/>
              </w:rPr>
              <w:t xml:space="preserve"> (O)</w:t>
            </w:r>
            <w:r w:rsidR="00003D56">
              <w:rPr>
                <w:sz w:val="18"/>
                <w:szCs w:val="18"/>
              </w:rPr>
              <w:t xml:space="preserve"> in the acute care setting?</w:t>
            </w:r>
          </w:p>
        </w:tc>
      </w:tr>
    </w:tbl>
    <w:p w14:paraId="656314A0" w14:textId="77777777" w:rsidR="00554FFC" w:rsidRDefault="00554FFC" w:rsidP="00077862">
      <w:pPr>
        <w:spacing w:before="120" w:after="120"/>
        <w:rPr>
          <w:b/>
          <w:sz w:val="18"/>
          <w:szCs w:val="18"/>
        </w:rPr>
      </w:pPr>
    </w:p>
    <w:p w14:paraId="251B32F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668"/>
        <w:gridCol w:w="1094"/>
        <w:gridCol w:w="2553"/>
      </w:tblGrid>
      <w:tr w:rsidR="003A6741" w:rsidRPr="002F16E1" w14:paraId="6DBA9EFD" w14:textId="77777777" w:rsidTr="002F16E1">
        <w:tc>
          <w:tcPr>
            <w:tcW w:w="1908" w:type="dxa"/>
            <w:shd w:val="clear" w:color="auto" w:fill="auto"/>
          </w:tcPr>
          <w:p w14:paraId="1F7E01D9"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019A172" w14:textId="5E1C9180" w:rsidR="003A6741" w:rsidRPr="002F16E1" w:rsidRDefault="00003D56" w:rsidP="002F16E1">
            <w:pPr>
              <w:spacing w:before="120" w:after="120"/>
              <w:rPr>
                <w:sz w:val="18"/>
                <w:szCs w:val="18"/>
              </w:rPr>
            </w:pPr>
            <w:r>
              <w:rPr>
                <w:sz w:val="18"/>
                <w:szCs w:val="18"/>
              </w:rPr>
              <w:t>Caroline Ballard</w:t>
            </w:r>
          </w:p>
        </w:tc>
        <w:tc>
          <w:tcPr>
            <w:tcW w:w="1107" w:type="dxa"/>
            <w:shd w:val="clear" w:color="auto" w:fill="auto"/>
          </w:tcPr>
          <w:p w14:paraId="3253746C"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6A61D30" w14:textId="64AFBAE5" w:rsidR="003A6741" w:rsidRPr="002F16E1" w:rsidRDefault="00003D56" w:rsidP="002F16E1">
            <w:pPr>
              <w:spacing w:before="120" w:after="120"/>
              <w:rPr>
                <w:sz w:val="18"/>
                <w:szCs w:val="18"/>
              </w:rPr>
            </w:pPr>
            <w:r>
              <w:rPr>
                <w:sz w:val="18"/>
                <w:szCs w:val="18"/>
              </w:rPr>
              <w:t>11/30/21</w:t>
            </w:r>
          </w:p>
        </w:tc>
      </w:tr>
      <w:tr w:rsidR="008B031E" w:rsidRPr="002F16E1" w14:paraId="20D245DB" w14:textId="77777777" w:rsidTr="002F16E1">
        <w:tc>
          <w:tcPr>
            <w:tcW w:w="1908" w:type="dxa"/>
            <w:shd w:val="clear" w:color="auto" w:fill="auto"/>
          </w:tcPr>
          <w:p w14:paraId="2B7246F9"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5A198A0F" w14:textId="727D1AD1" w:rsidR="008B031E" w:rsidRPr="002F16E1" w:rsidRDefault="00003D56" w:rsidP="002F16E1">
            <w:pPr>
              <w:spacing w:before="120" w:after="120"/>
              <w:rPr>
                <w:sz w:val="18"/>
                <w:szCs w:val="18"/>
              </w:rPr>
            </w:pPr>
            <w:r>
              <w:rPr>
                <w:sz w:val="18"/>
                <w:szCs w:val="18"/>
              </w:rPr>
              <w:t>caroline_guthrie@med.unc.edu</w:t>
            </w:r>
          </w:p>
        </w:tc>
      </w:tr>
    </w:tbl>
    <w:p w14:paraId="3DCEA552" w14:textId="77777777" w:rsidR="00554FFC" w:rsidRDefault="00554FFC" w:rsidP="00A66A42">
      <w:pPr>
        <w:spacing w:before="120" w:after="120"/>
        <w:rPr>
          <w:b/>
          <w:sz w:val="18"/>
          <w:szCs w:val="18"/>
        </w:rPr>
      </w:pPr>
    </w:p>
    <w:p w14:paraId="3BA90E8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4066C840" w14:textId="77777777" w:rsidTr="002F16E1">
        <w:tc>
          <w:tcPr>
            <w:tcW w:w="10421" w:type="dxa"/>
            <w:shd w:val="clear" w:color="auto" w:fill="auto"/>
          </w:tcPr>
          <w:p w14:paraId="1A260A53" w14:textId="09F44EEC" w:rsidR="00A66A42" w:rsidRPr="002F16E1" w:rsidRDefault="00003D56" w:rsidP="00003D56">
            <w:pPr>
              <w:spacing w:before="120" w:after="120"/>
              <w:rPr>
                <w:b/>
                <w:sz w:val="18"/>
                <w:szCs w:val="18"/>
              </w:rPr>
            </w:pPr>
            <w:r>
              <w:rPr>
                <w:sz w:val="18"/>
                <w:szCs w:val="18"/>
              </w:rPr>
              <w:t xml:space="preserve">A 60 </w:t>
            </w:r>
            <w:proofErr w:type="spellStart"/>
            <w:r>
              <w:rPr>
                <w:sz w:val="18"/>
                <w:szCs w:val="18"/>
              </w:rPr>
              <w:t>yo</w:t>
            </w:r>
            <w:proofErr w:type="spellEnd"/>
            <w:r>
              <w:rPr>
                <w:sz w:val="18"/>
                <w:szCs w:val="18"/>
              </w:rPr>
              <w:t xml:space="preserve"> female patient </w:t>
            </w:r>
            <w:r w:rsidR="00C93616">
              <w:rPr>
                <w:sz w:val="18"/>
                <w:szCs w:val="18"/>
              </w:rPr>
              <w:t xml:space="preserve">is </w:t>
            </w:r>
            <w:r>
              <w:rPr>
                <w:sz w:val="18"/>
                <w:szCs w:val="18"/>
              </w:rPr>
              <w:t xml:space="preserve">admitted to the hospital with </w:t>
            </w:r>
            <w:r w:rsidR="00590A83">
              <w:rPr>
                <w:sz w:val="18"/>
                <w:szCs w:val="18"/>
              </w:rPr>
              <w:t xml:space="preserve">a </w:t>
            </w:r>
            <w:r>
              <w:rPr>
                <w:sz w:val="18"/>
                <w:szCs w:val="18"/>
              </w:rPr>
              <w:t>primary diagnosis of failure to thrive</w:t>
            </w:r>
            <w:proofErr w:type="gramStart"/>
            <w:r>
              <w:rPr>
                <w:sz w:val="18"/>
                <w:szCs w:val="18"/>
              </w:rPr>
              <w:t xml:space="preserve">.  </w:t>
            </w:r>
            <w:proofErr w:type="gramEnd"/>
            <w:r>
              <w:rPr>
                <w:sz w:val="18"/>
                <w:szCs w:val="18"/>
              </w:rPr>
              <w:t>Patient has comorbidities of BMI &gt;35, CHF, Type II DM, peripheral neuropathy</w:t>
            </w:r>
            <w:proofErr w:type="gramStart"/>
            <w:r>
              <w:rPr>
                <w:sz w:val="18"/>
                <w:szCs w:val="18"/>
              </w:rPr>
              <w:t xml:space="preserve">.  </w:t>
            </w:r>
            <w:proofErr w:type="gramEnd"/>
            <w:r>
              <w:rPr>
                <w:sz w:val="18"/>
                <w:szCs w:val="18"/>
              </w:rPr>
              <w:t>Since admission the patient has been immobile and begins complaining of pain in her right calf</w:t>
            </w:r>
            <w:proofErr w:type="gramStart"/>
            <w:r>
              <w:rPr>
                <w:sz w:val="18"/>
                <w:szCs w:val="18"/>
              </w:rPr>
              <w:t xml:space="preserve">.  </w:t>
            </w:r>
            <w:proofErr w:type="gramEnd"/>
            <w:r>
              <w:rPr>
                <w:sz w:val="18"/>
                <w:szCs w:val="18"/>
              </w:rPr>
              <w:t>With imaging, a DVT was discovered in her posterior tibial vein</w:t>
            </w:r>
            <w:proofErr w:type="gramStart"/>
            <w:r>
              <w:rPr>
                <w:sz w:val="18"/>
                <w:szCs w:val="18"/>
              </w:rPr>
              <w:t xml:space="preserve">.  </w:t>
            </w:r>
            <w:proofErr w:type="gramEnd"/>
            <w:r>
              <w:rPr>
                <w:sz w:val="18"/>
                <w:szCs w:val="18"/>
              </w:rPr>
              <w:t>Her medical team has proceeded to treat with anticoagulants and an order remains from yesterday for “PT eval and treat” and “progressive mobility”</w:t>
            </w:r>
            <w:proofErr w:type="gramStart"/>
            <w:r>
              <w:rPr>
                <w:sz w:val="18"/>
                <w:szCs w:val="18"/>
              </w:rPr>
              <w:t xml:space="preserve">.  </w:t>
            </w:r>
            <w:proofErr w:type="gramEnd"/>
            <w:r>
              <w:rPr>
                <w:sz w:val="18"/>
                <w:szCs w:val="18"/>
              </w:rPr>
              <w:t>Due to the risk for developing a fatal PE, it is critical that physical therapists proceed with caution when patients are at risk for or have a confirmed LE DVT</w:t>
            </w:r>
            <w:proofErr w:type="gramStart"/>
            <w:r>
              <w:rPr>
                <w:sz w:val="18"/>
                <w:szCs w:val="18"/>
              </w:rPr>
              <w:t xml:space="preserve">.  </w:t>
            </w:r>
            <w:proofErr w:type="gramEnd"/>
            <w:r>
              <w:rPr>
                <w:sz w:val="18"/>
                <w:szCs w:val="18"/>
              </w:rPr>
              <w:t>Evidence also supports early mobility for hospitalized patients to reduce risk of readmission, debility and falls</w:t>
            </w:r>
            <w:proofErr w:type="gramStart"/>
            <w:r>
              <w:rPr>
                <w:sz w:val="18"/>
                <w:szCs w:val="18"/>
              </w:rPr>
              <w:t xml:space="preserve">.  </w:t>
            </w:r>
            <w:proofErr w:type="gramEnd"/>
            <w:r>
              <w:rPr>
                <w:sz w:val="18"/>
                <w:szCs w:val="18"/>
              </w:rPr>
              <w:t>Clinical research is needed to identify the most recent mobility recommendations and considerations for patients with recent diagnoses of LE DVT.</w:t>
            </w:r>
          </w:p>
        </w:tc>
      </w:tr>
    </w:tbl>
    <w:p w14:paraId="421D1EA2" w14:textId="77777777" w:rsidR="00554FFC" w:rsidRDefault="00554FFC" w:rsidP="00A66A42">
      <w:pPr>
        <w:spacing w:before="120"/>
        <w:rPr>
          <w:b/>
          <w:sz w:val="18"/>
          <w:szCs w:val="18"/>
        </w:rPr>
      </w:pPr>
    </w:p>
    <w:p w14:paraId="722D0F74" w14:textId="77777777" w:rsidR="00A66A42" w:rsidRPr="00A66A42" w:rsidRDefault="00A66A42" w:rsidP="00A66A42">
      <w:pPr>
        <w:spacing w:before="120"/>
        <w:rPr>
          <w:b/>
          <w:sz w:val="18"/>
          <w:szCs w:val="18"/>
        </w:rPr>
      </w:pPr>
      <w:r w:rsidRPr="00A66A42">
        <w:rPr>
          <w:b/>
          <w:sz w:val="18"/>
          <w:szCs w:val="18"/>
        </w:rPr>
        <w:t>SUMMARY OF SEARCH</w:t>
      </w:r>
    </w:p>
    <w:p w14:paraId="45B6D6D7"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64C2A3D5" w14:textId="77777777" w:rsidTr="002F16E1">
        <w:tc>
          <w:tcPr>
            <w:tcW w:w="10421" w:type="dxa"/>
            <w:shd w:val="clear" w:color="auto" w:fill="auto"/>
          </w:tcPr>
          <w:p w14:paraId="125CE022" w14:textId="4CE39B64" w:rsidR="00A66A42" w:rsidRDefault="005D7E64" w:rsidP="002F16E1">
            <w:pPr>
              <w:spacing w:before="120" w:after="120"/>
              <w:rPr>
                <w:sz w:val="18"/>
                <w:szCs w:val="18"/>
              </w:rPr>
            </w:pPr>
            <w:r>
              <w:rPr>
                <w:sz w:val="18"/>
                <w:szCs w:val="18"/>
              </w:rPr>
              <w:t>Eight studies met the inclusion and exclusion criteria including 5 systematic reviews, 1 prospective RCT, 1 retrospective quasi-experimental study and 1 clinical practice guideline.</w:t>
            </w:r>
          </w:p>
          <w:p w14:paraId="52CD36A0" w14:textId="39B44380" w:rsidR="005D7E64" w:rsidRDefault="005D7E64" w:rsidP="005D7E64">
            <w:pPr>
              <w:pStyle w:val="ListParagraph"/>
              <w:numPr>
                <w:ilvl w:val="0"/>
                <w:numId w:val="16"/>
              </w:numPr>
              <w:spacing w:before="120" w:after="120"/>
              <w:rPr>
                <w:sz w:val="18"/>
                <w:szCs w:val="18"/>
              </w:rPr>
            </w:pPr>
            <w:r>
              <w:rPr>
                <w:sz w:val="18"/>
                <w:szCs w:val="18"/>
              </w:rPr>
              <w:t xml:space="preserve">Early ambulation as an intervention in patients with a diagnosed acute </w:t>
            </w:r>
            <w:r w:rsidR="00341C17">
              <w:rPr>
                <w:sz w:val="18"/>
                <w:szCs w:val="18"/>
              </w:rPr>
              <w:t>lower extremity deep vein thrombosis (</w:t>
            </w:r>
            <w:r>
              <w:rPr>
                <w:sz w:val="18"/>
                <w:szCs w:val="18"/>
              </w:rPr>
              <w:t>DVT</w:t>
            </w:r>
            <w:r w:rsidR="00341C17">
              <w:rPr>
                <w:sz w:val="18"/>
                <w:szCs w:val="18"/>
              </w:rPr>
              <w:t>)</w:t>
            </w:r>
            <w:r>
              <w:rPr>
                <w:sz w:val="18"/>
                <w:szCs w:val="18"/>
              </w:rPr>
              <w:t xml:space="preserve"> does not put patients at increased risk for developing a pulmonary embolism, progression of the DVT or mortality when compared to bed rest.</w:t>
            </w:r>
            <w:hyperlink r:id="rId5" w:history="1">
              <w:r w:rsidR="00993179" w:rsidRPr="00993179">
                <w:rPr>
                  <w:rStyle w:val="Hyperlink"/>
                  <w:color w:val="000000"/>
                  <w:sz w:val="18"/>
                  <w:u w:val="none"/>
                  <w:vertAlign w:val="superscript"/>
                </w:rPr>
                <w:t>1</w:t>
              </w:r>
            </w:hyperlink>
          </w:p>
          <w:p w14:paraId="791331E5" w14:textId="34B873DC" w:rsidR="005D7E64" w:rsidRDefault="005D7E64" w:rsidP="005D7E64">
            <w:pPr>
              <w:pStyle w:val="ListParagraph"/>
              <w:numPr>
                <w:ilvl w:val="0"/>
                <w:numId w:val="16"/>
              </w:numPr>
              <w:spacing w:before="120" w:after="120"/>
              <w:rPr>
                <w:sz w:val="18"/>
                <w:szCs w:val="18"/>
              </w:rPr>
            </w:pPr>
            <w:r>
              <w:rPr>
                <w:sz w:val="18"/>
                <w:szCs w:val="18"/>
              </w:rPr>
              <w:t xml:space="preserve">Early ambulation is </w:t>
            </w:r>
            <w:proofErr w:type="spellStart"/>
            <w:r>
              <w:rPr>
                <w:sz w:val="18"/>
                <w:szCs w:val="18"/>
              </w:rPr>
              <w:t>favored</w:t>
            </w:r>
            <w:proofErr w:type="spellEnd"/>
            <w:r>
              <w:rPr>
                <w:sz w:val="18"/>
                <w:szCs w:val="18"/>
              </w:rPr>
              <w:t xml:space="preserve"> over bed rest </w:t>
            </w:r>
            <w:r w:rsidR="00A36D14">
              <w:rPr>
                <w:sz w:val="18"/>
                <w:szCs w:val="18"/>
              </w:rPr>
              <w:t>when comparing proportions of individuals in each group who experienced a DVT-related adverse event.</w:t>
            </w:r>
            <w:hyperlink r:id="rId6" w:history="1">
              <w:r w:rsidR="00993179" w:rsidRPr="00993179">
                <w:rPr>
                  <w:rStyle w:val="Hyperlink"/>
                  <w:color w:val="000000"/>
                  <w:sz w:val="18"/>
                  <w:u w:val="none"/>
                  <w:vertAlign w:val="superscript"/>
                </w:rPr>
                <w:t>1</w:t>
              </w:r>
            </w:hyperlink>
          </w:p>
          <w:p w14:paraId="394C0720" w14:textId="17FF4090" w:rsidR="00400D14" w:rsidRPr="005D7E64" w:rsidRDefault="005D7E64" w:rsidP="0045429F">
            <w:pPr>
              <w:pStyle w:val="ListParagraph"/>
              <w:numPr>
                <w:ilvl w:val="0"/>
                <w:numId w:val="16"/>
              </w:numPr>
              <w:spacing w:before="120" w:after="120"/>
              <w:rPr>
                <w:sz w:val="18"/>
                <w:szCs w:val="18"/>
              </w:rPr>
            </w:pPr>
            <w:r w:rsidRPr="005D7E64">
              <w:rPr>
                <w:sz w:val="18"/>
                <w:szCs w:val="18"/>
              </w:rPr>
              <w:t>Early ambulation should be initiated immediately after peak therapeutic levels of the prescribed anticoagulant have been achieved.</w:t>
            </w:r>
            <w:hyperlink r:id="rId7" w:history="1">
              <w:r w:rsidR="00993179" w:rsidRPr="00993179">
                <w:rPr>
                  <w:rStyle w:val="Hyperlink"/>
                  <w:color w:val="000000"/>
                  <w:sz w:val="18"/>
                  <w:u w:val="none"/>
                  <w:vertAlign w:val="superscript"/>
                </w:rPr>
                <w:t>2</w:t>
              </w:r>
            </w:hyperlink>
          </w:p>
          <w:p w14:paraId="34BA28F9" w14:textId="77777777" w:rsidR="00A66A42" w:rsidRPr="002F16E1" w:rsidRDefault="00A66A42" w:rsidP="002F16E1">
            <w:pPr>
              <w:spacing w:before="120" w:after="120"/>
              <w:rPr>
                <w:sz w:val="18"/>
                <w:szCs w:val="18"/>
              </w:rPr>
            </w:pPr>
          </w:p>
        </w:tc>
      </w:tr>
    </w:tbl>
    <w:p w14:paraId="1A14183E"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1A91139A" w14:textId="77777777" w:rsidTr="002F16E1">
        <w:tc>
          <w:tcPr>
            <w:tcW w:w="10421" w:type="dxa"/>
            <w:shd w:val="clear" w:color="auto" w:fill="auto"/>
          </w:tcPr>
          <w:p w14:paraId="071A6493" w14:textId="428DED2D" w:rsidR="00637684" w:rsidRPr="002F16E1" w:rsidRDefault="00341C17" w:rsidP="00F92A2F">
            <w:pPr>
              <w:spacing w:before="120" w:after="120"/>
              <w:rPr>
                <w:sz w:val="18"/>
                <w:szCs w:val="18"/>
              </w:rPr>
            </w:pPr>
            <w:r>
              <w:rPr>
                <w:sz w:val="18"/>
                <w:szCs w:val="18"/>
              </w:rPr>
              <w:t>Patients who have been diagnosed with an acute lower extremity DVT should participate in early ambulation after therapeutic levels of anticoagulant have been achieved</w:t>
            </w:r>
            <w:proofErr w:type="gramStart"/>
            <w:r>
              <w:rPr>
                <w:sz w:val="18"/>
                <w:szCs w:val="18"/>
              </w:rPr>
              <w:t>.</w:t>
            </w:r>
            <w:r w:rsidR="00F92A2F">
              <w:rPr>
                <w:sz w:val="18"/>
                <w:szCs w:val="18"/>
              </w:rPr>
              <w:t xml:space="preserve">  </w:t>
            </w:r>
            <w:proofErr w:type="gramEnd"/>
            <w:r w:rsidR="00F92A2F">
              <w:rPr>
                <w:sz w:val="18"/>
                <w:szCs w:val="18"/>
              </w:rPr>
              <w:t>Early ambulation does not increase the clinically meaningful outcomes of pulmonary embolism, progression of the DVT or mortality compared to individuals prescribed bed rest.</w:t>
            </w:r>
          </w:p>
        </w:tc>
      </w:tr>
    </w:tbl>
    <w:p w14:paraId="4AA9B743"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4DDD0AC5" w14:textId="77777777" w:rsidTr="002F16E1">
        <w:tc>
          <w:tcPr>
            <w:tcW w:w="10421" w:type="dxa"/>
            <w:shd w:val="clear" w:color="auto" w:fill="E6E6E6"/>
          </w:tcPr>
          <w:p w14:paraId="6BE867A5"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3F2FBB6"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0BAF4E49"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826"/>
        <w:gridCol w:w="2327"/>
        <w:gridCol w:w="2529"/>
      </w:tblGrid>
      <w:tr w:rsidR="00554FFC" w:rsidRPr="002F16E1" w14:paraId="4115B339" w14:textId="77777777" w:rsidTr="009E380F">
        <w:tc>
          <w:tcPr>
            <w:tcW w:w="10908" w:type="dxa"/>
            <w:gridSpan w:val="4"/>
            <w:shd w:val="clear" w:color="auto" w:fill="E6E6E6"/>
          </w:tcPr>
          <w:p w14:paraId="5F5AFFD7"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92F01FA" w14:textId="77777777" w:rsidTr="009E380F">
        <w:tc>
          <w:tcPr>
            <w:tcW w:w="2628" w:type="dxa"/>
            <w:tcBorders>
              <w:right w:val="single" w:sz="8" w:space="0" w:color="auto"/>
            </w:tcBorders>
            <w:shd w:val="clear" w:color="auto" w:fill="auto"/>
          </w:tcPr>
          <w:p w14:paraId="78895C8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8B0C56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40919FD0"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2DACCC86"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15C7DC90" w14:textId="77777777" w:rsidTr="009E380F">
        <w:tc>
          <w:tcPr>
            <w:tcW w:w="2628" w:type="dxa"/>
            <w:tcBorders>
              <w:right w:val="single" w:sz="8" w:space="0" w:color="auto"/>
            </w:tcBorders>
            <w:shd w:val="clear" w:color="auto" w:fill="auto"/>
          </w:tcPr>
          <w:p w14:paraId="2ED2D011" w14:textId="77777777" w:rsidR="00003D56" w:rsidRDefault="00003D56" w:rsidP="00003D56">
            <w:pPr>
              <w:spacing w:before="120" w:after="120"/>
              <w:rPr>
                <w:rFonts w:ascii="Arial" w:hAnsi="Arial"/>
              </w:rPr>
            </w:pPr>
            <w:r>
              <w:rPr>
                <w:rFonts w:ascii="Arial" w:hAnsi="Arial"/>
              </w:rPr>
              <w:t>Deep vein thrombosis</w:t>
            </w:r>
          </w:p>
          <w:p w14:paraId="6884DDD0" w14:textId="77777777" w:rsidR="00003D56" w:rsidRDefault="00003D56" w:rsidP="00003D56">
            <w:pPr>
              <w:spacing w:before="120" w:after="120"/>
              <w:rPr>
                <w:rFonts w:ascii="Arial" w:hAnsi="Arial"/>
              </w:rPr>
            </w:pPr>
            <w:r>
              <w:rPr>
                <w:rFonts w:ascii="Arial" w:hAnsi="Arial"/>
              </w:rPr>
              <w:t>Venous thrombosis</w:t>
            </w:r>
          </w:p>
          <w:p w14:paraId="4C3E52E6" w14:textId="77777777" w:rsidR="00003D56" w:rsidRDefault="00003D56" w:rsidP="00003D56">
            <w:pPr>
              <w:spacing w:before="120" w:after="120"/>
              <w:rPr>
                <w:rFonts w:ascii="Arial" w:hAnsi="Arial"/>
              </w:rPr>
            </w:pPr>
            <w:r>
              <w:rPr>
                <w:rFonts w:ascii="Arial" w:hAnsi="Arial"/>
              </w:rPr>
              <w:t>Venous thromboembolism</w:t>
            </w:r>
          </w:p>
          <w:p w14:paraId="7B6BB0BA" w14:textId="0DFF0F55" w:rsidR="00554FFC" w:rsidRPr="002F16E1" w:rsidRDefault="00003D56" w:rsidP="00003D56">
            <w:pPr>
              <w:spacing w:before="120" w:after="120"/>
              <w:rPr>
                <w:rFonts w:ascii="Arial" w:hAnsi="Arial"/>
              </w:rPr>
            </w:pPr>
            <w:r>
              <w:rPr>
                <w:rFonts w:ascii="Arial" w:hAnsi="Arial"/>
              </w:rPr>
              <w:t>Lower extremity DVT</w:t>
            </w:r>
          </w:p>
        </w:tc>
        <w:tc>
          <w:tcPr>
            <w:tcW w:w="3060" w:type="dxa"/>
            <w:tcBorders>
              <w:left w:val="single" w:sz="8" w:space="0" w:color="auto"/>
            </w:tcBorders>
            <w:shd w:val="clear" w:color="auto" w:fill="auto"/>
          </w:tcPr>
          <w:p w14:paraId="25408592" w14:textId="77777777" w:rsidR="00003D56" w:rsidRDefault="00003D56" w:rsidP="00003D56">
            <w:pPr>
              <w:spacing w:before="120" w:after="120"/>
              <w:rPr>
                <w:rFonts w:ascii="Arial" w:hAnsi="Arial"/>
              </w:rPr>
            </w:pPr>
            <w:proofErr w:type="spellStart"/>
            <w:r>
              <w:rPr>
                <w:rFonts w:ascii="Arial" w:hAnsi="Arial"/>
              </w:rPr>
              <w:t>Ambulat</w:t>
            </w:r>
            <w:proofErr w:type="spellEnd"/>
            <w:r>
              <w:rPr>
                <w:rFonts w:ascii="Arial" w:hAnsi="Arial"/>
              </w:rPr>
              <w:t>*</w:t>
            </w:r>
          </w:p>
          <w:p w14:paraId="375107FC" w14:textId="77777777" w:rsidR="00003D56" w:rsidRDefault="00003D56" w:rsidP="00003D56">
            <w:pPr>
              <w:spacing w:before="120" w:after="120"/>
              <w:rPr>
                <w:rFonts w:ascii="Arial" w:hAnsi="Arial"/>
              </w:rPr>
            </w:pPr>
            <w:r>
              <w:rPr>
                <w:rFonts w:ascii="Arial" w:hAnsi="Arial"/>
              </w:rPr>
              <w:t>Gait training</w:t>
            </w:r>
          </w:p>
          <w:p w14:paraId="3AAC0F23" w14:textId="77777777" w:rsidR="00003D56" w:rsidRDefault="00003D56" w:rsidP="00003D56">
            <w:pPr>
              <w:spacing w:before="120" w:after="120"/>
              <w:rPr>
                <w:rFonts w:ascii="Arial" w:hAnsi="Arial"/>
              </w:rPr>
            </w:pPr>
            <w:r>
              <w:rPr>
                <w:rFonts w:ascii="Arial" w:hAnsi="Arial"/>
              </w:rPr>
              <w:t>Gait</w:t>
            </w:r>
          </w:p>
          <w:p w14:paraId="75CD7B37" w14:textId="77777777" w:rsidR="00003D56" w:rsidRDefault="00003D56" w:rsidP="00003D56">
            <w:pPr>
              <w:spacing w:before="120" w:after="120"/>
              <w:rPr>
                <w:rFonts w:ascii="Arial" w:hAnsi="Arial"/>
              </w:rPr>
            </w:pPr>
            <w:r>
              <w:rPr>
                <w:rFonts w:ascii="Arial" w:hAnsi="Arial"/>
              </w:rPr>
              <w:t>Walk*</w:t>
            </w:r>
          </w:p>
          <w:p w14:paraId="66FCF473" w14:textId="77777777" w:rsidR="00003D56" w:rsidRDefault="00003D56" w:rsidP="00003D56">
            <w:pPr>
              <w:spacing w:before="120" w:after="120"/>
              <w:rPr>
                <w:rFonts w:ascii="Arial" w:hAnsi="Arial"/>
              </w:rPr>
            </w:pPr>
            <w:r>
              <w:rPr>
                <w:rFonts w:ascii="Arial" w:hAnsi="Arial"/>
              </w:rPr>
              <w:t>Early mobility</w:t>
            </w:r>
          </w:p>
          <w:p w14:paraId="113AC934" w14:textId="77777777" w:rsidR="00003D56" w:rsidRDefault="00003D56" w:rsidP="00003D56">
            <w:pPr>
              <w:spacing w:before="120" w:after="120"/>
              <w:rPr>
                <w:rFonts w:ascii="Arial" w:hAnsi="Arial"/>
              </w:rPr>
            </w:pPr>
            <w:r>
              <w:rPr>
                <w:rFonts w:ascii="Arial" w:hAnsi="Arial"/>
              </w:rPr>
              <w:t>Early ambulation</w:t>
            </w:r>
          </w:p>
          <w:p w14:paraId="1745992C" w14:textId="77777777" w:rsidR="00003D56" w:rsidRDefault="00003D56" w:rsidP="00003D56">
            <w:pPr>
              <w:spacing w:before="120" w:after="120"/>
              <w:rPr>
                <w:rFonts w:ascii="Arial" w:hAnsi="Arial"/>
              </w:rPr>
            </w:pPr>
            <w:r>
              <w:rPr>
                <w:rFonts w:ascii="Arial" w:hAnsi="Arial"/>
              </w:rPr>
              <w:t>Mobility</w:t>
            </w:r>
          </w:p>
          <w:p w14:paraId="6D67D8C3" w14:textId="6411F92F" w:rsidR="00554FFC" w:rsidRPr="002F16E1" w:rsidRDefault="00003D56" w:rsidP="00003D56">
            <w:pPr>
              <w:spacing w:before="120" w:after="120"/>
              <w:rPr>
                <w:rFonts w:ascii="Arial" w:hAnsi="Arial"/>
              </w:rPr>
            </w:pPr>
            <w:r>
              <w:rPr>
                <w:rFonts w:ascii="Arial" w:hAnsi="Arial"/>
              </w:rPr>
              <w:t>Range of motion, articular</w:t>
            </w:r>
          </w:p>
        </w:tc>
        <w:tc>
          <w:tcPr>
            <w:tcW w:w="2493" w:type="dxa"/>
            <w:tcBorders>
              <w:left w:val="single" w:sz="8" w:space="0" w:color="auto"/>
            </w:tcBorders>
            <w:shd w:val="clear" w:color="auto" w:fill="auto"/>
          </w:tcPr>
          <w:p w14:paraId="5A88A441" w14:textId="77777777" w:rsidR="00003D56" w:rsidRDefault="00003D56" w:rsidP="00003D56">
            <w:pPr>
              <w:spacing w:before="120" w:after="120"/>
              <w:rPr>
                <w:rFonts w:ascii="Arial" w:hAnsi="Arial"/>
              </w:rPr>
            </w:pPr>
            <w:r>
              <w:rPr>
                <w:rFonts w:ascii="Arial" w:hAnsi="Arial"/>
              </w:rPr>
              <w:t>Bed mobility</w:t>
            </w:r>
          </w:p>
          <w:p w14:paraId="47122ED3" w14:textId="77777777" w:rsidR="00003D56" w:rsidRDefault="00003D56" w:rsidP="00003D56">
            <w:pPr>
              <w:spacing w:before="120" w:after="120"/>
              <w:rPr>
                <w:rFonts w:ascii="Arial" w:hAnsi="Arial"/>
              </w:rPr>
            </w:pPr>
            <w:r>
              <w:rPr>
                <w:rFonts w:ascii="Arial" w:hAnsi="Arial"/>
              </w:rPr>
              <w:t>Therapeutic exercise</w:t>
            </w:r>
          </w:p>
          <w:p w14:paraId="1F9B2CFF" w14:textId="77777777" w:rsidR="00003D56" w:rsidRDefault="00003D56" w:rsidP="00003D56">
            <w:pPr>
              <w:spacing w:before="120" w:after="120"/>
              <w:rPr>
                <w:rFonts w:ascii="Arial" w:hAnsi="Arial"/>
              </w:rPr>
            </w:pPr>
            <w:r>
              <w:rPr>
                <w:rFonts w:ascii="Arial" w:hAnsi="Arial"/>
              </w:rPr>
              <w:t>Exercise therapy</w:t>
            </w:r>
          </w:p>
          <w:p w14:paraId="1F19EC09" w14:textId="77777777" w:rsidR="00003D56" w:rsidRDefault="00003D56" w:rsidP="00003D56">
            <w:pPr>
              <w:spacing w:before="120" w:after="120"/>
              <w:rPr>
                <w:rFonts w:ascii="Arial" w:hAnsi="Arial"/>
              </w:rPr>
            </w:pPr>
            <w:r>
              <w:rPr>
                <w:rFonts w:ascii="Arial" w:hAnsi="Arial"/>
              </w:rPr>
              <w:t xml:space="preserve">Exercise </w:t>
            </w:r>
          </w:p>
          <w:p w14:paraId="43F3A128" w14:textId="4080CDFE" w:rsidR="00554FFC" w:rsidRPr="002F16E1" w:rsidRDefault="00003D56" w:rsidP="00003D56">
            <w:pPr>
              <w:spacing w:before="120" w:after="120"/>
              <w:rPr>
                <w:rFonts w:ascii="Arial" w:hAnsi="Arial"/>
              </w:rPr>
            </w:pPr>
            <w:r>
              <w:rPr>
                <w:rFonts w:ascii="Arial" w:hAnsi="Arial"/>
              </w:rPr>
              <w:t>Functional transfers</w:t>
            </w:r>
          </w:p>
        </w:tc>
        <w:tc>
          <w:tcPr>
            <w:tcW w:w="2727" w:type="dxa"/>
            <w:tcBorders>
              <w:left w:val="single" w:sz="8" w:space="0" w:color="auto"/>
            </w:tcBorders>
            <w:shd w:val="clear" w:color="auto" w:fill="auto"/>
          </w:tcPr>
          <w:p w14:paraId="0275449C" w14:textId="77777777" w:rsidR="00003D56" w:rsidRDefault="00003D56" w:rsidP="00003D56">
            <w:pPr>
              <w:spacing w:before="120" w:after="120"/>
              <w:rPr>
                <w:rFonts w:ascii="Arial" w:hAnsi="Arial"/>
              </w:rPr>
            </w:pPr>
            <w:r>
              <w:rPr>
                <w:rFonts w:ascii="Arial" w:hAnsi="Arial"/>
              </w:rPr>
              <w:t>Mortality</w:t>
            </w:r>
          </w:p>
          <w:p w14:paraId="67D5D02A" w14:textId="77777777" w:rsidR="00003D56" w:rsidRDefault="00003D56" w:rsidP="00003D56">
            <w:pPr>
              <w:spacing w:before="120" w:after="120"/>
              <w:rPr>
                <w:rFonts w:ascii="Arial" w:hAnsi="Arial"/>
              </w:rPr>
            </w:pPr>
            <w:r>
              <w:rPr>
                <w:rFonts w:ascii="Arial" w:hAnsi="Arial"/>
              </w:rPr>
              <w:t>Length of stay</w:t>
            </w:r>
          </w:p>
          <w:p w14:paraId="109FBDA5" w14:textId="77777777" w:rsidR="00003D56" w:rsidRDefault="00003D56" w:rsidP="00003D56">
            <w:pPr>
              <w:spacing w:before="120" w:after="120"/>
              <w:rPr>
                <w:rFonts w:ascii="Arial" w:hAnsi="Arial"/>
              </w:rPr>
            </w:pPr>
            <w:r>
              <w:rPr>
                <w:rFonts w:ascii="Arial" w:hAnsi="Arial"/>
              </w:rPr>
              <w:t>Hospital readmission</w:t>
            </w:r>
          </w:p>
          <w:p w14:paraId="2BDB83E1" w14:textId="77777777" w:rsidR="00554FFC" w:rsidRDefault="00003D56" w:rsidP="00003D56">
            <w:pPr>
              <w:spacing w:before="120" w:after="120"/>
              <w:rPr>
                <w:rFonts w:ascii="Arial" w:hAnsi="Arial"/>
              </w:rPr>
            </w:pPr>
            <w:r>
              <w:rPr>
                <w:rFonts w:ascii="Arial" w:hAnsi="Arial"/>
              </w:rPr>
              <w:t>Patient readmission</w:t>
            </w:r>
          </w:p>
          <w:p w14:paraId="747A6028" w14:textId="56B93C11" w:rsidR="000F0E03" w:rsidRPr="002F16E1" w:rsidRDefault="000F0E03" w:rsidP="00003D56">
            <w:pPr>
              <w:spacing w:before="120" w:after="120"/>
              <w:rPr>
                <w:rFonts w:ascii="Arial" w:hAnsi="Arial"/>
              </w:rPr>
            </w:pPr>
            <w:r>
              <w:rPr>
                <w:rFonts w:ascii="Arial" w:hAnsi="Arial"/>
              </w:rPr>
              <w:t>Pulmonary embolism</w:t>
            </w:r>
          </w:p>
        </w:tc>
      </w:tr>
    </w:tbl>
    <w:p w14:paraId="2F6547DF" w14:textId="77777777" w:rsidR="00554FFC" w:rsidRDefault="00554FFC" w:rsidP="00554FFC"/>
    <w:p w14:paraId="5B82FB65"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4AF3332C"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6EFF04E2" w14:textId="6558261B" w:rsidR="00554FFC" w:rsidRDefault="006447DE" w:rsidP="00554FFC">
      <w:pPr>
        <w:spacing w:before="120" w:after="120"/>
        <w:rPr>
          <w:sz w:val="18"/>
          <w:szCs w:val="18"/>
        </w:rPr>
      </w:pPr>
      <w:r>
        <w:rPr>
          <w:sz w:val="18"/>
          <w:szCs w:val="18"/>
        </w:rPr>
        <w:t>1 ((Deep vein thrombosis) OR (venous thrombosis) OR (venous thromboembolism) OR (lower extremity DVT))</w:t>
      </w:r>
    </w:p>
    <w:p w14:paraId="01BAB694" w14:textId="4262941E" w:rsidR="006447DE" w:rsidRDefault="006447DE" w:rsidP="00554FFC">
      <w:pPr>
        <w:spacing w:before="120" w:after="120"/>
        <w:rPr>
          <w:sz w:val="18"/>
          <w:szCs w:val="18"/>
        </w:rPr>
      </w:pPr>
      <w:r>
        <w:rPr>
          <w:sz w:val="18"/>
          <w:szCs w:val="18"/>
        </w:rPr>
        <w:t>2 ((</w:t>
      </w:r>
      <w:proofErr w:type="spellStart"/>
      <w:r>
        <w:rPr>
          <w:sz w:val="18"/>
          <w:szCs w:val="18"/>
        </w:rPr>
        <w:t>Ambulat</w:t>
      </w:r>
      <w:proofErr w:type="spellEnd"/>
      <w:r>
        <w:rPr>
          <w:sz w:val="18"/>
          <w:szCs w:val="18"/>
        </w:rPr>
        <w:t>*) OR (gait training) OR (gait) OR</w:t>
      </w:r>
      <w:r w:rsidR="000F0E03">
        <w:rPr>
          <w:sz w:val="18"/>
          <w:szCs w:val="18"/>
        </w:rPr>
        <w:t xml:space="preserve"> (walk*) OR (early mobility) OR (early ambulation) OR (mobility) OR (range of motion, articular))</w:t>
      </w:r>
    </w:p>
    <w:p w14:paraId="5AD91624" w14:textId="5740FF54" w:rsidR="000F0E03" w:rsidRDefault="000F0E03" w:rsidP="00554FFC">
      <w:pPr>
        <w:spacing w:before="120" w:after="120"/>
        <w:rPr>
          <w:sz w:val="18"/>
          <w:szCs w:val="18"/>
        </w:rPr>
      </w:pPr>
      <w:r>
        <w:rPr>
          <w:sz w:val="18"/>
          <w:szCs w:val="18"/>
        </w:rPr>
        <w:t>3 ((Bed mobility) OR (therapeutic exercise) OR (exercise therapy) OR (exercise) OR (functional transfers))</w:t>
      </w:r>
    </w:p>
    <w:p w14:paraId="73901A3F" w14:textId="2A6C5E18" w:rsidR="000F0E03" w:rsidRDefault="000F0E03" w:rsidP="00554FFC">
      <w:pPr>
        <w:spacing w:before="120" w:after="120"/>
        <w:rPr>
          <w:sz w:val="18"/>
          <w:szCs w:val="18"/>
        </w:rPr>
      </w:pPr>
      <w:r>
        <w:rPr>
          <w:sz w:val="18"/>
          <w:szCs w:val="18"/>
        </w:rPr>
        <w:t>4 ((Mortality) OR (length of stay) OR (hospital readmission) OR (patient readmission) OR (pulmonary embolism))</w:t>
      </w:r>
    </w:p>
    <w:p w14:paraId="05B390E2" w14:textId="7BA8A13C" w:rsidR="000F0E03" w:rsidRDefault="000F0E03" w:rsidP="00554FFC">
      <w:pPr>
        <w:spacing w:before="120" w:after="120"/>
        <w:rPr>
          <w:sz w:val="18"/>
          <w:szCs w:val="18"/>
        </w:rPr>
      </w:pPr>
      <w:r>
        <w:rPr>
          <w:sz w:val="18"/>
          <w:szCs w:val="18"/>
        </w:rPr>
        <w:t>5 ((#1) AND (#2) AND (#3) AND (#4))</w:t>
      </w:r>
    </w:p>
    <w:p w14:paraId="0F3E82B8" w14:textId="709B815F" w:rsidR="000F0E03" w:rsidRDefault="000F0E03" w:rsidP="00554FFC">
      <w:pPr>
        <w:spacing w:before="120" w:after="120"/>
        <w:rPr>
          <w:sz w:val="18"/>
          <w:szCs w:val="18"/>
        </w:rPr>
      </w:pPr>
      <w:r>
        <w:rPr>
          <w:sz w:val="18"/>
          <w:szCs w:val="18"/>
        </w:rPr>
        <w:t>6 ((#1) AND (#2) AND (#3))</w:t>
      </w:r>
    </w:p>
    <w:p w14:paraId="18BF0689" w14:textId="40C2D005" w:rsidR="000F0E03" w:rsidRDefault="000F0E03" w:rsidP="00554FFC">
      <w:pPr>
        <w:spacing w:before="120" w:after="120"/>
        <w:rPr>
          <w:sz w:val="18"/>
          <w:szCs w:val="18"/>
        </w:rPr>
      </w:pPr>
      <w:r>
        <w:rPr>
          <w:sz w:val="18"/>
          <w:szCs w:val="18"/>
        </w:rPr>
        <w:t>7 (((Deep vein thrombosis) OR (venous thrombosis) OR (venous thromboembolism) OR (lower extremity)) NOT ((prevention) OR (prophylaxis)))</w:t>
      </w:r>
    </w:p>
    <w:p w14:paraId="0CB32FE1" w14:textId="431269CE" w:rsidR="000F0E03" w:rsidRDefault="000F0E03" w:rsidP="00554FFC">
      <w:pPr>
        <w:spacing w:before="120" w:after="120"/>
        <w:rPr>
          <w:sz w:val="18"/>
          <w:szCs w:val="18"/>
        </w:rPr>
      </w:pPr>
      <w:r>
        <w:rPr>
          <w:sz w:val="18"/>
          <w:szCs w:val="18"/>
        </w:rPr>
        <w:t>8 ((</w:t>
      </w:r>
      <w:r w:rsidR="008D1FE7">
        <w:rPr>
          <w:sz w:val="18"/>
          <w:szCs w:val="18"/>
        </w:rPr>
        <w:t>T</w:t>
      </w:r>
      <w:r>
        <w:rPr>
          <w:sz w:val="18"/>
          <w:szCs w:val="18"/>
        </w:rPr>
        <w:t xml:space="preserve">herapeutic </w:t>
      </w:r>
      <w:r w:rsidR="008D1FE7">
        <w:rPr>
          <w:sz w:val="18"/>
          <w:szCs w:val="18"/>
        </w:rPr>
        <w:t>exercise) OR (exercise therapy) OR (exercise) OR (functional transfers))</w:t>
      </w:r>
    </w:p>
    <w:p w14:paraId="3471EA3A" w14:textId="6152FEF0" w:rsidR="008D1FE7" w:rsidRDefault="008D1FE7" w:rsidP="00554FFC">
      <w:pPr>
        <w:spacing w:before="120" w:after="120"/>
        <w:rPr>
          <w:sz w:val="18"/>
          <w:szCs w:val="18"/>
        </w:rPr>
      </w:pPr>
      <w:r>
        <w:rPr>
          <w:sz w:val="18"/>
          <w:szCs w:val="18"/>
        </w:rPr>
        <w:t>9 ((#7) AND (#2) AND (#8))</w:t>
      </w:r>
    </w:p>
    <w:p w14:paraId="480B2FE7" w14:textId="10BD7634" w:rsidR="008D1FE7" w:rsidRDefault="008D1FE7" w:rsidP="00554FFC">
      <w:pPr>
        <w:spacing w:before="120" w:after="120"/>
        <w:rPr>
          <w:sz w:val="18"/>
          <w:szCs w:val="18"/>
        </w:rPr>
      </w:pPr>
      <w:r>
        <w:rPr>
          <w:sz w:val="18"/>
          <w:szCs w:val="18"/>
        </w:rPr>
        <w:t>10 ((bed rest) AND (bed mobility))</w:t>
      </w:r>
    </w:p>
    <w:p w14:paraId="586F4A03" w14:textId="57355759" w:rsidR="00554FFC" w:rsidRDefault="008D1FE7" w:rsidP="00554FFC">
      <w:pPr>
        <w:spacing w:before="120" w:after="120"/>
        <w:rPr>
          <w:sz w:val="18"/>
          <w:szCs w:val="18"/>
        </w:rPr>
      </w:pPr>
      <w:r w:rsidRPr="008D1FE7">
        <w:rPr>
          <w:b/>
          <w:bCs/>
          <w:sz w:val="18"/>
          <w:szCs w:val="18"/>
        </w:rPr>
        <w:t>11 ((#7) AND (#2) AND (#10))</w:t>
      </w:r>
    </w:p>
    <w:p w14:paraId="4077403D" w14:textId="77777777" w:rsidR="00554FFC" w:rsidRDefault="00554FFC" w:rsidP="00554FFC">
      <w:pPr>
        <w:spacing w:before="120" w:after="120"/>
        <w:rPr>
          <w:sz w:val="18"/>
          <w:szCs w:val="18"/>
        </w:rPr>
      </w:pPr>
    </w:p>
    <w:p w14:paraId="39E83442"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1804"/>
        <w:gridCol w:w="3705"/>
      </w:tblGrid>
      <w:tr w:rsidR="00554FFC" w:rsidRPr="002F16E1" w14:paraId="3A338EBB" w14:textId="77777777" w:rsidTr="00003D56">
        <w:tc>
          <w:tcPr>
            <w:tcW w:w="4804" w:type="dxa"/>
            <w:shd w:val="clear" w:color="auto" w:fill="E6E6E6"/>
          </w:tcPr>
          <w:p w14:paraId="1C29A87D"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05317517"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5565B73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003D56" w:rsidRPr="002F16E1" w14:paraId="34529366" w14:textId="77777777" w:rsidTr="00590A83">
        <w:trPr>
          <w:trHeight w:val="1821"/>
        </w:trPr>
        <w:tc>
          <w:tcPr>
            <w:tcW w:w="4804" w:type="dxa"/>
            <w:shd w:val="clear" w:color="auto" w:fill="auto"/>
          </w:tcPr>
          <w:p w14:paraId="0E6D755F" w14:textId="77777777" w:rsidR="00003D56" w:rsidRPr="002F16E1" w:rsidRDefault="00003D56" w:rsidP="00003D56">
            <w:pPr>
              <w:spacing w:before="120" w:after="120"/>
              <w:rPr>
                <w:b/>
                <w:sz w:val="18"/>
                <w:szCs w:val="18"/>
              </w:rPr>
            </w:pPr>
          </w:p>
          <w:p w14:paraId="183C7171" w14:textId="77777777" w:rsidR="00003D56" w:rsidRPr="002F16E1" w:rsidRDefault="00003D56" w:rsidP="00003D56">
            <w:pPr>
              <w:spacing w:before="120" w:after="120"/>
              <w:rPr>
                <w:b/>
                <w:sz w:val="18"/>
                <w:szCs w:val="18"/>
              </w:rPr>
            </w:pPr>
            <w:r>
              <w:rPr>
                <w:b/>
                <w:sz w:val="18"/>
                <w:szCs w:val="18"/>
              </w:rPr>
              <w:t>PubMed</w:t>
            </w:r>
          </w:p>
          <w:p w14:paraId="61D8AACE" w14:textId="77777777" w:rsidR="00003D56" w:rsidRDefault="00003D56" w:rsidP="00003D56">
            <w:pPr>
              <w:spacing w:before="120" w:after="120"/>
              <w:rPr>
                <w:b/>
                <w:sz w:val="18"/>
                <w:szCs w:val="18"/>
              </w:rPr>
            </w:pPr>
            <w:r>
              <w:rPr>
                <w:b/>
                <w:sz w:val="18"/>
                <w:szCs w:val="18"/>
              </w:rPr>
              <w:t>CINAHL</w:t>
            </w:r>
          </w:p>
          <w:p w14:paraId="501D87DD" w14:textId="77777777" w:rsidR="00003D56" w:rsidRPr="002F16E1" w:rsidRDefault="00003D56" w:rsidP="00003D56">
            <w:pPr>
              <w:spacing w:before="120" w:after="120"/>
              <w:rPr>
                <w:b/>
                <w:sz w:val="18"/>
                <w:szCs w:val="18"/>
              </w:rPr>
            </w:pPr>
            <w:r>
              <w:rPr>
                <w:b/>
                <w:sz w:val="18"/>
                <w:szCs w:val="18"/>
              </w:rPr>
              <w:t>Pedro</w:t>
            </w:r>
          </w:p>
          <w:p w14:paraId="17F1F9C3" w14:textId="77777777" w:rsidR="00003D56" w:rsidRPr="002F16E1" w:rsidRDefault="00003D56" w:rsidP="00003D56">
            <w:pPr>
              <w:spacing w:before="120" w:after="120"/>
              <w:rPr>
                <w:b/>
                <w:sz w:val="18"/>
                <w:szCs w:val="18"/>
              </w:rPr>
            </w:pPr>
          </w:p>
          <w:p w14:paraId="39076477" w14:textId="77777777" w:rsidR="00003D56" w:rsidRPr="002F16E1" w:rsidRDefault="00003D56" w:rsidP="00003D56">
            <w:pPr>
              <w:spacing w:before="120" w:after="120"/>
              <w:rPr>
                <w:b/>
                <w:sz w:val="18"/>
                <w:szCs w:val="18"/>
              </w:rPr>
            </w:pPr>
          </w:p>
          <w:p w14:paraId="6BA5ECAA" w14:textId="77777777" w:rsidR="00003D56" w:rsidRPr="002F16E1" w:rsidRDefault="00003D56" w:rsidP="00003D56">
            <w:pPr>
              <w:spacing w:before="120" w:after="120"/>
              <w:rPr>
                <w:b/>
                <w:sz w:val="18"/>
                <w:szCs w:val="18"/>
              </w:rPr>
            </w:pPr>
          </w:p>
          <w:p w14:paraId="0A41FE1C" w14:textId="77777777" w:rsidR="00003D56" w:rsidRPr="002F16E1" w:rsidRDefault="00003D56" w:rsidP="00003D56">
            <w:pPr>
              <w:spacing w:before="120" w:after="120"/>
              <w:rPr>
                <w:b/>
                <w:sz w:val="18"/>
                <w:szCs w:val="18"/>
              </w:rPr>
            </w:pPr>
          </w:p>
        </w:tc>
        <w:tc>
          <w:tcPr>
            <w:tcW w:w="1831" w:type="dxa"/>
            <w:shd w:val="clear" w:color="auto" w:fill="auto"/>
          </w:tcPr>
          <w:p w14:paraId="577521E1" w14:textId="77777777" w:rsidR="00003D56" w:rsidRDefault="00003D56" w:rsidP="00003D56">
            <w:pPr>
              <w:spacing w:before="120" w:after="120"/>
              <w:rPr>
                <w:b/>
                <w:sz w:val="18"/>
                <w:szCs w:val="18"/>
              </w:rPr>
            </w:pPr>
          </w:p>
          <w:p w14:paraId="43A192C6" w14:textId="1FCD1C15" w:rsidR="00003D56" w:rsidRDefault="00003D56" w:rsidP="00003D56">
            <w:pPr>
              <w:spacing w:before="120" w:after="120"/>
              <w:rPr>
                <w:b/>
                <w:sz w:val="18"/>
                <w:szCs w:val="18"/>
              </w:rPr>
            </w:pPr>
            <w:r>
              <w:rPr>
                <w:b/>
                <w:sz w:val="18"/>
                <w:szCs w:val="18"/>
              </w:rPr>
              <w:t>59</w:t>
            </w:r>
          </w:p>
          <w:p w14:paraId="28888E32" w14:textId="77777777" w:rsidR="00003D56" w:rsidRDefault="00003D56" w:rsidP="00003D56">
            <w:pPr>
              <w:spacing w:before="120" w:after="120"/>
              <w:rPr>
                <w:b/>
                <w:sz w:val="18"/>
                <w:szCs w:val="18"/>
              </w:rPr>
            </w:pPr>
            <w:r>
              <w:rPr>
                <w:b/>
                <w:sz w:val="18"/>
                <w:szCs w:val="18"/>
              </w:rPr>
              <w:t>47</w:t>
            </w:r>
          </w:p>
          <w:p w14:paraId="20BE2EF2" w14:textId="19C3ECF5" w:rsidR="00003D56" w:rsidRPr="002F16E1" w:rsidRDefault="00003D56" w:rsidP="00003D56">
            <w:pPr>
              <w:spacing w:before="120" w:after="120"/>
              <w:rPr>
                <w:b/>
                <w:sz w:val="18"/>
                <w:szCs w:val="18"/>
              </w:rPr>
            </w:pPr>
            <w:r>
              <w:rPr>
                <w:b/>
                <w:sz w:val="18"/>
                <w:szCs w:val="18"/>
              </w:rPr>
              <w:t>16</w:t>
            </w:r>
          </w:p>
        </w:tc>
        <w:tc>
          <w:tcPr>
            <w:tcW w:w="3786" w:type="dxa"/>
            <w:shd w:val="clear" w:color="auto" w:fill="auto"/>
          </w:tcPr>
          <w:p w14:paraId="79E03D58" w14:textId="77777777" w:rsidR="00003D56" w:rsidRDefault="00003D56" w:rsidP="00003D56">
            <w:pPr>
              <w:spacing w:before="120" w:after="120"/>
              <w:rPr>
                <w:b/>
                <w:sz w:val="18"/>
                <w:szCs w:val="18"/>
              </w:rPr>
            </w:pPr>
          </w:p>
          <w:p w14:paraId="3B1BCB49" w14:textId="2D5F77BF" w:rsidR="00003D56" w:rsidRPr="002F16E1" w:rsidRDefault="00003D56" w:rsidP="00003D56">
            <w:pPr>
              <w:spacing w:before="120" w:after="120"/>
              <w:rPr>
                <w:b/>
                <w:sz w:val="18"/>
                <w:szCs w:val="18"/>
              </w:rPr>
            </w:pPr>
            <w:r>
              <w:rPr>
                <w:b/>
                <w:sz w:val="18"/>
                <w:szCs w:val="18"/>
              </w:rPr>
              <w:t xml:space="preserve">Human, English, past 10 years </w:t>
            </w:r>
          </w:p>
        </w:tc>
      </w:tr>
    </w:tbl>
    <w:p w14:paraId="5EED8EC3" w14:textId="77777777" w:rsidR="00554FFC" w:rsidRDefault="00554FFC" w:rsidP="00554FFC">
      <w:pPr>
        <w:spacing w:before="120" w:after="120"/>
        <w:rPr>
          <w:b/>
          <w:sz w:val="18"/>
          <w:szCs w:val="18"/>
        </w:rPr>
      </w:pPr>
    </w:p>
    <w:p w14:paraId="5A8ABF75"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7EAB3240" w14:textId="77777777" w:rsidTr="009E380F">
        <w:tc>
          <w:tcPr>
            <w:tcW w:w="10421" w:type="dxa"/>
            <w:shd w:val="clear" w:color="auto" w:fill="E6E6E6"/>
          </w:tcPr>
          <w:p w14:paraId="17DFC592" w14:textId="77777777" w:rsidR="00554FFC" w:rsidRPr="002F16E1" w:rsidRDefault="00554FFC" w:rsidP="009E380F">
            <w:pPr>
              <w:spacing w:before="120" w:after="120"/>
              <w:rPr>
                <w:b/>
              </w:rPr>
            </w:pPr>
            <w:r w:rsidRPr="002F16E1">
              <w:rPr>
                <w:b/>
              </w:rPr>
              <w:t>Inclusion Criteria</w:t>
            </w:r>
          </w:p>
        </w:tc>
      </w:tr>
      <w:tr w:rsidR="00554FFC" w14:paraId="538F7291" w14:textId="77777777" w:rsidTr="009E380F">
        <w:tc>
          <w:tcPr>
            <w:tcW w:w="10421" w:type="dxa"/>
            <w:tcBorders>
              <w:bottom w:val="single" w:sz="4" w:space="0" w:color="auto"/>
            </w:tcBorders>
            <w:shd w:val="clear" w:color="auto" w:fill="auto"/>
          </w:tcPr>
          <w:p w14:paraId="6B253CBC" w14:textId="77777777" w:rsidR="00BC193D" w:rsidRDefault="00003D56" w:rsidP="00BC193D">
            <w:pPr>
              <w:pStyle w:val="ListParagraph"/>
              <w:numPr>
                <w:ilvl w:val="0"/>
                <w:numId w:val="14"/>
              </w:numPr>
              <w:spacing w:before="120" w:after="120" w:line="276" w:lineRule="auto"/>
            </w:pPr>
            <w:r>
              <w:t xml:space="preserve">English, </w:t>
            </w:r>
          </w:p>
          <w:p w14:paraId="771998C3" w14:textId="1675DF62" w:rsidR="00BC193D" w:rsidRDefault="00BC193D" w:rsidP="00BC193D">
            <w:pPr>
              <w:pStyle w:val="ListParagraph"/>
              <w:numPr>
                <w:ilvl w:val="0"/>
                <w:numId w:val="14"/>
              </w:numPr>
              <w:spacing w:before="120" w:after="120" w:line="276" w:lineRule="auto"/>
            </w:pPr>
            <w:r>
              <w:t>A</w:t>
            </w:r>
            <w:r w:rsidR="00003D56">
              <w:t xml:space="preserve">cute care setting, </w:t>
            </w:r>
          </w:p>
          <w:p w14:paraId="0BDE3F55" w14:textId="10D21D30" w:rsidR="00BC193D" w:rsidRDefault="00BC193D" w:rsidP="00BC193D">
            <w:pPr>
              <w:pStyle w:val="ListParagraph"/>
              <w:numPr>
                <w:ilvl w:val="0"/>
                <w:numId w:val="14"/>
              </w:numPr>
              <w:spacing w:before="120" w:after="120" w:line="276" w:lineRule="auto"/>
            </w:pPr>
            <w:r>
              <w:t>P</w:t>
            </w:r>
            <w:r w:rsidR="00003D56">
              <w:t xml:space="preserve">ublished in last 10 years, </w:t>
            </w:r>
          </w:p>
          <w:p w14:paraId="231FA308" w14:textId="5C5B9EE9" w:rsidR="00BC193D" w:rsidRDefault="00BC193D" w:rsidP="00BC193D">
            <w:pPr>
              <w:pStyle w:val="ListParagraph"/>
              <w:numPr>
                <w:ilvl w:val="0"/>
                <w:numId w:val="14"/>
              </w:numPr>
              <w:spacing w:before="120" w:after="120" w:line="276" w:lineRule="auto"/>
            </w:pPr>
            <w:r>
              <w:t>R</w:t>
            </w:r>
            <w:r w:rsidR="00003D56">
              <w:t>andomized controlled trials</w:t>
            </w:r>
          </w:p>
          <w:p w14:paraId="5EED602C" w14:textId="2F082883" w:rsidR="00554FFC" w:rsidRDefault="00BC193D" w:rsidP="00BC193D">
            <w:pPr>
              <w:pStyle w:val="ListParagraph"/>
              <w:numPr>
                <w:ilvl w:val="0"/>
                <w:numId w:val="14"/>
              </w:numPr>
              <w:spacing w:before="120" w:after="120" w:line="276" w:lineRule="auto"/>
            </w:pPr>
            <w:r>
              <w:t>S</w:t>
            </w:r>
            <w:r w:rsidR="00003D56">
              <w:t>ystematic reviews</w:t>
            </w:r>
          </w:p>
        </w:tc>
      </w:tr>
      <w:tr w:rsidR="00554FFC" w:rsidRPr="002F16E1" w14:paraId="2A6454C3" w14:textId="77777777" w:rsidTr="009E380F">
        <w:tc>
          <w:tcPr>
            <w:tcW w:w="10421" w:type="dxa"/>
            <w:shd w:val="clear" w:color="auto" w:fill="E6E6E6"/>
          </w:tcPr>
          <w:p w14:paraId="412B04CF" w14:textId="77777777" w:rsidR="00554FFC" w:rsidRPr="002F16E1" w:rsidRDefault="00554FFC" w:rsidP="009E380F">
            <w:pPr>
              <w:spacing w:before="120" w:after="120"/>
              <w:rPr>
                <w:b/>
              </w:rPr>
            </w:pPr>
            <w:r w:rsidRPr="002F16E1">
              <w:rPr>
                <w:b/>
              </w:rPr>
              <w:t>Exclusion Criteria</w:t>
            </w:r>
          </w:p>
        </w:tc>
      </w:tr>
      <w:tr w:rsidR="00554FFC" w14:paraId="27339C76" w14:textId="77777777" w:rsidTr="009E380F">
        <w:tc>
          <w:tcPr>
            <w:tcW w:w="10421" w:type="dxa"/>
            <w:shd w:val="clear" w:color="auto" w:fill="auto"/>
          </w:tcPr>
          <w:p w14:paraId="07EAA356" w14:textId="0456C91F" w:rsidR="00BC193D" w:rsidRDefault="00003D56" w:rsidP="00BC193D">
            <w:pPr>
              <w:pStyle w:val="ListParagraph"/>
              <w:numPr>
                <w:ilvl w:val="0"/>
                <w:numId w:val="15"/>
              </w:numPr>
              <w:spacing w:before="120" w:after="120"/>
            </w:pPr>
            <w:r>
              <w:t>Case reports</w:t>
            </w:r>
          </w:p>
          <w:p w14:paraId="3F7DA603" w14:textId="77777777" w:rsidR="00BC193D" w:rsidRDefault="00BC193D" w:rsidP="00BC193D">
            <w:pPr>
              <w:pStyle w:val="ListParagraph"/>
              <w:numPr>
                <w:ilvl w:val="0"/>
                <w:numId w:val="15"/>
              </w:numPr>
              <w:spacing w:before="120" w:after="120"/>
            </w:pPr>
            <w:proofErr w:type="spellStart"/>
            <w:r>
              <w:t>P</w:t>
            </w:r>
            <w:r w:rsidR="00003D56">
              <w:t>ediatrics</w:t>
            </w:r>
            <w:proofErr w:type="spellEnd"/>
          </w:p>
          <w:p w14:paraId="59317CFC" w14:textId="77777777" w:rsidR="00BC193D" w:rsidRDefault="00BC193D" w:rsidP="00BC193D">
            <w:pPr>
              <w:pStyle w:val="ListParagraph"/>
              <w:numPr>
                <w:ilvl w:val="0"/>
                <w:numId w:val="15"/>
              </w:numPr>
              <w:spacing w:before="120" w:after="120"/>
            </w:pPr>
            <w:r>
              <w:t>G</w:t>
            </w:r>
            <w:r w:rsidR="00003D56">
              <w:t>eriatrics</w:t>
            </w:r>
          </w:p>
          <w:p w14:paraId="7E2687C5" w14:textId="277EF2AE" w:rsidR="00554FFC" w:rsidRDefault="00BC193D" w:rsidP="00BC193D">
            <w:pPr>
              <w:pStyle w:val="ListParagraph"/>
              <w:numPr>
                <w:ilvl w:val="0"/>
                <w:numId w:val="15"/>
              </w:numPr>
              <w:spacing w:before="120" w:after="120"/>
            </w:pPr>
            <w:r>
              <w:t>O</w:t>
            </w:r>
            <w:r w:rsidR="00003D56">
              <w:t>utpatient setting</w:t>
            </w:r>
          </w:p>
        </w:tc>
      </w:tr>
    </w:tbl>
    <w:p w14:paraId="3E190F5D" w14:textId="7C845B38" w:rsidR="00554FFC" w:rsidRDefault="00554FFC" w:rsidP="00554FFC">
      <w:pPr>
        <w:spacing w:before="120" w:after="120"/>
        <w:rPr>
          <w:b/>
          <w:sz w:val="18"/>
          <w:szCs w:val="18"/>
        </w:rPr>
      </w:pPr>
      <w:r w:rsidRPr="00B75AAB">
        <w:rPr>
          <w:b/>
          <w:sz w:val="18"/>
          <w:szCs w:val="18"/>
        </w:rPr>
        <w:t>RESULTS OF SEARCH</w:t>
      </w:r>
    </w:p>
    <w:p w14:paraId="626F40F8"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611C674C" w14:textId="0CB97C6D" w:rsidR="00D76272" w:rsidRDefault="00D76272" w:rsidP="00035307">
      <w:pPr>
        <w:spacing w:before="120" w:after="120"/>
        <w:jc w:val="right"/>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5"/>
        <w:gridCol w:w="1715"/>
        <w:gridCol w:w="1596"/>
        <w:gridCol w:w="2520"/>
      </w:tblGrid>
      <w:tr w:rsidR="000810BA" w14:paraId="20194B2E" w14:textId="77777777" w:rsidTr="000810BA">
        <w:tc>
          <w:tcPr>
            <w:tcW w:w="2818" w:type="dxa"/>
            <w:tcBorders>
              <w:top w:val="single" w:sz="4" w:space="0" w:color="auto"/>
              <w:left w:val="single" w:sz="4" w:space="0" w:color="auto"/>
              <w:bottom w:val="single" w:sz="4" w:space="0" w:color="auto"/>
              <w:right w:val="single" w:sz="8" w:space="0" w:color="auto"/>
            </w:tcBorders>
            <w:shd w:val="clear" w:color="auto" w:fill="E6E6E6"/>
            <w:hideMark/>
          </w:tcPr>
          <w:p w14:paraId="6AB786F6" w14:textId="77777777" w:rsidR="000810BA" w:rsidRDefault="000810BA">
            <w:pPr>
              <w:spacing w:before="120" w:after="120" w:line="276" w:lineRule="auto"/>
              <w:jc w:val="center"/>
              <w:rPr>
                <w:b/>
                <w:sz w:val="18"/>
                <w:szCs w:val="18"/>
              </w:rPr>
            </w:pPr>
            <w:r>
              <w:rPr>
                <w:b/>
                <w:sz w:val="18"/>
                <w:szCs w:val="18"/>
              </w:rPr>
              <w:t>Author (Year)</w:t>
            </w:r>
          </w:p>
        </w:tc>
        <w:tc>
          <w:tcPr>
            <w:tcW w:w="1847" w:type="dxa"/>
            <w:tcBorders>
              <w:top w:val="single" w:sz="4" w:space="0" w:color="auto"/>
              <w:left w:val="single" w:sz="8" w:space="0" w:color="auto"/>
              <w:bottom w:val="single" w:sz="4" w:space="0" w:color="auto"/>
              <w:right w:val="single" w:sz="4" w:space="0" w:color="auto"/>
            </w:tcBorders>
            <w:shd w:val="clear" w:color="auto" w:fill="E6E6E6"/>
            <w:hideMark/>
          </w:tcPr>
          <w:p w14:paraId="1DC179F7" w14:textId="77777777" w:rsidR="000810BA" w:rsidRDefault="000810BA">
            <w:pPr>
              <w:spacing w:before="120" w:after="120" w:line="276" w:lineRule="auto"/>
              <w:jc w:val="center"/>
              <w:rPr>
                <w:b/>
                <w:sz w:val="18"/>
                <w:szCs w:val="18"/>
              </w:rPr>
            </w:pPr>
            <w:r>
              <w:rPr>
                <w:b/>
                <w:sz w:val="18"/>
                <w:szCs w:val="18"/>
              </w:rPr>
              <w:t xml:space="preserve">Risk of bias (quality </w:t>
            </w:r>
            <w:proofErr w:type="gramStart"/>
            <w:r>
              <w:rPr>
                <w:b/>
                <w:sz w:val="18"/>
                <w:szCs w:val="18"/>
              </w:rPr>
              <w:t>score)*</w:t>
            </w:r>
            <w:proofErr w:type="gramEnd"/>
          </w:p>
        </w:tc>
        <w:tc>
          <w:tcPr>
            <w:tcW w:w="1778" w:type="dxa"/>
            <w:tcBorders>
              <w:top w:val="single" w:sz="4" w:space="0" w:color="auto"/>
              <w:left w:val="single" w:sz="4" w:space="0" w:color="auto"/>
              <w:bottom w:val="single" w:sz="4" w:space="0" w:color="auto"/>
              <w:right w:val="single" w:sz="4" w:space="0" w:color="auto"/>
            </w:tcBorders>
            <w:shd w:val="clear" w:color="auto" w:fill="E6E6E6"/>
            <w:hideMark/>
          </w:tcPr>
          <w:p w14:paraId="2270B01B" w14:textId="77777777" w:rsidR="000810BA" w:rsidRDefault="000810BA">
            <w:pPr>
              <w:spacing w:before="120" w:after="120" w:line="276" w:lineRule="auto"/>
              <w:jc w:val="center"/>
              <w:rPr>
                <w:b/>
                <w:sz w:val="18"/>
                <w:szCs w:val="18"/>
              </w:rPr>
            </w:pPr>
            <w:r>
              <w:rPr>
                <w:b/>
                <w:sz w:val="18"/>
                <w:szCs w:val="18"/>
              </w:rPr>
              <w:t>Level of Evidence**</w:t>
            </w:r>
          </w:p>
        </w:tc>
        <w:tc>
          <w:tcPr>
            <w:tcW w:w="1660" w:type="dxa"/>
            <w:tcBorders>
              <w:top w:val="single" w:sz="4" w:space="0" w:color="auto"/>
              <w:left w:val="single" w:sz="4" w:space="0" w:color="auto"/>
              <w:bottom w:val="single" w:sz="4" w:space="0" w:color="auto"/>
              <w:right w:val="single" w:sz="4" w:space="0" w:color="auto"/>
            </w:tcBorders>
            <w:shd w:val="clear" w:color="auto" w:fill="E6E6E6"/>
            <w:hideMark/>
          </w:tcPr>
          <w:p w14:paraId="5820B833" w14:textId="77777777" w:rsidR="000810BA" w:rsidRDefault="000810BA">
            <w:pPr>
              <w:spacing w:before="120" w:after="120" w:line="276" w:lineRule="auto"/>
              <w:jc w:val="center"/>
              <w:rPr>
                <w:b/>
                <w:sz w:val="18"/>
                <w:szCs w:val="18"/>
              </w:rPr>
            </w:pPr>
            <w:r>
              <w:rPr>
                <w:b/>
                <w:sz w:val="18"/>
                <w:szCs w:val="18"/>
              </w:rPr>
              <w:t>Relevance</w:t>
            </w:r>
          </w:p>
        </w:tc>
        <w:tc>
          <w:tcPr>
            <w:tcW w:w="2687" w:type="dxa"/>
            <w:tcBorders>
              <w:top w:val="single" w:sz="4" w:space="0" w:color="auto"/>
              <w:left w:val="single" w:sz="4" w:space="0" w:color="auto"/>
              <w:bottom w:val="single" w:sz="4" w:space="0" w:color="auto"/>
              <w:right w:val="single" w:sz="4" w:space="0" w:color="auto"/>
            </w:tcBorders>
            <w:shd w:val="clear" w:color="auto" w:fill="E6E6E6"/>
            <w:hideMark/>
          </w:tcPr>
          <w:p w14:paraId="7A4765CC" w14:textId="77777777" w:rsidR="000810BA" w:rsidRDefault="000810BA">
            <w:pPr>
              <w:spacing w:before="120" w:after="120" w:line="276" w:lineRule="auto"/>
              <w:jc w:val="center"/>
              <w:rPr>
                <w:b/>
                <w:sz w:val="18"/>
                <w:szCs w:val="18"/>
              </w:rPr>
            </w:pPr>
            <w:r>
              <w:rPr>
                <w:b/>
                <w:sz w:val="18"/>
                <w:szCs w:val="18"/>
              </w:rPr>
              <w:t>Study design</w:t>
            </w:r>
          </w:p>
        </w:tc>
      </w:tr>
      <w:tr w:rsidR="000810BA" w14:paraId="090E6B48" w14:textId="77777777" w:rsidTr="000810BA">
        <w:tc>
          <w:tcPr>
            <w:tcW w:w="2818" w:type="dxa"/>
            <w:tcBorders>
              <w:top w:val="single" w:sz="4" w:space="0" w:color="auto"/>
              <w:left w:val="single" w:sz="4" w:space="0" w:color="auto"/>
              <w:bottom w:val="single" w:sz="4" w:space="0" w:color="auto"/>
              <w:right w:val="single" w:sz="8" w:space="0" w:color="auto"/>
            </w:tcBorders>
            <w:hideMark/>
          </w:tcPr>
          <w:p w14:paraId="0565F829" w14:textId="4F969438" w:rsidR="000810BA" w:rsidRDefault="000810BA">
            <w:pPr>
              <w:spacing w:before="120" w:after="120" w:line="276" w:lineRule="auto"/>
              <w:rPr>
                <w:b/>
                <w:sz w:val="18"/>
                <w:szCs w:val="18"/>
              </w:rPr>
            </w:pPr>
            <w:proofErr w:type="spellStart"/>
            <w:r>
              <w:rPr>
                <w:b/>
                <w:sz w:val="18"/>
                <w:szCs w:val="18"/>
              </w:rPr>
              <w:t>Aissaoui</w:t>
            </w:r>
            <w:proofErr w:type="spellEnd"/>
            <w:r>
              <w:rPr>
                <w:b/>
                <w:sz w:val="18"/>
                <w:szCs w:val="18"/>
              </w:rPr>
              <w:t xml:space="preserve"> et al. (2009)</w:t>
            </w:r>
            <w:hyperlink r:id="rId8" w:history="1">
              <w:r w:rsidR="00993179" w:rsidRPr="00993179">
                <w:rPr>
                  <w:rStyle w:val="Hyperlink"/>
                  <w:color w:val="000000"/>
                  <w:sz w:val="18"/>
                  <w:u w:val="none"/>
                  <w:vertAlign w:val="superscript"/>
                </w:rPr>
                <w:t>3</w:t>
              </w:r>
            </w:hyperlink>
          </w:p>
        </w:tc>
        <w:tc>
          <w:tcPr>
            <w:tcW w:w="1847" w:type="dxa"/>
            <w:tcBorders>
              <w:top w:val="single" w:sz="4" w:space="0" w:color="auto"/>
              <w:left w:val="single" w:sz="8" w:space="0" w:color="auto"/>
              <w:bottom w:val="single" w:sz="4" w:space="0" w:color="auto"/>
              <w:right w:val="single" w:sz="4" w:space="0" w:color="auto"/>
            </w:tcBorders>
            <w:hideMark/>
          </w:tcPr>
          <w:p w14:paraId="33EDE535" w14:textId="77777777" w:rsidR="000810BA" w:rsidRDefault="000810BA">
            <w:pPr>
              <w:spacing w:before="120" w:after="120" w:line="276" w:lineRule="auto"/>
              <w:rPr>
                <w:b/>
                <w:sz w:val="18"/>
                <w:szCs w:val="18"/>
              </w:rPr>
            </w:pPr>
            <w:r>
              <w:rPr>
                <w:b/>
                <w:sz w:val="18"/>
                <w:szCs w:val="18"/>
              </w:rPr>
              <w:t>AMSTAR 2 (moderate)</w:t>
            </w:r>
          </w:p>
        </w:tc>
        <w:tc>
          <w:tcPr>
            <w:tcW w:w="1778" w:type="dxa"/>
            <w:tcBorders>
              <w:top w:val="single" w:sz="4" w:space="0" w:color="auto"/>
              <w:left w:val="single" w:sz="4" w:space="0" w:color="auto"/>
              <w:bottom w:val="single" w:sz="4" w:space="0" w:color="auto"/>
              <w:right w:val="single" w:sz="4" w:space="0" w:color="auto"/>
            </w:tcBorders>
            <w:hideMark/>
          </w:tcPr>
          <w:p w14:paraId="487EF174" w14:textId="77777777" w:rsidR="000810BA" w:rsidRDefault="000810BA">
            <w:pPr>
              <w:spacing w:before="120" w:after="120" w:line="276" w:lineRule="auto"/>
              <w:rPr>
                <w:b/>
                <w:sz w:val="18"/>
                <w:szCs w:val="18"/>
              </w:rPr>
            </w:pPr>
            <w:r>
              <w:rPr>
                <w:b/>
                <w:sz w:val="18"/>
                <w:szCs w:val="18"/>
              </w:rPr>
              <w:t>Level 1</w:t>
            </w:r>
          </w:p>
        </w:tc>
        <w:tc>
          <w:tcPr>
            <w:tcW w:w="1660" w:type="dxa"/>
            <w:tcBorders>
              <w:top w:val="single" w:sz="4" w:space="0" w:color="auto"/>
              <w:left w:val="single" w:sz="4" w:space="0" w:color="auto"/>
              <w:bottom w:val="single" w:sz="4" w:space="0" w:color="auto"/>
              <w:right w:val="single" w:sz="4" w:space="0" w:color="auto"/>
            </w:tcBorders>
            <w:hideMark/>
          </w:tcPr>
          <w:p w14:paraId="4901C8C1" w14:textId="77777777" w:rsidR="000810BA" w:rsidRDefault="000810BA">
            <w:pPr>
              <w:spacing w:before="120" w:after="120" w:line="276" w:lineRule="auto"/>
              <w:rPr>
                <w:b/>
                <w:sz w:val="18"/>
                <w:szCs w:val="18"/>
              </w:rPr>
            </w:pPr>
            <w:r>
              <w:rPr>
                <w:b/>
                <w:sz w:val="18"/>
                <w:szCs w:val="18"/>
              </w:rPr>
              <w:t>High</w:t>
            </w:r>
          </w:p>
        </w:tc>
        <w:tc>
          <w:tcPr>
            <w:tcW w:w="2687" w:type="dxa"/>
            <w:tcBorders>
              <w:top w:val="single" w:sz="4" w:space="0" w:color="auto"/>
              <w:left w:val="single" w:sz="4" w:space="0" w:color="auto"/>
              <w:bottom w:val="single" w:sz="4" w:space="0" w:color="auto"/>
              <w:right w:val="single" w:sz="4" w:space="0" w:color="auto"/>
            </w:tcBorders>
            <w:hideMark/>
          </w:tcPr>
          <w:p w14:paraId="647F773E" w14:textId="77777777" w:rsidR="000810BA" w:rsidRDefault="000810BA">
            <w:pPr>
              <w:spacing w:before="120" w:after="120" w:line="276" w:lineRule="auto"/>
              <w:rPr>
                <w:b/>
                <w:sz w:val="18"/>
                <w:szCs w:val="18"/>
              </w:rPr>
            </w:pPr>
            <w:r>
              <w:rPr>
                <w:b/>
                <w:sz w:val="18"/>
                <w:szCs w:val="18"/>
              </w:rPr>
              <w:t>Meta-analysis of RCTs</w:t>
            </w:r>
          </w:p>
        </w:tc>
      </w:tr>
      <w:tr w:rsidR="000810BA" w14:paraId="54EA40E3" w14:textId="77777777" w:rsidTr="000810BA">
        <w:tc>
          <w:tcPr>
            <w:tcW w:w="2818" w:type="dxa"/>
            <w:tcBorders>
              <w:top w:val="single" w:sz="4" w:space="0" w:color="auto"/>
              <w:left w:val="single" w:sz="4" w:space="0" w:color="auto"/>
              <w:bottom w:val="single" w:sz="4" w:space="0" w:color="auto"/>
              <w:right w:val="single" w:sz="8" w:space="0" w:color="auto"/>
            </w:tcBorders>
            <w:hideMark/>
          </w:tcPr>
          <w:p w14:paraId="09364FE6" w14:textId="70412D71" w:rsidR="000810BA" w:rsidRDefault="000810BA">
            <w:pPr>
              <w:spacing w:before="120" w:after="120" w:line="276" w:lineRule="auto"/>
              <w:rPr>
                <w:b/>
                <w:sz w:val="18"/>
                <w:szCs w:val="18"/>
              </w:rPr>
            </w:pPr>
            <w:r>
              <w:rPr>
                <w:b/>
                <w:sz w:val="18"/>
                <w:szCs w:val="18"/>
              </w:rPr>
              <w:t>Aldrich and Hunt (2004)</w:t>
            </w:r>
            <w:hyperlink r:id="rId9" w:history="1">
              <w:r w:rsidR="00993179" w:rsidRPr="00993179">
                <w:rPr>
                  <w:rStyle w:val="Hyperlink"/>
                  <w:color w:val="000000"/>
                  <w:sz w:val="18"/>
                  <w:u w:val="none"/>
                  <w:vertAlign w:val="superscript"/>
                </w:rPr>
                <w:t>4</w:t>
              </w:r>
            </w:hyperlink>
          </w:p>
        </w:tc>
        <w:tc>
          <w:tcPr>
            <w:tcW w:w="1847" w:type="dxa"/>
            <w:tcBorders>
              <w:top w:val="single" w:sz="4" w:space="0" w:color="auto"/>
              <w:left w:val="single" w:sz="8" w:space="0" w:color="auto"/>
              <w:bottom w:val="single" w:sz="4" w:space="0" w:color="auto"/>
              <w:right w:val="single" w:sz="4" w:space="0" w:color="auto"/>
            </w:tcBorders>
            <w:hideMark/>
          </w:tcPr>
          <w:p w14:paraId="03A3DA83" w14:textId="77777777" w:rsidR="000810BA" w:rsidRDefault="000810BA">
            <w:pPr>
              <w:spacing w:before="120" w:after="120" w:line="276" w:lineRule="auto"/>
              <w:rPr>
                <w:b/>
                <w:sz w:val="18"/>
                <w:szCs w:val="18"/>
              </w:rPr>
            </w:pPr>
            <w:r>
              <w:rPr>
                <w:b/>
                <w:sz w:val="18"/>
                <w:szCs w:val="18"/>
              </w:rPr>
              <w:t>AMSTAR 2 (critically low)</w:t>
            </w:r>
          </w:p>
        </w:tc>
        <w:tc>
          <w:tcPr>
            <w:tcW w:w="1778" w:type="dxa"/>
            <w:tcBorders>
              <w:top w:val="single" w:sz="4" w:space="0" w:color="auto"/>
              <w:left w:val="single" w:sz="4" w:space="0" w:color="auto"/>
              <w:bottom w:val="single" w:sz="4" w:space="0" w:color="auto"/>
              <w:right w:val="single" w:sz="4" w:space="0" w:color="auto"/>
            </w:tcBorders>
            <w:hideMark/>
          </w:tcPr>
          <w:p w14:paraId="400290A8" w14:textId="77777777" w:rsidR="000810BA" w:rsidRDefault="000810BA">
            <w:pPr>
              <w:spacing w:before="120" w:after="120" w:line="276" w:lineRule="auto"/>
              <w:rPr>
                <w:b/>
                <w:sz w:val="18"/>
                <w:szCs w:val="18"/>
              </w:rPr>
            </w:pPr>
            <w:r>
              <w:rPr>
                <w:b/>
                <w:sz w:val="18"/>
                <w:szCs w:val="18"/>
              </w:rPr>
              <w:t>Level 1</w:t>
            </w:r>
          </w:p>
        </w:tc>
        <w:tc>
          <w:tcPr>
            <w:tcW w:w="1660" w:type="dxa"/>
            <w:tcBorders>
              <w:top w:val="single" w:sz="4" w:space="0" w:color="auto"/>
              <w:left w:val="single" w:sz="4" w:space="0" w:color="auto"/>
              <w:bottom w:val="single" w:sz="4" w:space="0" w:color="auto"/>
              <w:right w:val="single" w:sz="4" w:space="0" w:color="auto"/>
            </w:tcBorders>
            <w:hideMark/>
          </w:tcPr>
          <w:p w14:paraId="3D74584B" w14:textId="77777777" w:rsidR="000810BA" w:rsidRDefault="000810BA">
            <w:pPr>
              <w:spacing w:before="120" w:after="120" w:line="276" w:lineRule="auto"/>
              <w:rPr>
                <w:b/>
                <w:sz w:val="18"/>
                <w:szCs w:val="18"/>
              </w:rPr>
            </w:pPr>
            <w:r>
              <w:rPr>
                <w:b/>
                <w:sz w:val="18"/>
                <w:szCs w:val="18"/>
              </w:rPr>
              <w:t>Low</w:t>
            </w:r>
          </w:p>
        </w:tc>
        <w:tc>
          <w:tcPr>
            <w:tcW w:w="2687" w:type="dxa"/>
            <w:tcBorders>
              <w:top w:val="single" w:sz="4" w:space="0" w:color="auto"/>
              <w:left w:val="single" w:sz="4" w:space="0" w:color="auto"/>
              <w:bottom w:val="single" w:sz="4" w:space="0" w:color="auto"/>
              <w:right w:val="single" w:sz="4" w:space="0" w:color="auto"/>
            </w:tcBorders>
            <w:hideMark/>
          </w:tcPr>
          <w:p w14:paraId="336C183A" w14:textId="77777777" w:rsidR="000810BA" w:rsidRDefault="000810BA">
            <w:pPr>
              <w:spacing w:before="120" w:after="120" w:line="276" w:lineRule="auto"/>
              <w:rPr>
                <w:b/>
                <w:sz w:val="18"/>
                <w:szCs w:val="18"/>
              </w:rPr>
            </w:pPr>
            <w:r>
              <w:rPr>
                <w:b/>
                <w:sz w:val="18"/>
                <w:szCs w:val="18"/>
              </w:rPr>
              <w:t>Systematic Review, RCTs, prospective and retrospective cohort studies</w:t>
            </w:r>
          </w:p>
        </w:tc>
      </w:tr>
      <w:tr w:rsidR="000810BA" w14:paraId="40ED9CD4" w14:textId="77777777" w:rsidTr="000810BA">
        <w:tc>
          <w:tcPr>
            <w:tcW w:w="2818" w:type="dxa"/>
            <w:tcBorders>
              <w:top w:val="single" w:sz="4" w:space="0" w:color="auto"/>
              <w:left w:val="single" w:sz="4" w:space="0" w:color="auto"/>
              <w:bottom w:val="single" w:sz="4" w:space="0" w:color="auto"/>
              <w:right w:val="single" w:sz="8" w:space="0" w:color="auto"/>
            </w:tcBorders>
            <w:hideMark/>
          </w:tcPr>
          <w:p w14:paraId="39C819CF" w14:textId="2705473C" w:rsidR="000810BA" w:rsidRDefault="000810BA">
            <w:pPr>
              <w:spacing w:before="120" w:after="120" w:line="276" w:lineRule="auto"/>
              <w:rPr>
                <w:b/>
                <w:sz w:val="18"/>
                <w:szCs w:val="18"/>
              </w:rPr>
            </w:pPr>
            <w:r>
              <w:rPr>
                <w:b/>
                <w:sz w:val="18"/>
                <w:szCs w:val="18"/>
              </w:rPr>
              <w:t>Anderson et al. (2009)</w:t>
            </w:r>
            <w:hyperlink r:id="rId10" w:history="1">
              <w:r w:rsidR="00993179" w:rsidRPr="00993179">
                <w:rPr>
                  <w:rStyle w:val="Hyperlink"/>
                  <w:color w:val="000000"/>
                  <w:sz w:val="18"/>
                  <w:u w:val="none"/>
                  <w:vertAlign w:val="superscript"/>
                </w:rPr>
                <w:t>5</w:t>
              </w:r>
            </w:hyperlink>
          </w:p>
        </w:tc>
        <w:tc>
          <w:tcPr>
            <w:tcW w:w="1847" w:type="dxa"/>
            <w:tcBorders>
              <w:top w:val="single" w:sz="4" w:space="0" w:color="auto"/>
              <w:left w:val="single" w:sz="8" w:space="0" w:color="auto"/>
              <w:bottom w:val="single" w:sz="4" w:space="0" w:color="auto"/>
              <w:right w:val="single" w:sz="4" w:space="0" w:color="auto"/>
            </w:tcBorders>
            <w:hideMark/>
          </w:tcPr>
          <w:p w14:paraId="4C92EFC4" w14:textId="77777777" w:rsidR="000810BA" w:rsidRDefault="000810BA">
            <w:pPr>
              <w:spacing w:before="120" w:after="120" w:line="276" w:lineRule="auto"/>
              <w:rPr>
                <w:b/>
                <w:sz w:val="18"/>
                <w:szCs w:val="18"/>
              </w:rPr>
            </w:pPr>
            <w:r>
              <w:rPr>
                <w:b/>
                <w:sz w:val="18"/>
                <w:szCs w:val="18"/>
              </w:rPr>
              <w:t>AMSTAR 2 (low)</w:t>
            </w:r>
          </w:p>
        </w:tc>
        <w:tc>
          <w:tcPr>
            <w:tcW w:w="1778" w:type="dxa"/>
            <w:tcBorders>
              <w:top w:val="single" w:sz="4" w:space="0" w:color="auto"/>
              <w:left w:val="single" w:sz="4" w:space="0" w:color="auto"/>
              <w:bottom w:val="single" w:sz="4" w:space="0" w:color="auto"/>
              <w:right w:val="single" w:sz="4" w:space="0" w:color="auto"/>
            </w:tcBorders>
            <w:hideMark/>
          </w:tcPr>
          <w:p w14:paraId="3C051CAD" w14:textId="77777777" w:rsidR="000810BA" w:rsidRDefault="000810BA">
            <w:pPr>
              <w:spacing w:before="120" w:after="120" w:line="276" w:lineRule="auto"/>
              <w:rPr>
                <w:b/>
                <w:sz w:val="18"/>
                <w:szCs w:val="18"/>
              </w:rPr>
            </w:pPr>
            <w:r>
              <w:rPr>
                <w:b/>
                <w:sz w:val="18"/>
                <w:szCs w:val="18"/>
              </w:rPr>
              <w:t>Level 1</w:t>
            </w:r>
          </w:p>
        </w:tc>
        <w:tc>
          <w:tcPr>
            <w:tcW w:w="1660" w:type="dxa"/>
            <w:tcBorders>
              <w:top w:val="single" w:sz="4" w:space="0" w:color="auto"/>
              <w:left w:val="single" w:sz="4" w:space="0" w:color="auto"/>
              <w:bottom w:val="single" w:sz="4" w:space="0" w:color="auto"/>
              <w:right w:val="single" w:sz="4" w:space="0" w:color="auto"/>
            </w:tcBorders>
            <w:hideMark/>
          </w:tcPr>
          <w:p w14:paraId="2B29F6F6" w14:textId="77777777" w:rsidR="000810BA" w:rsidRDefault="000810BA">
            <w:pPr>
              <w:spacing w:before="120" w:after="120" w:line="276" w:lineRule="auto"/>
              <w:rPr>
                <w:b/>
                <w:sz w:val="18"/>
                <w:szCs w:val="18"/>
              </w:rPr>
            </w:pPr>
            <w:r>
              <w:rPr>
                <w:b/>
                <w:sz w:val="18"/>
                <w:szCs w:val="18"/>
              </w:rPr>
              <w:t>High</w:t>
            </w:r>
          </w:p>
        </w:tc>
        <w:tc>
          <w:tcPr>
            <w:tcW w:w="2687" w:type="dxa"/>
            <w:tcBorders>
              <w:top w:val="single" w:sz="4" w:space="0" w:color="auto"/>
              <w:left w:val="single" w:sz="4" w:space="0" w:color="auto"/>
              <w:bottom w:val="single" w:sz="4" w:space="0" w:color="auto"/>
              <w:right w:val="single" w:sz="4" w:space="0" w:color="auto"/>
            </w:tcBorders>
            <w:hideMark/>
          </w:tcPr>
          <w:p w14:paraId="03F3F43E" w14:textId="77777777" w:rsidR="000810BA" w:rsidRDefault="000810BA">
            <w:pPr>
              <w:spacing w:before="120" w:after="120" w:line="276" w:lineRule="auto"/>
              <w:rPr>
                <w:b/>
                <w:sz w:val="18"/>
                <w:szCs w:val="18"/>
              </w:rPr>
            </w:pPr>
            <w:r>
              <w:rPr>
                <w:b/>
                <w:sz w:val="18"/>
                <w:szCs w:val="18"/>
              </w:rPr>
              <w:t>Systematic review of RCTs</w:t>
            </w:r>
          </w:p>
        </w:tc>
      </w:tr>
      <w:tr w:rsidR="000810BA" w14:paraId="14100F97" w14:textId="77777777" w:rsidTr="000810BA">
        <w:tc>
          <w:tcPr>
            <w:tcW w:w="2818" w:type="dxa"/>
            <w:tcBorders>
              <w:top w:val="single" w:sz="4" w:space="0" w:color="auto"/>
              <w:left w:val="single" w:sz="4" w:space="0" w:color="auto"/>
              <w:bottom w:val="single" w:sz="4" w:space="0" w:color="auto"/>
              <w:right w:val="single" w:sz="8" w:space="0" w:color="auto"/>
            </w:tcBorders>
            <w:hideMark/>
          </w:tcPr>
          <w:p w14:paraId="76A65498" w14:textId="1907F739" w:rsidR="000810BA" w:rsidRDefault="000810BA">
            <w:pPr>
              <w:spacing w:before="120" w:after="120" w:line="276" w:lineRule="auto"/>
              <w:rPr>
                <w:b/>
                <w:sz w:val="18"/>
                <w:szCs w:val="18"/>
              </w:rPr>
            </w:pPr>
            <w:r>
              <w:rPr>
                <w:b/>
                <w:sz w:val="18"/>
                <w:szCs w:val="18"/>
              </w:rPr>
              <w:t>Gay et al. (2009)</w:t>
            </w:r>
            <w:hyperlink r:id="rId11" w:history="1">
              <w:r w:rsidR="00993179" w:rsidRPr="00993179">
                <w:rPr>
                  <w:rStyle w:val="Hyperlink"/>
                  <w:color w:val="000000"/>
                  <w:sz w:val="18"/>
                  <w:u w:val="none"/>
                  <w:vertAlign w:val="superscript"/>
                </w:rPr>
                <w:t>6</w:t>
              </w:r>
            </w:hyperlink>
          </w:p>
        </w:tc>
        <w:tc>
          <w:tcPr>
            <w:tcW w:w="1847" w:type="dxa"/>
            <w:tcBorders>
              <w:top w:val="single" w:sz="4" w:space="0" w:color="auto"/>
              <w:left w:val="single" w:sz="8" w:space="0" w:color="auto"/>
              <w:bottom w:val="single" w:sz="4" w:space="0" w:color="auto"/>
              <w:right w:val="single" w:sz="4" w:space="0" w:color="auto"/>
            </w:tcBorders>
            <w:hideMark/>
          </w:tcPr>
          <w:p w14:paraId="6608346B" w14:textId="77777777" w:rsidR="000810BA" w:rsidRDefault="000810BA">
            <w:pPr>
              <w:spacing w:before="120" w:after="120" w:line="276" w:lineRule="auto"/>
              <w:rPr>
                <w:b/>
                <w:sz w:val="18"/>
                <w:szCs w:val="18"/>
              </w:rPr>
            </w:pPr>
            <w:r>
              <w:rPr>
                <w:b/>
                <w:sz w:val="18"/>
                <w:szCs w:val="18"/>
              </w:rPr>
              <w:t>AMSTAR 2 (critically low)</w:t>
            </w:r>
          </w:p>
        </w:tc>
        <w:tc>
          <w:tcPr>
            <w:tcW w:w="1778" w:type="dxa"/>
            <w:tcBorders>
              <w:top w:val="single" w:sz="4" w:space="0" w:color="auto"/>
              <w:left w:val="single" w:sz="4" w:space="0" w:color="auto"/>
              <w:bottom w:val="single" w:sz="4" w:space="0" w:color="auto"/>
              <w:right w:val="single" w:sz="4" w:space="0" w:color="auto"/>
            </w:tcBorders>
            <w:hideMark/>
          </w:tcPr>
          <w:p w14:paraId="63CFC79B" w14:textId="77777777" w:rsidR="000810BA" w:rsidRDefault="000810BA">
            <w:pPr>
              <w:spacing w:before="120" w:after="120" w:line="276" w:lineRule="auto"/>
              <w:rPr>
                <w:b/>
                <w:sz w:val="18"/>
                <w:szCs w:val="18"/>
              </w:rPr>
            </w:pPr>
            <w:r>
              <w:rPr>
                <w:b/>
                <w:sz w:val="18"/>
                <w:szCs w:val="18"/>
              </w:rPr>
              <w:t>Level 1</w:t>
            </w:r>
          </w:p>
        </w:tc>
        <w:tc>
          <w:tcPr>
            <w:tcW w:w="1660" w:type="dxa"/>
            <w:tcBorders>
              <w:top w:val="single" w:sz="4" w:space="0" w:color="auto"/>
              <w:left w:val="single" w:sz="4" w:space="0" w:color="auto"/>
              <w:bottom w:val="single" w:sz="4" w:space="0" w:color="auto"/>
              <w:right w:val="single" w:sz="4" w:space="0" w:color="auto"/>
            </w:tcBorders>
            <w:hideMark/>
          </w:tcPr>
          <w:p w14:paraId="3529843D" w14:textId="77777777" w:rsidR="000810BA" w:rsidRDefault="000810BA">
            <w:pPr>
              <w:spacing w:before="120" w:after="120" w:line="276" w:lineRule="auto"/>
              <w:rPr>
                <w:b/>
                <w:sz w:val="18"/>
                <w:szCs w:val="18"/>
              </w:rPr>
            </w:pPr>
            <w:r>
              <w:rPr>
                <w:b/>
                <w:sz w:val="18"/>
                <w:szCs w:val="18"/>
              </w:rPr>
              <w:t>Low</w:t>
            </w:r>
          </w:p>
        </w:tc>
        <w:tc>
          <w:tcPr>
            <w:tcW w:w="2687" w:type="dxa"/>
            <w:tcBorders>
              <w:top w:val="single" w:sz="4" w:space="0" w:color="auto"/>
              <w:left w:val="single" w:sz="4" w:space="0" w:color="auto"/>
              <w:bottom w:val="single" w:sz="4" w:space="0" w:color="auto"/>
              <w:right w:val="single" w:sz="4" w:space="0" w:color="auto"/>
            </w:tcBorders>
            <w:hideMark/>
          </w:tcPr>
          <w:p w14:paraId="14C2E677" w14:textId="77777777" w:rsidR="000810BA" w:rsidRDefault="000810BA">
            <w:pPr>
              <w:spacing w:before="120" w:after="120" w:line="276" w:lineRule="auto"/>
              <w:rPr>
                <w:b/>
                <w:sz w:val="18"/>
                <w:szCs w:val="18"/>
              </w:rPr>
            </w:pPr>
            <w:r>
              <w:rPr>
                <w:b/>
                <w:sz w:val="18"/>
                <w:szCs w:val="18"/>
              </w:rPr>
              <w:t>Systematic review, mix of RCTs and other quantitative studies</w:t>
            </w:r>
          </w:p>
        </w:tc>
      </w:tr>
      <w:tr w:rsidR="000810BA" w14:paraId="0F2E0140" w14:textId="77777777" w:rsidTr="000810BA">
        <w:tc>
          <w:tcPr>
            <w:tcW w:w="2818" w:type="dxa"/>
            <w:tcBorders>
              <w:top w:val="single" w:sz="4" w:space="0" w:color="auto"/>
              <w:left w:val="single" w:sz="4" w:space="0" w:color="auto"/>
              <w:bottom w:val="single" w:sz="4" w:space="0" w:color="auto"/>
              <w:right w:val="single" w:sz="8" w:space="0" w:color="auto"/>
            </w:tcBorders>
            <w:hideMark/>
          </w:tcPr>
          <w:p w14:paraId="4732DBB6" w14:textId="0886A9A3" w:rsidR="000810BA" w:rsidRDefault="000810BA">
            <w:pPr>
              <w:spacing w:before="120" w:after="120" w:line="276" w:lineRule="auto"/>
              <w:rPr>
                <w:b/>
                <w:sz w:val="18"/>
                <w:szCs w:val="18"/>
              </w:rPr>
            </w:pPr>
            <w:proofErr w:type="spellStart"/>
            <w:r>
              <w:rPr>
                <w:b/>
                <w:sz w:val="18"/>
                <w:szCs w:val="18"/>
              </w:rPr>
              <w:t>Hillegass</w:t>
            </w:r>
            <w:proofErr w:type="spellEnd"/>
            <w:r>
              <w:rPr>
                <w:b/>
                <w:sz w:val="18"/>
                <w:szCs w:val="18"/>
              </w:rPr>
              <w:t xml:space="preserve"> et al. (2016)</w:t>
            </w:r>
            <w:hyperlink r:id="rId12" w:history="1">
              <w:r w:rsidR="00993179" w:rsidRPr="00993179">
                <w:rPr>
                  <w:rStyle w:val="Hyperlink"/>
                  <w:color w:val="000000"/>
                  <w:sz w:val="18"/>
                  <w:u w:val="none"/>
                  <w:vertAlign w:val="superscript"/>
                </w:rPr>
                <w:t>2</w:t>
              </w:r>
            </w:hyperlink>
          </w:p>
        </w:tc>
        <w:tc>
          <w:tcPr>
            <w:tcW w:w="1847" w:type="dxa"/>
            <w:tcBorders>
              <w:top w:val="single" w:sz="4" w:space="0" w:color="auto"/>
              <w:left w:val="single" w:sz="8" w:space="0" w:color="auto"/>
              <w:bottom w:val="single" w:sz="4" w:space="0" w:color="auto"/>
              <w:right w:val="single" w:sz="4" w:space="0" w:color="auto"/>
            </w:tcBorders>
            <w:hideMark/>
          </w:tcPr>
          <w:p w14:paraId="0523B661" w14:textId="77777777" w:rsidR="000810BA" w:rsidRDefault="000810BA">
            <w:pPr>
              <w:spacing w:before="120" w:after="120" w:line="276" w:lineRule="auto"/>
              <w:rPr>
                <w:b/>
                <w:sz w:val="18"/>
                <w:szCs w:val="18"/>
              </w:rPr>
            </w:pPr>
            <w:r>
              <w:rPr>
                <w:b/>
                <w:sz w:val="18"/>
                <w:szCs w:val="18"/>
              </w:rPr>
              <w:t>AGREE II (high)</w:t>
            </w:r>
          </w:p>
        </w:tc>
        <w:tc>
          <w:tcPr>
            <w:tcW w:w="1778" w:type="dxa"/>
            <w:tcBorders>
              <w:top w:val="single" w:sz="4" w:space="0" w:color="auto"/>
              <w:left w:val="single" w:sz="4" w:space="0" w:color="auto"/>
              <w:bottom w:val="single" w:sz="4" w:space="0" w:color="auto"/>
              <w:right w:val="single" w:sz="4" w:space="0" w:color="auto"/>
            </w:tcBorders>
            <w:hideMark/>
          </w:tcPr>
          <w:p w14:paraId="461851DF" w14:textId="77777777" w:rsidR="000810BA" w:rsidRDefault="000810BA">
            <w:pPr>
              <w:spacing w:before="120" w:after="120" w:line="276" w:lineRule="auto"/>
              <w:rPr>
                <w:b/>
                <w:sz w:val="18"/>
                <w:szCs w:val="18"/>
              </w:rPr>
            </w:pPr>
            <w:r>
              <w:rPr>
                <w:b/>
                <w:sz w:val="18"/>
                <w:szCs w:val="18"/>
              </w:rPr>
              <w:t>Unable to assign due to collection of variety of study designs</w:t>
            </w:r>
          </w:p>
        </w:tc>
        <w:tc>
          <w:tcPr>
            <w:tcW w:w="1660" w:type="dxa"/>
            <w:tcBorders>
              <w:top w:val="single" w:sz="4" w:space="0" w:color="auto"/>
              <w:left w:val="single" w:sz="4" w:space="0" w:color="auto"/>
              <w:bottom w:val="single" w:sz="4" w:space="0" w:color="auto"/>
              <w:right w:val="single" w:sz="4" w:space="0" w:color="auto"/>
            </w:tcBorders>
            <w:hideMark/>
          </w:tcPr>
          <w:p w14:paraId="2E09BF6A" w14:textId="77777777" w:rsidR="000810BA" w:rsidRDefault="000810BA">
            <w:pPr>
              <w:spacing w:before="120" w:after="120" w:line="276" w:lineRule="auto"/>
              <w:rPr>
                <w:b/>
                <w:sz w:val="18"/>
                <w:szCs w:val="18"/>
              </w:rPr>
            </w:pPr>
            <w:r>
              <w:rPr>
                <w:b/>
                <w:sz w:val="18"/>
                <w:szCs w:val="18"/>
              </w:rPr>
              <w:t>High</w:t>
            </w:r>
          </w:p>
        </w:tc>
        <w:tc>
          <w:tcPr>
            <w:tcW w:w="2687" w:type="dxa"/>
            <w:tcBorders>
              <w:top w:val="single" w:sz="4" w:space="0" w:color="auto"/>
              <w:left w:val="single" w:sz="4" w:space="0" w:color="auto"/>
              <w:bottom w:val="single" w:sz="4" w:space="0" w:color="auto"/>
              <w:right w:val="single" w:sz="4" w:space="0" w:color="auto"/>
            </w:tcBorders>
            <w:hideMark/>
          </w:tcPr>
          <w:p w14:paraId="47011276" w14:textId="77777777" w:rsidR="000810BA" w:rsidRDefault="000810BA">
            <w:pPr>
              <w:spacing w:before="120" w:after="120" w:line="276" w:lineRule="auto"/>
              <w:rPr>
                <w:b/>
                <w:sz w:val="18"/>
                <w:szCs w:val="18"/>
              </w:rPr>
            </w:pPr>
            <w:r>
              <w:rPr>
                <w:b/>
                <w:sz w:val="18"/>
                <w:szCs w:val="18"/>
              </w:rPr>
              <w:t>Clinical Prediction Guideline</w:t>
            </w:r>
          </w:p>
        </w:tc>
      </w:tr>
      <w:tr w:rsidR="000810BA" w14:paraId="04AC07F0" w14:textId="77777777" w:rsidTr="000810BA">
        <w:tc>
          <w:tcPr>
            <w:tcW w:w="2818" w:type="dxa"/>
            <w:tcBorders>
              <w:top w:val="single" w:sz="4" w:space="0" w:color="auto"/>
              <w:left w:val="single" w:sz="4" w:space="0" w:color="auto"/>
              <w:bottom w:val="single" w:sz="4" w:space="0" w:color="auto"/>
              <w:right w:val="single" w:sz="8" w:space="0" w:color="auto"/>
            </w:tcBorders>
            <w:hideMark/>
          </w:tcPr>
          <w:p w14:paraId="72F2B98E" w14:textId="0EB26A30" w:rsidR="000810BA" w:rsidRDefault="000810BA">
            <w:pPr>
              <w:spacing w:before="120" w:after="120" w:line="276" w:lineRule="auto"/>
              <w:rPr>
                <w:b/>
                <w:sz w:val="18"/>
                <w:szCs w:val="18"/>
              </w:rPr>
            </w:pPr>
            <w:r>
              <w:rPr>
                <w:b/>
                <w:sz w:val="18"/>
                <w:szCs w:val="18"/>
              </w:rPr>
              <w:t>Liu et al. (2015)</w:t>
            </w:r>
            <w:hyperlink r:id="rId13" w:history="1">
              <w:r w:rsidR="00993179" w:rsidRPr="00993179">
                <w:rPr>
                  <w:rStyle w:val="Hyperlink"/>
                  <w:color w:val="000000"/>
                  <w:sz w:val="18"/>
                  <w:u w:val="none"/>
                  <w:vertAlign w:val="superscript"/>
                </w:rPr>
                <w:t>1</w:t>
              </w:r>
            </w:hyperlink>
          </w:p>
        </w:tc>
        <w:tc>
          <w:tcPr>
            <w:tcW w:w="1847" w:type="dxa"/>
            <w:tcBorders>
              <w:top w:val="single" w:sz="4" w:space="0" w:color="auto"/>
              <w:left w:val="single" w:sz="8" w:space="0" w:color="auto"/>
              <w:bottom w:val="single" w:sz="4" w:space="0" w:color="auto"/>
              <w:right w:val="single" w:sz="4" w:space="0" w:color="auto"/>
            </w:tcBorders>
            <w:hideMark/>
          </w:tcPr>
          <w:p w14:paraId="64C57D76" w14:textId="77777777" w:rsidR="000810BA" w:rsidRDefault="000810BA">
            <w:pPr>
              <w:spacing w:before="120" w:after="120" w:line="276" w:lineRule="auto"/>
              <w:rPr>
                <w:b/>
                <w:sz w:val="18"/>
                <w:szCs w:val="18"/>
              </w:rPr>
            </w:pPr>
            <w:r>
              <w:rPr>
                <w:b/>
                <w:sz w:val="18"/>
                <w:szCs w:val="18"/>
              </w:rPr>
              <w:t>AMSTAR 2 (high)</w:t>
            </w:r>
          </w:p>
        </w:tc>
        <w:tc>
          <w:tcPr>
            <w:tcW w:w="1778" w:type="dxa"/>
            <w:tcBorders>
              <w:top w:val="single" w:sz="4" w:space="0" w:color="auto"/>
              <w:left w:val="single" w:sz="4" w:space="0" w:color="auto"/>
              <w:bottom w:val="single" w:sz="4" w:space="0" w:color="auto"/>
              <w:right w:val="single" w:sz="4" w:space="0" w:color="auto"/>
            </w:tcBorders>
            <w:hideMark/>
          </w:tcPr>
          <w:p w14:paraId="076B01E5" w14:textId="77777777" w:rsidR="000810BA" w:rsidRDefault="000810BA">
            <w:pPr>
              <w:spacing w:before="120" w:after="120" w:line="276" w:lineRule="auto"/>
              <w:rPr>
                <w:b/>
                <w:sz w:val="18"/>
                <w:szCs w:val="18"/>
              </w:rPr>
            </w:pPr>
            <w:r>
              <w:rPr>
                <w:b/>
                <w:sz w:val="18"/>
                <w:szCs w:val="18"/>
              </w:rPr>
              <w:t>Level 1</w:t>
            </w:r>
          </w:p>
        </w:tc>
        <w:tc>
          <w:tcPr>
            <w:tcW w:w="1660" w:type="dxa"/>
            <w:tcBorders>
              <w:top w:val="single" w:sz="4" w:space="0" w:color="auto"/>
              <w:left w:val="single" w:sz="4" w:space="0" w:color="auto"/>
              <w:bottom w:val="single" w:sz="4" w:space="0" w:color="auto"/>
              <w:right w:val="single" w:sz="4" w:space="0" w:color="auto"/>
            </w:tcBorders>
            <w:hideMark/>
          </w:tcPr>
          <w:p w14:paraId="2F34627E" w14:textId="77777777" w:rsidR="000810BA" w:rsidRDefault="000810BA">
            <w:pPr>
              <w:spacing w:before="120" w:after="120" w:line="276" w:lineRule="auto"/>
              <w:rPr>
                <w:b/>
                <w:sz w:val="18"/>
                <w:szCs w:val="18"/>
              </w:rPr>
            </w:pPr>
            <w:r>
              <w:rPr>
                <w:b/>
                <w:sz w:val="18"/>
                <w:szCs w:val="18"/>
              </w:rPr>
              <w:t>High</w:t>
            </w:r>
          </w:p>
        </w:tc>
        <w:tc>
          <w:tcPr>
            <w:tcW w:w="2687" w:type="dxa"/>
            <w:tcBorders>
              <w:top w:val="single" w:sz="4" w:space="0" w:color="auto"/>
              <w:left w:val="single" w:sz="4" w:space="0" w:color="auto"/>
              <w:bottom w:val="single" w:sz="4" w:space="0" w:color="auto"/>
              <w:right w:val="single" w:sz="4" w:space="0" w:color="auto"/>
            </w:tcBorders>
            <w:hideMark/>
          </w:tcPr>
          <w:p w14:paraId="07B34D60" w14:textId="77777777" w:rsidR="000810BA" w:rsidRDefault="000810BA">
            <w:pPr>
              <w:spacing w:before="120" w:after="120" w:line="276" w:lineRule="auto"/>
              <w:rPr>
                <w:b/>
                <w:sz w:val="18"/>
                <w:szCs w:val="18"/>
              </w:rPr>
            </w:pPr>
            <w:r>
              <w:rPr>
                <w:b/>
                <w:sz w:val="18"/>
                <w:szCs w:val="18"/>
              </w:rPr>
              <w:t>Meta-analysis of RCTs, prospective and retrospective cohort studies</w:t>
            </w:r>
          </w:p>
        </w:tc>
      </w:tr>
      <w:tr w:rsidR="000810BA" w14:paraId="05D558BF" w14:textId="77777777" w:rsidTr="000810BA">
        <w:tc>
          <w:tcPr>
            <w:tcW w:w="2818" w:type="dxa"/>
            <w:tcBorders>
              <w:top w:val="single" w:sz="4" w:space="0" w:color="auto"/>
              <w:left w:val="single" w:sz="4" w:space="0" w:color="auto"/>
              <w:bottom w:val="single" w:sz="4" w:space="0" w:color="auto"/>
              <w:right w:val="single" w:sz="8" w:space="0" w:color="auto"/>
            </w:tcBorders>
            <w:hideMark/>
          </w:tcPr>
          <w:p w14:paraId="56B92E2B" w14:textId="16E1D0DE" w:rsidR="000810BA" w:rsidRDefault="000810BA">
            <w:pPr>
              <w:spacing w:before="120" w:after="120" w:line="276" w:lineRule="auto"/>
              <w:rPr>
                <w:b/>
                <w:sz w:val="18"/>
                <w:szCs w:val="18"/>
              </w:rPr>
            </w:pPr>
            <w:proofErr w:type="spellStart"/>
            <w:r>
              <w:rPr>
                <w:b/>
                <w:sz w:val="18"/>
                <w:szCs w:val="18"/>
              </w:rPr>
              <w:t>Manganaro</w:t>
            </w:r>
            <w:proofErr w:type="spellEnd"/>
            <w:r>
              <w:rPr>
                <w:b/>
                <w:sz w:val="18"/>
                <w:szCs w:val="18"/>
              </w:rPr>
              <w:t xml:space="preserve"> et al. (2008)</w:t>
            </w:r>
            <w:hyperlink r:id="rId14" w:history="1">
              <w:r w:rsidR="00993179" w:rsidRPr="00993179">
                <w:rPr>
                  <w:rStyle w:val="Hyperlink"/>
                  <w:color w:val="000000"/>
                  <w:sz w:val="18"/>
                  <w:u w:val="none"/>
                  <w:vertAlign w:val="superscript"/>
                </w:rPr>
                <w:t>7</w:t>
              </w:r>
            </w:hyperlink>
          </w:p>
        </w:tc>
        <w:tc>
          <w:tcPr>
            <w:tcW w:w="1847" w:type="dxa"/>
            <w:tcBorders>
              <w:top w:val="single" w:sz="4" w:space="0" w:color="auto"/>
              <w:left w:val="single" w:sz="8" w:space="0" w:color="auto"/>
              <w:bottom w:val="single" w:sz="4" w:space="0" w:color="auto"/>
              <w:right w:val="single" w:sz="4" w:space="0" w:color="auto"/>
            </w:tcBorders>
            <w:hideMark/>
          </w:tcPr>
          <w:p w14:paraId="192D195D" w14:textId="77777777" w:rsidR="000810BA" w:rsidRDefault="000810BA">
            <w:pPr>
              <w:spacing w:before="120" w:after="120" w:line="276" w:lineRule="auto"/>
              <w:rPr>
                <w:b/>
                <w:sz w:val="18"/>
                <w:szCs w:val="18"/>
              </w:rPr>
            </w:pPr>
            <w:r>
              <w:rPr>
                <w:b/>
                <w:sz w:val="18"/>
                <w:szCs w:val="18"/>
              </w:rPr>
              <w:t>Downs and Black Checklist (18/27, fair)</w:t>
            </w:r>
          </w:p>
        </w:tc>
        <w:tc>
          <w:tcPr>
            <w:tcW w:w="1778" w:type="dxa"/>
            <w:tcBorders>
              <w:top w:val="single" w:sz="4" w:space="0" w:color="auto"/>
              <w:left w:val="single" w:sz="4" w:space="0" w:color="auto"/>
              <w:bottom w:val="single" w:sz="4" w:space="0" w:color="auto"/>
              <w:right w:val="single" w:sz="4" w:space="0" w:color="auto"/>
            </w:tcBorders>
            <w:hideMark/>
          </w:tcPr>
          <w:p w14:paraId="7232D448" w14:textId="77777777" w:rsidR="000810BA" w:rsidRDefault="000810BA">
            <w:pPr>
              <w:spacing w:before="120" w:after="120" w:line="276" w:lineRule="auto"/>
              <w:rPr>
                <w:b/>
                <w:sz w:val="18"/>
                <w:szCs w:val="18"/>
              </w:rPr>
            </w:pPr>
            <w:r>
              <w:rPr>
                <w:b/>
                <w:sz w:val="18"/>
                <w:szCs w:val="18"/>
              </w:rPr>
              <w:t>Level 3</w:t>
            </w:r>
          </w:p>
        </w:tc>
        <w:tc>
          <w:tcPr>
            <w:tcW w:w="1660" w:type="dxa"/>
            <w:tcBorders>
              <w:top w:val="single" w:sz="4" w:space="0" w:color="auto"/>
              <w:left w:val="single" w:sz="4" w:space="0" w:color="auto"/>
              <w:bottom w:val="single" w:sz="4" w:space="0" w:color="auto"/>
              <w:right w:val="single" w:sz="4" w:space="0" w:color="auto"/>
            </w:tcBorders>
            <w:hideMark/>
          </w:tcPr>
          <w:p w14:paraId="2306C3A5" w14:textId="77777777" w:rsidR="000810BA" w:rsidRDefault="000810BA">
            <w:pPr>
              <w:spacing w:before="120" w:after="120" w:line="276" w:lineRule="auto"/>
              <w:rPr>
                <w:b/>
                <w:sz w:val="18"/>
                <w:szCs w:val="18"/>
              </w:rPr>
            </w:pPr>
            <w:r>
              <w:rPr>
                <w:b/>
                <w:sz w:val="18"/>
                <w:szCs w:val="18"/>
              </w:rPr>
              <w:t>High</w:t>
            </w:r>
          </w:p>
        </w:tc>
        <w:tc>
          <w:tcPr>
            <w:tcW w:w="2687" w:type="dxa"/>
            <w:tcBorders>
              <w:top w:val="single" w:sz="4" w:space="0" w:color="auto"/>
              <w:left w:val="single" w:sz="4" w:space="0" w:color="auto"/>
              <w:bottom w:val="single" w:sz="4" w:space="0" w:color="auto"/>
              <w:right w:val="single" w:sz="4" w:space="0" w:color="auto"/>
            </w:tcBorders>
            <w:hideMark/>
          </w:tcPr>
          <w:p w14:paraId="558C6396" w14:textId="77777777" w:rsidR="000810BA" w:rsidRDefault="000810BA">
            <w:pPr>
              <w:spacing w:before="120" w:after="120" w:line="276" w:lineRule="auto"/>
              <w:rPr>
                <w:b/>
                <w:sz w:val="18"/>
                <w:szCs w:val="18"/>
              </w:rPr>
            </w:pPr>
            <w:r>
              <w:rPr>
                <w:b/>
                <w:sz w:val="18"/>
                <w:szCs w:val="18"/>
              </w:rPr>
              <w:t>Retrospective quasi-experimental study</w:t>
            </w:r>
          </w:p>
        </w:tc>
      </w:tr>
      <w:tr w:rsidR="000810BA" w14:paraId="798D8EEF" w14:textId="77777777" w:rsidTr="000810BA">
        <w:tc>
          <w:tcPr>
            <w:tcW w:w="2818" w:type="dxa"/>
            <w:tcBorders>
              <w:top w:val="single" w:sz="4" w:space="0" w:color="auto"/>
              <w:left w:val="single" w:sz="4" w:space="0" w:color="auto"/>
              <w:bottom w:val="single" w:sz="4" w:space="0" w:color="auto"/>
              <w:right w:val="single" w:sz="8" w:space="0" w:color="auto"/>
            </w:tcBorders>
            <w:hideMark/>
          </w:tcPr>
          <w:p w14:paraId="64BA5666" w14:textId="7B7C9E79" w:rsidR="000810BA" w:rsidRDefault="000810BA">
            <w:pPr>
              <w:spacing w:before="120" w:after="120" w:line="276" w:lineRule="auto"/>
              <w:rPr>
                <w:b/>
                <w:sz w:val="18"/>
                <w:szCs w:val="18"/>
              </w:rPr>
            </w:pPr>
            <w:proofErr w:type="spellStart"/>
            <w:r>
              <w:rPr>
                <w:b/>
                <w:sz w:val="18"/>
                <w:szCs w:val="18"/>
              </w:rPr>
              <w:t>Romeras</w:t>
            </w:r>
            <w:proofErr w:type="spellEnd"/>
            <w:r>
              <w:rPr>
                <w:b/>
                <w:sz w:val="18"/>
                <w:szCs w:val="18"/>
              </w:rPr>
              <w:t>-Villegas et al. (2008)</w:t>
            </w:r>
            <w:hyperlink r:id="rId15" w:history="1">
              <w:r w:rsidR="00993179" w:rsidRPr="00993179">
                <w:rPr>
                  <w:rStyle w:val="Hyperlink"/>
                  <w:color w:val="000000"/>
                  <w:sz w:val="18"/>
                  <w:u w:val="none"/>
                  <w:vertAlign w:val="superscript"/>
                </w:rPr>
                <w:t>8</w:t>
              </w:r>
            </w:hyperlink>
          </w:p>
        </w:tc>
        <w:tc>
          <w:tcPr>
            <w:tcW w:w="1847" w:type="dxa"/>
            <w:tcBorders>
              <w:top w:val="single" w:sz="4" w:space="0" w:color="auto"/>
              <w:left w:val="single" w:sz="8" w:space="0" w:color="auto"/>
              <w:bottom w:val="single" w:sz="4" w:space="0" w:color="auto"/>
              <w:right w:val="single" w:sz="4" w:space="0" w:color="auto"/>
            </w:tcBorders>
            <w:hideMark/>
          </w:tcPr>
          <w:p w14:paraId="5B917E0A" w14:textId="77777777" w:rsidR="000810BA" w:rsidRDefault="000810BA">
            <w:pPr>
              <w:spacing w:before="120" w:after="120" w:line="276" w:lineRule="auto"/>
              <w:rPr>
                <w:b/>
                <w:sz w:val="18"/>
                <w:szCs w:val="18"/>
              </w:rPr>
            </w:pPr>
            <w:proofErr w:type="spellStart"/>
            <w:r>
              <w:rPr>
                <w:b/>
                <w:sz w:val="18"/>
                <w:szCs w:val="18"/>
              </w:rPr>
              <w:t>PEDro</w:t>
            </w:r>
            <w:proofErr w:type="spellEnd"/>
            <w:r>
              <w:rPr>
                <w:b/>
                <w:sz w:val="18"/>
                <w:szCs w:val="18"/>
              </w:rPr>
              <w:t xml:space="preserve"> (6/10, good)</w:t>
            </w:r>
          </w:p>
        </w:tc>
        <w:tc>
          <w:tcPr>
            <w:tcW w:w="1778" w:type="dxa"/>
            <w:tcBorders>
              <w:top w:val="single" w:sz="4" w:space="0" w:color="auto"/>
              <w:left w:val="single" w:sz="4" w:space="0" w:color="auto"/>
              <w:bottom w:val="single" w:sz="4" w:space="0" w:color="auto"/>
              <w:right w:val="single" w:sz="4" w:space="0" w:color="auto"/>
            </w:tcBorders>
            <w:hideMark/>
          </w:tcPr>
          <w:p w14:paraId="779D308D" w14:textId="77777777" w:rsidR="000810BA" w:rsidRDefault="000810BA">
            <w:pPr>
              <w:spacing w:before="120" w:after="120" w:line="276" w:lineRule="auto"/>
              <w:rPr>
                <w:b/>
                <w:sz w:val="18"/>
                <w:szCs w:val="18"/>
              </w:rPr>
            </w:pPr>
            <w:r>
              <w:rPr>
                <w:b/>
                <w:sz w:val="18"/>
                <w:szCs w:val="18"/>
              </w:rPr>
              <w:t>Level 2</w:t>
            </w:r>
          </w:p>
        </w:tc>
        <w:tc>
          <w:tcPr>
            <w:tcW w:w="1660" w:type="dxa"/>
            <w:tcBorders>
              <w:top w:val="single" w:sz="4" w:space="0" w:color="auto"/>
              <w:left w:val="single" w:sz="4" w:space="0" w:color="auto"/>
              <w:bottom w:val="single" w:sz="4" w:space="0" w:color="auto"/>
              <w:right w:val="single" w:sz="4" w:space="0" w:color="auto"/>
            </w:tcBorders>
            <w:hideMark/>
          </w:tcPr>
          <w:p w14:paraId="645C9924" w14:textId="77777777" w:rsidR="000810BA" w:rsidRDefault="000810BA">
            <w:pPr>
              <w:spacing w:before="120" w:after="120" w:line="276" w:lineRule="auto"/>
              <w:rPr>
                <w:b/>
                <w:sz w:val="18"/>
                <w:szCs w:val="18"/>
              </w:rPr>
            </w:pPr>
            <w:r>
              <w:rPr>
                <w:b/>
                <w:sz w:val="18"/>
                <w:szCs w:val="18"/>
              </w:rPr>
              <w:t>Moderate</w:t>
            </w:r>
          </w:p>
        </w:tc>
        <w:tc>
          <w:tcPr>
            <w:tcW w:w="2687" w:type="dxa"/>
            <w:tcBorders>
              <w:top w:val="single" w:sz="4" w:space="0" w:color="auto"/>
              <w:left w:val="single" w:sz="4" w:space="0" w:color="auto"/>
              <w:bottom w:val="single" w:sz="4" w:space="0" w:color="auto"/>
              <w:right w:val="single" w:sz="4" w:space="0" w:color="auto"/>
            </w:tcBorders>
            <w:hideMark/>
          </w:tcPr>
          <w:p w14:paraId="4F6BE719" w14:textId="77777777" w:rsidR="000810BA" w:rsidRDefault="000810BA">
            <w:pPr>
              <w:spacing w:before="120" w:after="120" w:line="276" w:lineRule="auto"/>
              <w:rPr>
                <w:b/>
                <w:sz w:val="18"/>
                <w:szCs w:val="18"/>
              </w:rPr>
            </w:pPr>
            <w:r>
              <w:rPr>
                <w:b/>
                <w:sz w:val="18"/>
                <w:szCs w:val="18"/>
              </w:rPr>
              <w:t>Prospective RCT</w:t>
            </w:r>
          </w:p>
        </w:tc>
      </w:tr>
    </w:tbl>
    <w:p w14:paraId="42E7252F" w14:textId="4A939DFC" w:rsidR="000810BA" w:rsidRDefault="000810BA" w:rsidP="00D76272">
      <w:pPr>
        <w:spacing w:before="120" w:after="120"/>
        <w:rPr>
          <w:iCs/>
          <w:color w:val="365F91" w:themeColor="accent1" w:themeShade="BF"/>
        </w:rPr>
      </w:pPr>
    </w:p>
    <w:p w14:paraId="72370C32" w14:textId="77777777" w:rsidR="00D76272" w:rsidRDefault="00D76272" w:rsidP="00D76272">
      <w:pPr>
        <w:spacing w:before="120" w:after="120"/>
        <w:rPr>
          <w:sz w:val="18"/>
          <w:szCs w:val="18"/>
        </w:rPr>
      </w:pPr>
      <w:r>
        <w:rPr>
          <w:sz w:val="18"/>
          <w:szCs w:val="18"/>
        </w:rPr>
        <w:t>*Indicate tool name and score</w:t>
      </w:r>
    </w:p>
    <w:p w14:paraId="53CAE402" w14:textId="77777777" w:rsidR="004C0648" w:rsidRDefault="004C0648" w:rsidP="004C0648">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Table 36-1: Summary of Levels of Evidence (2020). If downgraded, indicate reason why.</w:t>
      </w:r>
    </w:p>
    <w:p w14:paraId="41049D84" w14:textId="77777777" w:rsidR="00D76272" w:rsidRDefault="00D76272" w:rsidP="00D76272">
      <w:pPr>
        <w:spacing w:before="120" w:after="120"/>
        <w:rPr>
          <w:b/>
          <w:sz w:val="18"/>
          <w:szCs w:val="18"/>
        </w:rPr>
      </w:pPr>
    </w:p>
    <w:p w14:paraId="691BB19C" w14:textId="77777777" w:rsidR="001C5A94" w:rsidRDefault="001403EC" w:rsidP="001C5A94">
      <w:pPr>
        <w:spacing w:before="120" w:after="120"/>
        <w:rPr>
          <w:b/>
          <w:sz w:val="18"/>
          <w:szCs w:val="18"/>
        </w:rPr>
      </w:pPr>
      <w:r w:rsidRPr="00B75AAB">
        <w:rPr>
          <w:b/>
          <w:sz w:val="18"/>
          <w:szCs w:val="18"/>
        </w:rPr>
        <w:t>BEST EVIDENCE</w:t>
      </w:r>
    </w:p>
    <w:p w14:paraId="667993A6" w14:textId="725EA31D"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33AEFA02" w14:textId="77777777" w:rsidTr="002F16E1">
        <w:tc>
          <w:tcPr>
            <w:tcW w:w="10421" w:type="dxa"/>
            <w:shd w:val="clear" w:color="auto" w:fill="auto"/>
          </w:tcPr>
          <w:p w14:paraId="55B426CD" w14:textId="473112E5" w:rsidR="000810BA" w:rsidRPr="000810BA" w:rsidRDefault="000810BA" w:rsidP="000810BA">
            <w:pPr>
              <w:numPr>
                <w:ilvl w:val="0"/>
                <w:numId w:val="12"/>
              </w:numPr>
              <w:spacing w:before="120" w:after="120"/>
              <w:rPr>
                <w:b/>
                <w:sz w:val="18"/>
                <w:szCs w:val="18"/>
              </w:rPr>
            </w:pPr>
            <w:r w:rsidRPr="000810BA">
              <w:rPr>
                <w:b/>
                <w:sz w:val="18"/>
                <w:szCs w:val="18"/>
              </w:rPr>
              <w:t>Liu et al.</w:t>
            </w:r>
            <w:hyperlink r:id="rId16" w:history="1">
              <w:r w:rsidR="00993179" w:rsidRPr="00993179">
                <w:rPr>
                  <w:rStyle w:val="Hyperlink"/>
                  <w:color w:val="000000"/>
                  <w:sz w:val="18"/>
                  <w:u w:val="none"/>
                  <w:vertAlign w:val="superscript"/>
                </w:rPr>
                <w:t>1</w:t>
              </w:r>
            </w:hyperlink>
          </w:p>
          <w:p w14:paraId="7B416B66" w14:textId="2DB41EF6" w:rsidR="000810BA" w:rsidRPr="000810BA" w:rsidRDefault="000810BA" w:rsidP="000810BA">
            <w:pPr>
              <w:spacing w:before="120" w:after="120"/>
              <w:rPr>
                <w:b/>
                <w:sz w:val="18"/>
                <w:szCs w:val="18"/>
              </w:rPr>
            </w:pPr>
            <w:r w:rsidRPr="000810BA">
              <w:rPr>
                <w:b/>
                <w:sz w:val="18"/>
                <w:szCs w:val="18"/>
              </w:rPr>
              <w:t xml:space="preserve">This article is the highest quality systematic review </w:t>
            </w:r>
            <w:r w:rsidR="00CD45EB">
              <w:rPr>
                <w:b/>
                <w:sz w:val="18"/>
                <w:szCs w:val="18"/>
              </w:rPr>
              <w:t xml:space="preserve">I appraised </w:t>
            </w:r>
            <w:r w:rsidRPr="000810BA">
              <w:rPr>
                <w:b/>
                <w:sz w:val="18"/>
                <w:szCs w:val="18"/>
              </w:rPr>
              <w:t>with articles included from all over the world</w:t>
            </w:r>
            <w:proofErr w:type="gramStart"/>
            <w:r w:rsidRPr="000810BA">
              <w:rPr>
                <w:b/>
                <w:sz w:val="18"/>
                <w:szCs w:val="18"/>
              </w:rPr>
              <w:t xml:space="preserve">.  </w:t>
            </w:r>
            <w:proofErr w:type="gramEnd"/>
            <w:r w:rsidR="00F3202E">
              <w:rPr>
                <w:b/>
                <w:sz w:val="18"/>
                <w:szCs w:val="18"/>
              </w:rPr>
              <w:t>There were no major flaws in methodology as assessed by the AMSTAR 2</w:t>
            </w:r>
            <w:proofErr w:type="gramStart"/>
            <w:r w:rsidR="00F3202E">
              <w:rPr>
                <w:b/>
                <w:sz w:val="18"/>
                <w:szCs w:val="18"/>
              </w:rPr>
              <w:t>.</w:t>
            </w:r>
            <w:r w:rsidRPr="000810BA">
              <w:rPr>
                <w:b/>
                <w:sz w:val="18"/>
                <w:szCs w:val="18"/>
              </w:rPr>
              <w:t xml:space="preserve">  </w:t>
            </w:r>
            <w:proofErr w:type="gramEnd"/>
            <w:r w:rsidRPr="000810BA">
              <w:rPr>
                <w:b/>
                <w:sz w:val="18"/>
                <w:szCs w:val="18"/>
              </w:rPr>
              <w:t xml:space="preserve">The authors </w:t>
            </w:r>
            <w:r w:rsidR="00590A83">
              <w:rPr>
                <w:b/>
                <w:sz w:val="18"/>
                <w:szCs w:val="18"/>
              </w:rPr>
              <w:t xml:space="preserve">made every effort to maximize the internal and external validity and </w:t>
            </w:r>
            <w:r w:rsidRPr="000810BA">
              <w:rPr>
                <w:b/>
                <w:sz w:val="18"/>
                <w:szCs w:val="18"/>
              </w:rPr>
              <w:t>performed extensive statistical analysis to answer their research questions that were directly relevant to my PICO.</w:t>
            </w:r>
          </w:p>
          <w:p w14:paraId="17C21B99" w14:textId="1C5F8522" w:rsidR="000810BA" w:rsidRPr="000810BA" w:rsidRDefault="000810BA" w:rsidP="000810BA">
            <w:pPr>
              <w:numPr>
                <w:ilvl w:val="0"/>
                <w:numId w:val="12"/>
              </w:numPr>
              <w:spacing w:before="120" w:after="120"/>
              <w:rPr>
                <w:b/>
                <w:sz w:val="18"/>
                <w:szCs w:val="18"/>
              </w:rPr>
            </w:pPr>
            <w:proofErr w:type="spellStart"/>
            <w:r w:rsidRPr="000810BA">
              <w:rPr>
                <w:b/>
                <w:sz w:val="18"/>
                <w:szCs w:val="18"/>
              </w:rPr>
              <w:t>Hillegas</w:t>
            </w:r>
            <w:proofErr w:type="spellEnd"/>
            <w:r w:rsidRPr="000810BA">
              <w:rPr>
                <w:b/>
                <w:sz w:val="18"/>
                <w:szCs w:val="18"/>
              </w:rPr>
              <w:t xml:space="preserve"> et al.</w:t>
            </w:r>
            <w:hyperlink r:id="rId17" w:history="1">
              <w:r w:rsidR="00993179" w:rsidRPr="00993179">
                <w:rPr>
                  <w:rStyle w:val="Hyperlink"/>
                  <w:color w:val="000000"/>
                  <w:sz w:val="18"/>
                  <w:u w:val="none"/>
                  <w:vertAlign w:val="superscript"/>
                </w:rPr>
                <w:t>2</w:t>
              </w:r>
            </w:hyperlink>
          </w:p>
          <w:p w14:paraId="7697AC04" w14:textId="3F84A178" w:rsidR="005458B8" w:rsidRPr="000810BA" w:rsidRDefault="00CD45EB" w:rsidP="000810BA">
            <w:pPr>
              <w:spacing w:before="120" w:after="120"/>
              <w:rPr>
                <w:b/>
                <w:sz w:val="18"/>
                <w:szCs w:val="18"/>
              </w:rPr>
            </w:pPr>
            <w:r>
              <w:rPr>
                <w:b/>
                <w:sz w:val="18"/>
                <w:szCs w:val="18"/>
              </w:rPr>
              <w:t>T</w:t>
            </w:r>
            <w:r w:rsidR="000810BA" w:rsidRPr="000810BA">
              <w:rPr>
                <w:b/>
                <w:sz w:val="18"/>
                <w:szCs w:val="18"/>
              </w:rPr>
              <w:t>he supporting evidence for recommendations directly related to my PICO were of high quality</w:t>
            </w:r>
            <w:r>
              <w:rPr>
                <w:b/>
                <w:sz w:val="18"/>
                <w:szCs w:val="18"/>
              </w:rPr>
              <w:t xml:space="preserve"> in this CPG</w:t>
            </w:r>
            <w:proofErr w:type="gramStart"/>
            <w:r w:rsidR="000810BA" w:rsidRPr="000810BA">
              <w:rPr>
                <w:b/>
                <w:sz w:val="18"/>
                <w:szCs w:val="18"/>
              </w:rPr>
              <w:t xml:space="preserve">. </w:t>
            </w:r>
            <w:r w:rsidR="00590A83">
              <w:rPr>
                <w:b/>
                <w:sz w:val="18"/>
                <w:szCs w:val="18"/>
              </w:rPr>
              <w:t xml:space="preserve"> </w:t>
            </w:r>
            <w:proofErr w:type="gramEnd"/>
            <w:r w:rsidR="00590A83">
              <w:rPr>
                <w:b/>
                <w:sz w:val="18"/>
                <w:szCs w:val="18"/>
              </w:rPr>
              <w:t>The overall guideline is also well designed and has good validity based on the AGREE II tool</w:t>
            </w:r>
            <w:proofErr w:type="gramStart"/>
            <w:r w:rsidR="00590A83">
              <w:rPr>
                <w:b/>
                <w:sz w:val="18"/>
                <w:szCs w:val="18"/>
              </w:rPr>
              <w:t xml:space="preserve">. </w:t>
            </w:r>
            <w:r w:rsidR="000810BA" w:rsidRPr="000810BA">
              <w:rPr>
                <w:b/>
                <w:sz w:val="18"/>
                <w:szCs w:val="18"/>
              </w:rPr>
              <w:t xml:space="preserve"> </w:t>
            </w:r>
            <w:proofErr w:type="gramEnd"/>
            <w:r w:rsidR="000810BA" w:rsidRPr="000810BA">
              <w:rPr>
                <w:b/>
                <w:sz w:val="18"/>
                <w:szCs w:val="18"/>
              </w:rPr>
              <w:t>I found it especially relevant to my clinical scenario because the review included an algorithm that not only detailed who should participate in early ambulation over bed rest, but what specific factors we as PTs should consider before initiating mobility</w:t>
            </w:r>
            <w:proofErr w:type="gramStart"/>
            <w:r w:rsidR="000810BA" w:rsidRPr="000810BA">
              <w:rPr>
                <w:b/>
                <w:sz w:val="18"/>
                <w:szCs w:val="18"/>
              </w:rPr>
              <w:t xml:space="preserve">.  </w:t>
            </w:r>
            <w:proofErr w:type="gramEnd"/>
            <w:r w:rsidR="000810BA" w:rsidRPr="000810BA">
              <w:rPr>
                <w:b/>
                <w:sz w:val="18"/>
                <w:szCs w:val="18"/>
              </w:rPr>
              <w:t>The direct recommendations for physical therapy practice cannot be overlooked.</w:t>
            </w:r>
          </w:p>
        </w:tc>
      </w:tr>
    </w:tbl>
    <w:p w14:paraId="5AB9EF93" w14:textId="77777777" w:rsidR="0011199B" w:rsidRDefault="001403EC" w:rsidP="0011199B">
      <w:pPr>
        <w:spacing w:before="120" w:after="120"/>
        <w:rPr>
          <w:b/>
          <w:sz w:val="18"/>
          <w:szCs w:val="18"/>
        </w:rPr>
      </w:pPr>
      <w:r w:rsidRPr="00B75AAB">
        <w:rPr>
          <w:b/>
          <w:sz w:val="18"/>
          <w:szCs w:val="18"/>
        </w:rPr>
        <w:t>SUMMARY OF BEST EVIDENCE</w:t>
      </w:r>
    </w:p>
    <w:p w14:paraId="2A28B3DE" w14:textId="55A4F47B"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CD45EB">
        <w:rPr>
          <w:b/>
          <w:sz w:val="18"/>
          <w:szCs w:val="18"/>
        </w:rPr>
        <w:t>(Bed Rest versus Early Ambulation with Standard Anticoagulation in the Management of Deep Vein Thrombosis: A Meta-Analysis</w:t>
      </w:r>
      <w:r w:rsidR="001E5719" w:rsidRPr="001D4F60">
        <w:rPr>
          <w:b/>
          <w:sz w:val="18"/>
          <w:szCs w:val="18"/>
        </w:rPr>
        <w:t xml:space="preserve">) by </w:t>
      </w:r>
      <w:r w:rsidR="001403EC" w:rsidRPr="001D4F60">
        <w:rPr>
          <w:b/>
          <w:sz w:val="18"/>
          <w:szCs w:val="18"/>
        </w:rPr>
        <w:t>(</w:t>
      </w:r>
      <w:r w:rsidR="00CD45EB">
        <w:rPr>
          <w:b/>
          <w:sz w:val="18"/>
          <w:szCs w:val="18"/>
        </w:rPr>
        <w:t>Liu et al</w:t>
      </w:r>
      <w:r w:rsidR="001D6903">
        <w:rPr>
          <w:b/>
          <w:sz w:val="18"/>
          <w:szCs w:val="18"/>
        </w:rPr>
        <w:t>.</w:t>
      </w:r>
      <w:r w:rsidR="00CD45EB">
        <w:rPr>
          <w:b/>
          <w:sz w:val="18"/>
          <w:szCs w:val="18"/>
        </w:rPr>
        <w:t>, 2015</w:t>
      </w:r>
      <w:r w:rsidR="001403EC" w:rsidRPr="001D4F60">
        <w:rPr>
          <w:b/>
          <w:sz w:val="18"/>
          <w:szCs w:val="18"/>
        </w:rPr>
        <w:t>)</w:t>
      </w:r>
      <w:hyperlink r:id="rId18" w:history="1">
        <w:r w:rsidR="00993179" w:rsidRPr="00993179">
          <w:rPr>
            <w:rStyle w:val="Hyperlink"/>
            <w:color w:val="000000"/>
            <w:sz w:val="18"/>
            <w:u w:val="none"/>
            <w:vertAlign w:val="superscript"/>
          </w:rPr>
          <w:t>1</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05BDC61B" w14:textId="77777777" w:rsidTr="001D4F60">
        <w:tc>
          <w:tcPr>
            <w:tcW w:w="10421" w:type="dxa"/>
            <w:shd w:val="clear" w:color="auto" w:fill="E6E6E6"/>
          </w:tcPr>
          <w:p w14:paraId="768920D7"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497B7E0" w14:textId="77777777" w:rsidTr="001D4F60">
        <w:tc>
          <w:tcPr>
            <w:tcW w:w="10421" w:type="dxa"/>
            <w:tcBorders>
              <w:bottom w:val="single" w:sz="4" w:space="0" w:color="auto"/>
            </w:tcBorders>
            <w:shd w:val="clear" w:color="auto" w:fill="auto"/>
          </w:tcPr>
          <w:p w14:paraId="1F8D0BE0" w14:textId="214AF3F0" w:rsidR="001D4F60" w:rsidRPr="002F16E1" w:rsidRDefault="001D6903" w:rsidP="009E380F">
            <w:pPr>
              <w:spacing w:before="120" w:after="120"/>
              <w:rPr>
                <w:sz w:val="18"/>
                <w:szCs w:val="18"/>
              </w:rPr>
            </w:pPr>
            <w:r>
              <w:rPr>
                <w:sz w:val="18"/>
                <w:szCs w:val="18"/>
              </w:rPr>
              <w:t xml:space="preserve">The systematic review by Liu et al. aims to determine the effect of early ambulation vs. bed rest on several outcomes of interest in patients with a diagnosed DVT, including development of a pulmonary embolism, progression of the DVT and improvement of pain and </w:t>
            </w:r>
            <w:proofErr w:type="spellStart"/>
            <w:r>
              <w:rPr>
                <w:sz w:val="18"/>
                <w:szCs w:val="18"/>
              </w:rPr>
              <w:t>edema</w:t>
            </w:r>
            <w:proofErr w:type="spellEnd"/>
            <w:r>
              <w:rPr>
                <w:sz w:val="18"/>
                <w:szCs w:val="18"/>
              </w:rPr>
              <w:t>.</w:t>
            </w:r>
          </w:p>
          <w:p w14:paraId="010D4188" w14:textId="77777777" w:rsidR="001D4F60" w:rsidRPr="002F16E1" w:rsidRDefault="001D4F60" w:rsidP="009E380F">
            <w:pPr>
              <w:spacing w:before="120" w:after="120"/>
              <w:jc w:val="right"/>
              <w:rPr>
                <w:sz w:val="18"/>
                <w:szCs w:val="18"/>
              </w:rPr>
            </w:pPr>
          </w:p>
        </w:tc>
      </w:tr>
      <w:tr w:rsidR="001D4F60" w:rsidRPr="002F16E1" w14:paraId="1EA056D6" w14:textId="77777777" w:rsidTr="001D4F60">
        <w:tc>
          <w:tcPr>
            <w:tcW w:w="10421" w:type="dxa"/>
            <w:shd w:val="clear" w:color="auto" w:fill="E6E6E6"/>
          </w:tcPr>
          <w:p w14:paraId="7B75F26D" w14:textId="77777777" w:rsidR="001D4F60" w:rsidRPr="002F16E1" w:rsidRDefault="001D4F60" w:rsidP="009E380F">
            <w:pPr>
              <w:spacing w:before="120" w:after="120"/>
              <w:jc w:val="both"/>
              <w:rPr>
                <w:b/>
                <w:sz w:val="18"/>
                <w:szCs w:val="18"/>
              </w:rPr>
            </w:pPr>
            <w:r w:rsidRPr="002F16E1">
              <w:rPr>
                <w:b/>
                <w:sz w:val="18"/>
                <w:szCs w:val="18"/>
              </w:rPr>
              <w:t>Study Design</w:t>
            </w:r>
          </w:p>
          <w:p w14:paraId="76E2341C" w14:textId="7DA16B6D"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w:t>
            </w:r>
            <w:r w:rsidR="004C0648">
              <w:rPr>
                <w:sz w:val="18"/>
                <w:szCs w:val="18"/>
              </w:rPr>
              <w:t xml:space="preserve"> </w:t>
            </w:r>
            <w:r w:rsidRPr="002F16E1">
              <w:rPr>
                <w:sz w:val="18"/>
                <w:szCs w:val="18"/>
              </w:rPr>
              <w:t xml:space="preserve">Includes information about study characteristics such as blinding and allocation concealment. When were outcomes measured, if </w:t>
            </w:r>
            <w:proofErr w:type="gramStart"/>
            <w:r w:rsidRPr="002F16E1">
              <w:rPr>
                <w:sz w:val="18"/>
                <w:szCs w:val="18"/>
              </w:rPr>
              <w:t>relevant]</w:t>
            </w:r>
            <w:proofErr w:type="gramEnd"/>
          </w:p>
          <w:p w14:paraId="5EF60165" w14:textId="34A328BD"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D9D4F48" w14:textId="77777777" w:rsidTr="001D4F60">
        <w:tc>
          <w:tcPr>
            <w:tcW w:w="10421" w:type="dxa"/>
            <w:tcBorders>
              <w:bottom w:val="single" w:sz="4" w:space="0" w:color="auto"/>
            </w:tcBorders>
            <w:shd w:val="clear" w:color="auto" w:fill="auto"/>
          </w:tcPr>
          <w:p w14:paraId="521DF79A" w14:textId="77777777" w:rsidR="00790896" w:rsidRDefault="001D6903" w:rsidP="009E380F">
            <w:pPr>
              <w:spacing w:before="120" w:after="120"/>
              <w:rPr>
                <w:sz w:val="18"/>
                <w:szCs w:val="18"/>
              </w:rPr>
            </w:pPr>
            <w:r>
              <w:rPr>
                <w:sz w:val="18"/>
                <w:szCs w:val="18"/>
              </w:rPr>
              <w:t xml:space="preserve">The study by Liu et al. is a systematic review and meta-analysis that included 13 </w:t>
            </w:r>
            <w:r w:rsidR="00ED3BAD">
              <w:rPr>
                <w:sz w:val="18"/>
                <w:szCs w:val="18"/>
              </w:rPr>
              <w:t>RCTs, prospective and retrospective cohort studies</w:t>
            </w:r>
            <w:proofErr w:type="gramStart"/>
            <w:r w:rsidR="00ED3BAD">
              <w:rPr>
                <w:sz w:val="18"/>
                <w:szCs w:val="18"/>
              </w:rPr>
              <w:t xml:space="preserve">. </w:t>
            </w:r>
            <w:r w:rsidR="00A468B8">
              <w:rPr>
                <w:sz w:val="18"/>
                <w:szCs w:val="18"/>
              </w:rPr>
              <w:t xml:space="preserve"> </w:t>
            </w:r>
            <w:proofErr w:type="gramEnd"/>
          </w:p>
          <w:p w14:paraId="0C3857B6" w14:textId="4C6898F7" w:rsidR="00D33BE8" w:rsidRDefault="00D33BE8" w:rsidP="009E380F">
            <w:pPr>
              <w:spacing w:before="120" w:after="120"/>
              <w:rPr>
                <w:sz w:val="18"/>
                <w:szCs w:val="18"/>
              </w:rPr>
            </w:pPr>
            <w:r w:rsidRPr="00D33BE8">
              <w:rPr>
                <w:b/>
                <w:bCs/>
                <w:sz w:val="18"/>
                <w:szCs w:val="18"/>
              </w:rPr>
              <w:t>Search Strategy:</w:t>
            </w:r>
            <w:r>
              <w:rPr>
                <w:b/>
                <w:bCs/>
                <w:sz w:val="18"/>
                <w:szCs w:val="18"/>
              </w:rPr>
              <w:t xml:space="preserve"> </w:t>
            </w:r>
            <w:r>
              <w:rPr>
                <w:sz w:val="18"/>
                <w:szCs w:val="18"/>
              </w:rPr>
              <w:t xml:space="preserve">Several databases were included in the search: Embase, Medline, PubMed, Cochrane Library, </w:t>
            </w:r>
            <w:proofErr w:type="spellStart"/>
            <w:r>
              <w:rPr>
                <w:sz w:val="18"/>
                <w:szCs w:val="18"/>
              </w:rPr>
              <w:t>Sinomed</w:t>
            </w:r>
            <w:proofErr w:type="spellEnd"/>
            <w:r>
              <w:rPr>
                <w:sz w:val="18"/>
                <w:szCs w:val="18"/>
              </w:rPr>
              <w:t xml:space="preserve">, </w:t>
            </w:r>
            <w:proofErr w:type="spellStart"/>
            <w:r>
              <w:rPr>
                <w:sz w:val="18"/>
                <w:szCs w:val="18"/>
              </w:rPr>
              <w:t>WanFangData</w:t>
            </w:r>
            <w:proofErr w:type="spellEnd"/>
            <w:r>
              <w:rPr>
                <w:sz w:val="18"/>
                <w:szCs w:val="18"/>
              </w:rPr>
              <w:t xml:space="preserve"> and Chinese National Knowledge Infrastructure</w:t>
            </w:r>
            <w:proofErr w:type="gramStart"/>
            <w:r>
              <w:rPr>
                <w:sz w:val="18"/>
                <w:szCs w:val="18"/>
              </w:rPr>
              <w:t xml:space="preserve">.  </w:t>
            </w:r>
            <w:proofErr w:type="gramEnd"/>
            <w:r>
              <w:rPr>
                <w:sz w:val="18"/>
                <w:szCs w:val="18"/>
              </w:rPr>
              <w:t>Authors used terms such as deep vein thrombosis, ambulation, bed rest</w:t>
            </w:r>
            <w:r w:rsidR="00B51599">
              <w:rPr>
                <w:sz w:val="18"/>
                <w:szCs w:val="18"/>
              </w:rPr>
              <w:t xml:space="preserve"> and pulmonary embolism as well as related Mesh terms and synonyms for the Chinese databases</w:t>
            </w:r>
            <w:proofErr w:type="gramStart"/>
            <w:r w:rsidR="00B51599">
              <w:rPr>
                <w:sz w:val="18"/>
                <w:szCs w:val="18"/>
              </w:rPr>
              <w:t xml:space="preserve">.  </w:t>
            </w:r>
            <w:proofErr w:type="gramEnd"/>
          </w:p>
          <w:p w14:paraId="5D9C934B" w14:textId="64BA2664" w:rsidR="00B51599" w:rsidRPr="00B51599" w:rsidRDefault="00B51599" w:rsidP="009E380F">
            <w:pPr>
              <w:spacing w:before="120" w:after="120"/>
              <w:rPr>
                <w:sz w:val="18"/>
                <w:szCs w:val="18"/>
              </w:rPr>
            </w:pPr>
            <w:r w:rsidRPr="00B51599">
              <w:rPr>
                <w:b/>
                <w:bCs/>
                <w:sz w:val="18"/>
                <w:szCs w:val="18"/>
              </w:rPr>
              <w:t>Selection Criteria:</w:t>
            </w:r>
            <w:r>
              <w:rPr>
                <w:b/>
                <w:bCs/>
                <w:sz w:val="18"/>
                <w:szCs w:val="18"/>
              </w:rPr>
              <w:t xml:space="preserve"> </w:t>
            </w:r>
            <w:r w:rsidR="00E021E8">
              <w:rPr>
                <w:sz w:val="18"/>
                <w:szCs w:val="18"/>
              </w:rPr>
              <w:t xml:space="preserve">Criteria included: </w:t>
            </w:r>
            <w:r>
              <w:rPr>
                <w:sz w:val="18"/>
                <w:szCs w:val="18"/>
              </w:rPr>
              <w:t>RCTs or cohort studies with</w:t>
            </w:r>
            <w:r w:rsidR="003647E9">
              <w:rPr>
                <w:sz w:val="18"/>
                <w:szCs w:val="18"/>
              </w:rPr>
              <w:t xml:space="preserve"> good design and low risk of bias, study participants that have acutely diagnosed DVT, interventions compared early ambulation and bed rest in addition to evidence based medical management such as anticoagulation therapy, study outcomes in</w:t>
            </w:r>
            <w:r w:rsidR="00E021E8">
              <w:rPr>
                <w:sz w:val="18"/>
                <w:szCs w:val="18"/>
              </w:rPr>
              <w:t>vestigating</w:t>
            </w:r>
            <w:r w:rsidR="003647E9">
              <w:rPr>
                <w:sz w:val="18"/>
                <w:szCs w:val="18"/>
              </w:rPr>
              <w:t xml:space="preserve"> at least one of the following- development of a pulmonary embolism, progression of diagnosed DVT, pain and </w:t>
            </w:r>
            <w:proofErr w:type="spellStart"/>
            <w:r w:rsidR="003647E9">
              <w:rPr>
                <w:sz w:val="18"/>
                <w:szCs w:val="18"/>
              </w:rPr>
              <w:t>edema</w:t>
            </w:r>
            <w:proofErr w:type="spellEnd"/>
            <w:proofErr w:type="gramStart"/>
            <w:r w:rsidR="003647E9">
              <w:rPr>
                <w:sz w:val="18"/>
                <w:szCs w:val="18"/>
              </w:rPr>
              <w:t>.</w:t>
            </w:r>
            <w:r w:rsidR="009017F2">
              <w:rPr>
                <w:sz w:val="18"/>
                <w:szCs w:val="18"/>
              </w:rPr>
              <w:t xml:space="preserve">  </w:t>
            </w:r>
            <w:proofErr w:type="gramEnd"/>
          </w:p>
          <w:p w14:paraId="699DF3F4" w14:textId="0618F3E5" w:rsidR="001D4F60" w:rsidRPr="002F16E1" w:rsidRDefault="003647E9" w:rsidP="009E380F">
            <w:pPr>
              <w:spacing w:before="120" w:after="120"/>
              <w:rPr>
                <w:sz w:val="18"/>
                <w:szCs w:val="18"/>
              </w:rPr>
            </w:pPr>
            <w:r w:rsidRPr="003647E9">
              <w:rPr>
                <w:b/>
                <w:bCs/>
                <w:sz w:val="18"/>
                <w:szCs w:val="18"/>
              </w:rPr>
              <w:t xml:space="preserve">Methods: </w:t>
            </w:r>
            <w:r w:rsidR="00E74A12">
              <w:rPr>
                <w:sz w:val="18"/>
                <w:szCs w:val="18"/>
              </w:rPr>
              <w:t xml:space="preserve">An online search was conducted in the databases </w:t>
            </w:r>
            <w:r w:rsidR="009017F2">
              <w:rPr>
                <w:sz w:val="18"/>
                <w:szCs w:val="18"/>
              </w:rPr>
              <w:t xml:space="preserve">listed in the Search Strategy, </w:t>
            </w:r>
            <w:r w:rsidR="00E74A12">
              <w:rPr>
                <w:sz w:val="18"/>
                <w:szCs w:val="18"/>
              </w:rPr>
              <w:t>to include articles published up to 2014, whose titles and abstracts appeared to adhere with selection criteria</w:t>
            </w:r>
            <w:proofErr w:type="gramStart"/>
            <w:r w:rsidR="00E74A12">
              <w:rPr>
                <w:sz w:val="18"/>
                <w:szCs w:val="18"/>
              </w:rPr>
              <w:t xml:space="preserve">.  </w:t>
            </w:r>
            <w:proofErr w:type="gramEnd"/>
            <w:r w:rsidR="00E74A12">
              <w:rPr>
                <w:sz w:val="18"/>
                <w:szCs w:val="18"/>
              </w:rPr>
              <w:t>Authors screened 1,727 titles and abstracts and narrowed the literature to 50 full text articles for further analysis</w:t>
            </w:r>
            <w:proofErr w:type="gramStart"/>
            <w:r w:rsidR="00E74A12">
              <w:rPr>
                <w:sz w:val="18"/>
                <w:szCs w:val="18"/>
              </w:rPr>
              <w:t xml:space="preserve">.  </w:t>
            </w:r>
            <w:proofErr w:type="gramEnd"/>
            <w:r w:rsidR="00E74A12">
              <w:rPr>
                <w:sz w:val="18"/>
                <w:szCs w:val="18"/>
              </w:rPr>
              <w:t xml:space="preserve">After careful consideration by 2 reviewers, 13 studies were selected and included RCTs, prospective and retrospective designs. </w:t>
            </w:r>
            <w:r w:rsidR="003A7FB2">
              <w:rPr>
                <w:sz w:val="18"/>
                <w:szCs w:val="18"/>
              </w:rPr>
              <w:t>A publication bias assessment was conducted using a funnel plot created by the Review Manager version 5.3 software (</w:t>
            </w:r>
            <w:proofErr w:type="spellStart"/>
            <w:r w:rsidR="003A7FB2">
              <w:rPr>
                <w:sz w:val="18"/>
                <w:szCs w:val="18"/>
              </w:rPr>
              <w:t>RevMan</w:t>
            </w:r>
            <w:proofErr w:type="spellEnd"/>
            <w:r w:rsidR="003A7FB2">
              <w:rPr>
                <w:sz w:val="18"/>
                <w:szCs w:val="18"/>
              </w:rPr>
              <w:t xml:space="preserve"> 5.3) and additional </w:t>
            </w:r>
            <w:proofErr w:type="spellStart"/>
            <w:r w:rsidR="003A7FB2">
              <w:rPr>
                <w:sz w:val="18"/>
                <w:szCs w:val="18"/>
              </w:rPr>
              <w:t>Beggs</w:t>
            </w:r>
            <w:proofErr w:type="spellEnd"/>
            <w:r w:rsidR="003A7FB2">
              <w:rPr>
                <w:sz w:val="18"/>
                <w:szCs w:val="18"/>
              </w:rPr>
              <w:t xml:space="preserve"> and Eggers tests to determine there was no publication bias in the group of studies selected</w:t>
            </w:r>
            <w:proofErr w:type="gramStart"/>
            <w:r w:rsidR="003A7FB2">
              <w:rPr>
                <w:sz w:val="18"/>
                <w:szCs w:val="18"/>
              </w:rPr>
              <w:t xml:space="preserve">.  </w:t>
            </w:r>
            <w:proofErr w:type="gramEnd"/>
            <w:r w:rsidR="00E74A12">
              <w:rPr>
                <w:sz w:val="18"/>
                <w:szCs w:val="18"/>
              </w:rPr>
              <w:t>A thorough risk of bias a</w:t>
            </w:r>
            <w:r w:rsidR="00732901">
              <w:rPr>
                <w:sz w:val="18"/>
                <w:szCs w:val="18"/>
              </w:rPr>
              <w:t xml:space="preserve">ssessment was conducted using </w:t>
            </w:r>
            <w:r w:rsidR="00D310F1">
              <w:rPr>
                <w:sz w:val="18"/>
                <w:szCs w:val="18"/>
              </w:rPr>
              <w:t xml:space="preserve">the </w:t>
            </w:r>
            <w:proofErr w:type="spellStart"/>
            <w:r w:rsidR="00D310F1">
              <w:rPr>
                <w:sz w:val="18"/>
                <w:szCs w:val="18"/>
              </w:rPr>
              <w:t>RevMan</w:t>
            </w:r>
            <w:proofErr w:type="spellEnd"/>
            <w:r w:rsidR="00D310F1">
              <w:rPr>
                <w:sz w:val="18"/>
                <w:szCs w:val="18"/>
              </w:rPr>
              <w:t xml:space="preserve"> 5.3 Risk of bias table for RCTs and the Newca</w:t>
            </w:r>
            <w:r w:rsidR="009017F2">
              <w:rPr>
                <w:sz w:val="18"/>
                <w:szCs w:val="18"/>
              </w:rPr>
              <w:t>stle</w:t>
            </w:r>
            <w:r w:rsidR="00D310F1">
              <w:rPr>
                <w:sz w:val="18"/>
                <w:szCs w:val="18"/>
              </w:rPr>
              <w:t>-Ottawa Scale for non-randomized cohort studies</w:t>
            </w:r>
            <w:proofErr w:type="gramStart"/>
            <w:r w:rsidR="00D310F1">
              <w:rPr>
                <w:sz w:val="18"/>
                <w:szCs w:val="18"/>
              </w:rPr>
              <w:t>.</w:t>
            </w:r>
            <w:r w:rsidR="003A7FB2">
              <w:rPr>
                <w:sz w:val="18"/>
                <w:szCs w:val="18"/>
              </w:rPr>
              <w:t xml:space="preserve">  </w:t>
            </w:r>
            <w:proofErr w:type="gramEnd"/>
            <w:r w:rsidR="003A7FB2">
              <w:rPr>
                <w:sz w:val="18"/>
                <w:szCs w:val="18"/>
              </w:rPr>
              <w:t>Data relevant to the authors research question was extracted including details about the participants, anticoagulation therapy, interventions, outcome measures and results</w:t>
            </w:r>
            <w:proofErr w:type="gramStart"/>
            <w:r w:rsidR="003A7FB2">
              <w:rPr>
                <w:sz w:val="18"/>
                <w:szCs w:val="18"/>
              </w:rPr>
              <w:t xml:space="preserve">.  </w:t>
            </w:r>
            <w:proofErr w:type="gramEnd"/>
            <w:r w:rsidR="003A7FB2">
              <w:rPr>
                <w:sz w:val="18"/>
                <w:szCs w:val="18"/>
              </w:rPr>
              <w:t xml:space="preserve">These results </w:t>
            </w:r>
            <w:r w:rsidR="003A7FB2">
              <w:rPr>
                <w:sz w:val="18"/>
                <w:szCs w:val="18"/>
              </w:rPr>
              <w:lastRenderedPageBreak/>
              <w:t>were compiled in a meta-analysis with subgroup and sensitivity analyses where appropriate</w:t>
            </w:r>
            <w:proofErr w:type="gramStart"/>
            <w:r w:rsidR="009017F2">
              <w:rPr>
                <w:sz w:val="18"/>
                <w:szCs w:val="18"/>
              </w:rPr>
              <w:t xml:space="preserve">.  </w:t>
            </w:r>
            <w:proofErr w:type="gramEnd"/>
            <w:r w:rsidR="009017F2">
              <w:rPr>
                <w:sz w:val="18"/>
                <w:szCs w:val="18"/>
              </w:rPr>
              <w:t>Sources of heterogeneity were investigated and discussed.</w:t>
            </w:r>
          </w:p>
          <w:p w14:paraId="6BA4D571" w14:textId="77777777" w:rsidR="001D4F60" w:rsidRPr="002F16E1" w:rsidRDefault="001D4F60" w:rsidP="009E380F">
            <w:pPr>
              <w:spacing w:before="120" w:after="120"/>
              <w:jc w:val="right"/>
              <w:rPr>
                <w:sz w:val="18"/>
                <w:szCs w:val="18"/>
              </w:rPr>
            </w:pPr>
          </w:p>
        </w:tc>
      </w:tr>
      <w:tr w:rsidR="001D4F60" w:rsidRPr="002F16E1" w14:paraId="04325605" w14:textId="77777777" w:rsidTr="001D4F60">
        <w:tc>
          <w:tcPr>
            <w:tcW w:w="10421" w:type="dxa"/>
            <w:shd w:val="clear" w:color="auto" w:fill="E6E6E6"/>
          </w:tcPr>
          <w:p w14:paraId="06F7411F" w14:textId="77777777" w:rsidR="001D4F60" w:rsidRPr="002F16E1" w:rsidRDefault="001D4F60" w:rsidP="009E380F">
            <w:pPr>
              <w:spacing w:before="120" w:after="120"/>
              <w:rPr>
                <w:b/>
                <w:sz w:val="18"/>
                <w:szCs w:val="18"/>
              </w:rPr>
            </w:pPr>
            <w:r w:rsidRPr="002F16E1">
              <w:rPr>
                <w:b/>
                <w:sz w:val="18"/>
                <w:szCs w:val="18"/>
              </w:rPr>
              <w:lastRenderedPageBreak/>
              <w:t>Setting</w:t>
            </w:r>
          </w:p>
          <w:p w14:paraId="5689EC12"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3798A0C" w14:textId="77777777" w:rsidTr="001D4F60">
        <w:tc>
          <w:tcPr>
            <w:tcW w:w="10421" w:type="dxa"/>
            <w:tcBorders>
              <w:bottom w:val="single" w:sz="4" w:space="0" w:color="auto"/>
            </w:tcBorders>
            <w:shd w:val="clear" w:color="auto" w:fill="auto"/>
          </w:tcPr>
          <w:p w14:paraId="0C2D4623" w14:textId="5D921F7D" w:rsidR="001D4F60" w:rsidRPr="002F16E1" w:rsidRDefault="009017F2" w:rsidP="009E380F">
            <w:pPr>
              <w:spacing w:before="120" w:after="120"/>
              <w:rPr>
                <w:sz w:val="18"/>
                <w:szCs w:val="18"/>
              </w:rPr>
            </w:pPr>
            <w:r>
              <w:rPr>
                <w:sz w:val="18"/>
                <w:szCs w:val="18"/>
              </w:rPr>
              <w:t xml:space="preserve">Studies were conducted in several different countries including Germany, Switzerland, Austria, Spain, Sweden, Italy, </w:t>
            </w:r>
            <w:proofErr w:type="gramStart"/>
            <w:r>
              <w:rPr>
                <w:sz w:val="18"/>
                <w:szCs w:val="18"/>
              </w:rPr>
              <w:t>Turkey</w:t>
            </w:r>
            <w:proofErr w:type="gramEnd"/>
            <w:r>
              <w:rPr>
                <w:sz w:val="18"/>
                <w:szCs w:val="18"/>
              </w:rPr>
              <w:t xml:space="preserve"> and China.  </w:t>
            </w:r>
            <w:proofErr w:type="gramStart"/>
            <w:r>
              <w:rPr>
                <w:sz w:val="18"/>
                <w:szCs w:val="18"/>
              </w:rPr>
              <w:t>The majority of</w:t>
            </w:r>
            <w:proofErr w:type="gramEnd"/>
            <w:r>
              <w:rPr>
                <w:sz w:val="18"/>
                <w:szCs w:val="18"/>
              </w:rPr>
              <w:t xml:space="preserve"> studies took place in the hospital setting as participants were being treated for acute DVT.  There was a minority of studies that in</w:t>
            </w:r>
            <w:r w:rsidR="007C4124">
              <w:rPr>
                <w:sz w:val="18"/>
                <w:szCs w:val="18"/>
              </w:rPr>
              <w:t>vestigated the possibility of home management of acute DVT in the early ambulation group.</w:t>
            </w:r>
          </w:p>
          <w:p w14:paraId="3FE87266" w14:textId="77777777" w:rsidR="001D4F60" w:rsidRPr="002F16E1" w:rsidRDefault="001D4F60" w:rsidP="009E380F">
            <w:pPr>
              <w:spacing w:before="120" w:after="120"/>
              <w:jc w:val="right"/>
              <w:rPr>
                <w:sz w:val="18"/>
                <w:szCs w:val="18"/>
              </w:rPr>
            </w:pPr>
          </w:p>
        </w:tc>
      </w:tr>
      <w:tr w:rsidR="001D4F60" w:rsidRPr="002F16E1" w14:paraId="39836081" w14:textId="77777777" w:rsidTr="001D4F60">
        <w:tc>
          <w:tcPr>
            <w:tcW w:w="10421" w:type="dxa"/>
            <w:shd w:val="clear" w:color="auto" w:fill="E6E6E6"/>
          </w:tcPr>
          <w:p w14:paraId="78B1C3C6" w14:textId="77777777" w:rsidR="001D4F60" w:rsidRPr="002F16E1" w:rsidRDefault="001D4F60" w:rsidP="009E380F">
            <w:pPr>
              <w:spacing w:before="120" w:after="120"/>
              <w:rPr>
                <w:b/>
                <w:sz w:val="18"/>
                <w:szCs w:val="18"/>
              </w:rPr>
            </w:pPr>
            <w:r w:rsidRPr="002F16E1">
              <w:rPr>
                <w:b/>
                <w:sz w:val="18"/>
                <w:szCs w:val="18"/>
              </w:rPr>
              <w:t>Participants</w:t>
            </w:r>
          </w:p>
          <w:p w14:paraId="56B085D4"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w:t>
            </w:r>
            <w:proofErr w:type="gramStart"/>
            <w:r w:rsidRPr="002F16E1">
              <w:rPr>
                <w:sz w:val="18"/>
                <w:szCs w:val="18"/>
              </w:rPr>
              <w:t>variables;</w:t>
            </w:r>
            <w:proofErr w:type="gramEnd"/>
            <w:r w:rsidRPr="002F16E1">
              <w:rPr>
                <w:sz w:val="18"/>
                <w:szCs w:val="18"/>
              </w:rPr>
              <w:t xml:space="preserve"> number of dropouts if relevant, number available for follow-up]</w:t>
            </w:r>
          </w:p>
          <w:p w14:paraId="4D0AFC71" w14:textId="4922CEE4"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236FBF9" w14:textId="77777777" w:rsidTr="001D4F60">
        <w:tc>
          <w:tcPr>
            <w:tcW w:w="10421" w:type="dxa"/>
            <w:tcBorders>
              <w:bottom w:val="single" w:sz="4" w:space="0" w:color="auto"/>
            </w:tcBorders>
            <w:shd w:val="clear" w:color="auto" w:fill="auto"/>
          </w:tcPr>
          <w:p w14:paraId="5D96CD68" w14:textId="546BB9BC" w:rsidR="001D4F60" w:rsidRPr="002F16E1" w:rsidRDefault="00ED3BAD" w:rsidP="009E380F">
            <w:pPr>
              <w:spacing w:before="120" w:after="120"/>
              <w:rPr>
                <w:sz w:val="18"/>
                <w:szCs w:val="18"/>
              </w:rPr>
            </w:pPr>
            <w:r>
              <w:rPr>
                <w:sz w:val="18"/>
                <w:szCs w:val="18"/>
              </w:rPr>
              <w:t>The 13 studies included based on the selection criteria had designs as follows: 10 randomized control trials, 1 non-randomized control trial, 1 prospective cohort study and 1 retrospective case-control study</w:t>
            </w:r>
            <w:proofErr w:type="gramStart"/>
            <w:r>
              <w:rPr>
                <w:sz w:val="18"/>
                <w:szCs w:val="18"/>
              </w:rPr>
              <w:t xml:space="preserve">.  </w:t>
            </w:r>
            <w:proofErr w:type="gramEnd"/>
            <w:r>
              <w:rPr>
                <w:sz w:val="18"/>
                <w:szCs w:val="18"/>
              </w:rPr>
              <w:t>10 of these articles were published in English while 3 were published in Chinese</w:t>
            </w:r>
            <w:proofErr w:type="gramStart"/>
            <w:r>
              <w:rPr>
                <w:sz w:val="18"/>
                <w:szCs w:val="18"/>
              </w:rPr>
              <w:t xml:space="preserve">.  </w:t>
            </w:r>
            <w:proofErr w:type="gramEnd"/>
            <w:r w:rsidR="00790896">
              <w:rPr>
                <w:sz w:val="18"/>
                <w:szCs w:val="18"/>
              </w:rPr>
              <w:t>Studies were determined to have low or moderate risk of bias</w:t>
            </w:r>
            <w:proofErr w:type="gramStart"/>
            <w:r w:rsidR="00790896">
              <w:rPr>
                <w:sz w:val="18"/>
                <w:szCs w:val="18"/>
              </w:rPr>
              <w:t xml:space="preserve">.  </w:t>
            </w:r>
            <w:proofErr w:type="gramEnd"/>
            <w:r>
              <w:rPr>
                <w:sz w:val="18"/>
                <w:szCs w:val="18"/>
              </w:rPr>
              <w:t xml:space="preserve">A total of 3,269 participants with median ages in the 50s and 60s </w:t>
            </w:r>
            <w:r w:rsidR="00320CAD">
              <w:rPr>
                <w:sz w:val="18"/>
                <w:szCs w:val="18"/>
              </w:rPr>
              <w:t xml:space="preserve">who had been recently diagnosed with a lower extremity DVT </w:t>
            </w:r>
            <w:r>
              <w:rPr>
                <w:sz w:val="18"/>
                <w:szCs w:val="18"/>
              </w:rPr>
              <w:t>were represented in the 13 studies.</w:t>
            </w:r>
          </w:p>
          <w:p w14:paraId="7D52F2BB" w14:textId="77777777" w:rsidR="001D4F60" w:rsidRPr="002F16E1" w:rsidRDefault="001D4F60" w:rsidP="009E380F">
            <w:pPr>
              <w:spacing w:before="120" w:after="120"/>
              <w:jc w:val="right"/>
              <w:rPr>
                <w:sz w:val="18"/>
                <w:szCs w:val="18"/>
              </w:rPr>
            </w:pPr>
          </w:p>
        </w:tc>
      </w:tr>
      <w:tr w:rsidR="001D4F60" w:rsidRPr="002F16E1" w14:paraId="05170E16" w14:textId="77777777" w:rsidTr="001D4F60">
        <w:tc>
          <w:tcPr>
            <w:tcW w:w="10421" w:type="dxa"/>
            <w:shd w:val="clear" w:color="auto" w:fill="E6E6E6"/>
          </w:tcPr>
          <w:p w14:paraId="426D6C07" w14:textId="77777777" w:rsidR="001D4F60" w:rsidRPr="002F16E1" w:rsidRDefault="001D4F60" w:rsidP="009E380F">
            <w:pPr>
              <w:spacing w:before="120" w:after="120"/>
              <w:rPr>
                <w:b/>
                <w:sz w:val="18"/>
                <w:szCs w:val="18"/>
              </w:rPr>
            </w:pPr>
            <w:r w:rsidRPr="002F16E1">
              <w:rPr>
                <w:b/>
                <w:sz w:val="18"/>
                <w:szCs w:val="18"/>
              </w:rPr>
              <w:t>Intervention Investigated</w:t>
            </w:r>
          </w:p>
          <w:p w14:paraId="7AD62A0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6666C32" w14:textId="77777777" w:rsidTr="001D4F60">
        <w:tc>
          <w:tcPr>
            <w:tcW w:w="10421" w:type="dxa"/>
            <w:shd w:val="clear" w:color="auto" w:fill="auto"/>
          </w:tcPr>
          <w:p w14:paraId="608416AA"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1AA730EA" w14:textId="77777777" w:rsidTr="001D4F60">
        <w:tc>
          <w:tcPr>
            <w:tcW w:w="10421" w:type="dxa"/>
            <w:shd w:val="clear" w:color="auto" w:fill="auto"/>
          </w:tcPr>
          <w:p w14:paraId="4D5C23AD" w14:textId="49FF9B57" w:rsidR="001D4F60" w:rsidRPr="002F16E1" w:rsidRDefault="00790896" w:rsidP="009E380F">
            <w:pPr>
              <w:spacing w:before="120" w:after="120"/>
              <w:rPr>
                <w:sz w:val="18"/>
                <w:szCs w:val="18"/>
              </w:rPr>
            </w:pPr>
            <w:r>
              <w:rPr>
                <w:sz w:val="18"/>
                <w:szCs w:val="18"/>
              </w:rPr>
              <w:t>Participants in the control group were placed on bed rest in addition to appropriate anticoagulation therapy</w:t>
            </w:r>
            <w:proofErr w:type="gramStart"/>
            <w:r>
              <w:rPr>
                <w:sz w:val="18"/>
                <w:szCs w:val="18"/>
              </w:rPr>
              <w:t xml:space="preserve">.  </w:t>
            </w:r>
            <w:proofErr w:type="gramEnd"/>
            <w:r>
              <w:rPr>
                <w:sz w:val="18"/>
                <w:szCs w:val="18"/>
              </w:rPr>
              <w:t xml:space="preserve">There was some heterogeneity in the studies about the duration of bed rest, but </w:t>
            </w:r>
            <w:proofErr w:type="gramStart"/>
            <w:r>
              <w:rPr>
                <w:sz w:val="18"/>
                <w:szCs w:val="18"/>
              </w:rPr>
              <w:t>overall</w:t>
            </w:r>
            <w:proofErr w:type="gramEnd"/>
            <w:r>
              <w:rPr>
                <w:sz w:val="18"/>
                <w:szCs w:val="18"/>
              </w:rPr>
              <w:t xml:space="preserve"> the participants remained in bed for at least 3 days</w:t>
            </w:r>
            <w:r w:rsidR="00C43B4A">
              <w:rPr>
                <w:sz w:val="18"/>
                <w:szCs w:val="18"/>
              </w:rPr>
              <w:t xml:space="preserve"> (with most studies using at least 7 days)</w:t>
            </w:r>
            <w:r>
              <w:rPr>
                <w:sz w:val="18"/>
                <w:szCs w:val="18"/>
              </w:rPr>
              <w:t xml:space="preserve"> after diagnosis of LE DVT.</w:t>
            </w:r>
          </w:p>
          <w:p w14:paraId="62D1834E" w14:textId="77777777" w:rsidR="001D4F60" w:rsidRPr="002F16E1" w:rsidRDefault="001D4F60" w:rsidP="009E380F">
            <w:pPr>
              <w:spacing w:before="120" w:after="120"/>
              <w:rPr>
                <w:sz w:val="18"/>
                <w:szCs w:val="18"/>
              </w:rPr>
            </w:pPr>
          </w:p>
        </w:tc>
      </w:tr>
      <w:tr w:rsidR="001D4F60" w:rsidRPr="002F16E1" w14:paraId="3DE1AF3F" w14:textId="77777777" w:rsidTr="001D4F60">
        <w:tc>
          <w:tcPr>
            <w:tcW w:w="10421" w:type="dxa"/>
            <w:shd w:val="clear" w:color="auto" w:fill="auto"/>
          </w:tcPr>
          <w:p w14:paraId="1B0C31DD"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2CFE1B45" w14:textId="77777777" w:rsidTr="001D4F60">
        <w:tc>
          <w:tcPr>
            <w:tcW w:w="10421" w:type="dxa"/>
            <w:tcBorders>
              <w:bottom w:val="single" w:sz="4" w:space="0" w:color="auto"/>
            </w:tcBorders>
            <w:shd w:val="clear" w:color="auto" w:fill="auto"/>
          </w:tcPr>
          <w:p w14:paraId="744C55BD" w14:textId="77777777" w:rsidR="001D4F60" w:rsidRDefault="00790896" w:rsidP="00212536">
            <w:pPr>
              <w:spacing w:before="120" w:after="120"/>
              <w:rPr>
                <w:sz w:val="18"/>
                <w:szCs w:val="18"/>
              </w:rPr>
            </w:pPr>
            <w:r>
              <w:rPr>
                <w:sz w:val="18"/>
                <w:szCs w:val="18"/>
              </w:rPr>
              <w:t xml:space="preserve">Participants in the experimental group </w:t>
            </w:r>
            <w:r w:rsidR="00212536">
              <w:rPr>
                <w:sz w:val="18"/>
                <w:szCs w:val="18"/>
              </w:rPr>
              <w:t xml:space="preserve">also received appropriate anticoagulation therapy and </w:t>
            </w:r>
            <w:r>
              <w:rPr>
                <w:sz w:val="18"/>
                <w:szCs w:val="18"/>
              </w:rPr>
              <w:t>counsel to begin early ambulation with nursing or therapy staff</w:t>
            </w:r>
            <w:proofErr w:type="gramStart"/>
            <w:r>
              <w:rPr>
                <w:sz w:val="18"/>
                <w:szCs w:val="18"/>
              </w:rPr>
              <w:t xml:space="preserve">.  </w:t>
            </w:r>
            <w:proofErr w:type="gramEnd"/>
            <w:r>
              <w:rPr>
                <w:sz w:val="18"/>
                <w:szCs w:val="18"/>
              </w:rPr>
              <w:t>The initiation of early ambulation also varied between studies, but overall participants began ambulating no later than 3 days after diagnosis of DVT</w:t>
            </w:r>
            <w:proofErr w:type="gramStart"/>
            <w:r>
              <w:rPr>
                <w:sz w:val="18"/>
                <w:szCs w:val="18"/>
              </w:rPr>
              <w:t xml:space="preserve">.  </w:t>
            </w:r>
            <w:proofErr w:type="gramEnd"/>
            <w:r>
              <w:rPr>
                <w:sz w:val="18"/>
                <w:szCs w:val="18"/>
              </w:rPr>
              <w:t xml:space="preserve">There was some heterogeneity about the prescription of </w:t>
            </w:r>
            <w:r w:rsidR="00212536">
              <w:rPr>
                <w:sz w:val="18"/>
                <w:szCs w:val="18"/>
              </w:rPr>
              <w:t>ambulation, as some researchers instructed this group to walk as much as possible while others had more specific guidelines.</w:t>
            </w:r>
          </w:p>
          <w:p w14:paraId="7B3EA2F2" w14:textId="545FA511" w:rsidR="00E021E8" w:rsidRPr="002F16E1" w:rsidRDefault="00E021E8" w:rsidP="00212536">
            <w:pPr>
              <w:spacing w:before="120" w:after="120"/>
              <w:rPr>
                <w:sz w:val="18"/>
                <w:szCs w:val="18"/>
              </w:rPr>
            </w:pPr>
          </w:p>
        </w:tc>
      </w:tr>
      <w:tr w:rsidR="001D4F60" w:rsidRPr="002F16E1" w14:paraId="6A57C45F" w14:textId="77777777" w:rsidTr="001D4F60">
        <w:tc>
          <w:tcPr>
            <w:tcW w:w="10421" w:type="dxa"/>
            <w:shd w:val="clear" w:color="auto" w:fill="E6E6E6"/>
          </w:tcPr>
          <w:p w14:paraId="2B68FB90" w14:textId="77777777" w:rsidR="001D4F60" w:rsidRPr="002F16E1" w:rsidRDefault="001D4F60" w:rsidP="009E380F">
            <w:pPr>
              <w:spacing w:before="120" w:after="120"/>
              <w:rPr>
                <w:sz w:val="18"/>
                <w:szCs w:val="18"/>
              </w:rPr>
            </w:pPr>
            <w:r w:rsidRPr="002F16E1">
              <w:rPr>
                <w:b/>
                <w:sz w:val="18"/>
                <w:szCs w:val="18"/>
              </w:rPr>
              <w:t>Outcome Measures</w:t>
            </w:r>
          </w:p>
          <w:p w14:paraId="7587807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proofErr w:type="gramStart"/>
            <w:r w:rsidRPr="002F16E1">
              <w:rPr>
                <w:sz w:val="18"/>
                <w:szCs w:val="18"/>
              </w:rPr>
              <w:t>score</w:t>
            </w:r>
            <w:proofErr w:type="gramEnd"/>
            <w:r w:rsidRPr="002F16E1">
              <w:rPr>
                <w:sz w:val="18"/>
                <w:szCs w:val="18"/>
              </w:rPr>
              <w:t xml:space="preserve"> and range for each measure, administered by whom, where</w:t>
            </w:r>
            <w:r>
              <w:rPr>
                <w:sz w:val="18"/>
                <w:szCs w:val="18"/>
              </w:rPr>
              <w:t>]</w:t>
            </w:r>
          </w:p>
        </w:tc>
      </w:tr>
      <w:tr w:rsidR="001D4F60" w:rsidRPr="002F16E1" w14:paraId="27BAE41D" w14:textId="77777777" w:rsidTr="001D4F60">
        <w:tc>
          <w:tcPr>
            <w:tcW w:w="10421" w:type="dxa"/>
            <w:tcBorders>
              <w:bottom w:val="single" w:sz="4" w:space="0" w:color="auto"/>
            </w:tcBorders>
            <w:shd w:val="clear" w:color="auto" w:fill="auto"/>
          </w:tcPr>
          <w:p w14:paraId="78081B1D" w14:textId="2F822853" w:rsidR="00A44E0E" w:rsidRDefault="006A41F6" w:rsidP="009E380F">
            <w:pPr>
              <w:spacing w:before="120" w:after="120"/>
              <w:rPr>
                <w:sz w:val="18"/>
                <w:szCs w:val="18"/>
              </w:rPr>
            </w:pPr>
            <w:r>
              <w:rPr>
                <w:sz w:val="18"/>
                <w:szCs w:val="18"/>
              </w:rPr>
              <w:t>The authors of this paper divided outcome measures into primary and secondary endpoints as they were searching for articles</w:t>
            </w:r>
            <w:proofErr w:type="gramStart"/>
            <w:r>
              <w:rPr>
                <w:sz w:val="18"/>
                <w:szCs w:val="18"/>
              </w:rPr>
              <w:t xml:space="preserve">.  </w:t>
            </w:r>
            <w:proofErr w:type="gramEnd"/>
            <w:r>
              <w:rPr>
                <w:sz w:val="18"/>
                <w:szCs w:val="18"/>
              </w:rPr>
              <w:t xml:space="preserve">Three main outcomes were considered primary endpoints for statistical analysis and included: 1) </w:t>
            </w:r>
            <w:r w:rsidR="00C43B4A">
              <w:rPr>
                <w:sz w:val="18"/>
                <w:szCs w:val="18"/>
              </w:rPr>
              <w:t xml:space="preserve">Confirmation of new PE with CT scan or scintigraphy, differed between studies as to how often this was assessed and </w:t>
            </w:r>
            <w:r w:rsidR="00A44E0E">
              <w:rPr>
                <w:sz w:val="18"/>
                <w:szCs w:val="18"/>
              </w:rPr>
              <w:t xml:space="preserve">some </w:t>
            </w:r>
            <w:r w:rsidR="00C43B4A">
              <w:rPr>
                <w:sz w:val="18"/>
                <w:szCs w:val="18"/>
              </w:rPr>
              <w:t>only assessed in symptomatic participants</w:t>
            </w:r>
            <w:r>
              <w:rPr>
                <w:sz w:val="18"/>
                <w:szCs w:val="18"/>
              </w:rPr>
              <w:t>. 2)</w:t>
            </w:r>
            <w:r w:rsidR="00E021E8">
              <w:rPr>
                <w:sz w:val="18"/>
                <w:szCs w:val="18"/>
              </w:rPr>
              <w:t xml:space="preserve"> </w:t>
            </w:r>
            <w:r w:rsidR="00C43B4A">
              <w:rPr>
                <w:sz w:val="18"/>
                <w:szCs w:val="18"/>
              </w:rPr>
              <w:t xml:space="preserve">Progression of DVT assessed by ultrasound or </w:t>
            </w:r>
            <w:proofErr w:type="spellStart"/>
            <w:r w:rsidR="00C43B4A">
              <w:rPr>
                <w:sz w:val="18"/>
                <w:szCs w:val="18"/>
              </w:rPr>
              <w:t>plebography</w:t>
            </w:r>
            <w:proofErr w:type="spellEnd"/>
            <w:proofErr w:type="gramStart"/>
            <w:r>
              <w:rPr>
                <w:sz w:val="18"/>
                <w:szCs w:val="18"/>
              </w:rPr>
              <w:t xml:space="preserve">.  </w:t>
            </w:r>
            <w:proofErr w:type="gramEnd"/>
            <w:r>
              <w:rPr>
                <w:sz w:val="18"/>
                <w:szCs w:val="18"/>
              </w:rPr>
              <w:t>For some studies this included an analysis of whether vein health had improved by measuring r</w:t>
            </w:r>
            <w:r w:rsidR="006174AA">
              <w:rPr>
                <w:sz w:val="18"/>
                <w:szCs w:val="18"/>
              </w:rPr>
              <w:t xml:space="preserve">ecanalization of </w:t>
            </w:r>
            <w:r w:rsidR="00ED04D9">
              <w:rPr>
                <w:sz w:val="18"/>
                <w:szCs w:val="18"/>
              </w:rPr>
              <w:t xml:space="preserve">the </w:t>
            </w:r>
            <w:r w:rsidR="006174AA">
              <w:rPr>
                <w:sz w:val="18"/>
                <w:szCs w:val="18"/>
              </w:rPr>
              <w:t>occluded vein and venous outflow</w:t>
            </w:r>
            <w:r>
              <w:rPr>
                <w:sz w:val="18"/>
                <w:szCs w:val="18"/>
              </w:rPr>
              <w:t xml:space="preserve">. 3) </w:t>
            </w:r>
            <w:r w:rsidR="00A44E0E">
              <w:rPr>
                <w:sz w:val="18"/>
                <w:szCs w:val="18"/>
              </w:rPr>
              <w:t>Mortality</w:t>
            </w:r>
            <w:r>
              <w:rPr>
                <w:sz w:val="18"/>
                <w:szCs w:val="18"/>
              </w:rPr>
              <w:t xml:space="preserve">. </w:t>
            </w:r>
            <w:r w:rsidR="00EE2DCC">
              <w:rPr>
                <w:sz w:val="18"/>
                <w:szCs w:val="18"/>
              </w:rPr>
              <w:t xml:space="preserve">Data were collected by trained professionals blinded to the patients experimental group assignment. </w:t>
            </w:r>
            <w:r>
              <w:rPr>
                <w:sz w:val="18"/>
                <w:szCs w:val="18"/>
              </w:rPr>
              <w:t>Several different time points were used for follow-up from 10 days to 6 months after DVT treatment began for each of these primary endpoints.</w:t>
            </w:r>
          </w:p>
          <w:p w14:paraId="2D214D26" w14:textId="78E4DA60" w:rsidR="001D4F60" w:rsidRPr="002F16E1" w:rsidRDefault="006A41F6" w:rsidP="009E380F">
            <w:pPr>
              <w:spacing w:before="120" w:after="120"/>
              <w:rPr>
                <w:sz w:val="18"/>
                <w:szCs w:val="18"/>
              </w:rPr>
            </w:pPr>
            <w:r>
              <w:rPr>
                <w:sz w:val="18"/>
                <w:szCs w:val="18"/>
              </w:rPr>
              <w:lastRenderedPageBreak/>
              <w:t xml:space="preserve">The authors included analysis of two secondary endpoints </w:t>
            </w:r>
            <w:r w:rsidR="00ED04D9">
              <w:rPr>
                <w:sz w:val="18"/>
                <w:szCs w:val="18"/>
              </w:rPr>
              <w:t xml:space="preserve">including </w:t>
            </w:r>
            <w:r w:rsidR="00C43B4A">
              <w:rPr>
                <w:sz w:val="18"/>
                <w:szCs w:val="18"/>
              </w:rPr>
              <w:t>VAS pain score</w:t>
            </w:r>
            <w:r w:rsidR="00ED04D9">
              <w:rPr>
                <w:sz w:val="18"/>
                <w:szCs w:val="18"/>
              </w:rPr>
              <w:t xml:space="preserve">, and </w:t>
            </w:r>
            <w:proofErr w:type="spellStart"/>
            <w:r w:rsidR="00ED04D9">
              <w:rPr>
                <w:sz w:val="18"/>
                <w:szCs w:val="18"/>
              </w:rPr>
              <w:t>e</w:t>
            </w:r>
            <w:r w:rsidR="00C43B4A">
              <w:rPr>
                <w:sz w:val="18"/>
                <w:szCs w:val="18"/>
              </w:rPr>
              <w:t>dema</w:t>
            </w:r>
            <w:proofErr w:type="spellEnd"/>
            <w:r w:rsidR="00C43B4A">
              <w:rPr>
                <w:sz w:val="18"/>
                <w:szCs w:val="18"/>
              </w:rPr>
              <w:t xml:space="preserve"> </w:t>
            </w:r>
            <w:r w:rsidR="00ED04D9">
              <w:rPr>
                <w:sz w:val="18"/>
                <w:szCs w:val="18"/>
              </w:rPr>
              <w:t xml:space="preserve">measured </w:t>
            </w:r>
            <w:r w:rsidR="00C43B4A">
              <w:rPr>
                <w:sz w:val="18"/>
                <w:szCs w:val="18"/>
              </w:rPr>
              <w:t>by limb circumference</w:t>
            </w:r>
            <w:r w:rsidR="00ED04D9">
              <w:rPr>
                <w:sz w:val="18"/>
                <w:szCs w:val="18"/>
              </w:rPr>
              <w:t xml:space="preserve"> that will be omitted from this appraisal due to low relevance to the clinical question at hand.</w:t>
            </w:r>
          </w:p>
          <w:p w14:paraId="719978C4" w14:textId="77777777" w:rsidR="001D4F60" w:rsidRPr="002F16E1" w:rsidRDefault="001D4F60" w:rsidP="009E380F">
            <w:pPr>
              <w:spacing w:before="120" w:after="120"/>
              <w:jc w:val="right"/>
              <w:rPr>
                <w:sz w:val="18"/>
                <w:szCs w:val="18"/>
              </w:rPr>
            </w:pPr>
          </w:p>
        </w:tc>
      </w:tr>
      <w:tr w:rsidR="001D4F60" w:rsidRPr="002F16E1" w14:paraId="1EB5D95E" w14:textId="77777777" w:rsidTr="001D4F60">
        <w:tc>
          <w:tcPr>
            <w:tcW w:w="10421" w:type="dxa"/>
            <w:tcBorders>
              <w:bottom w:val="single" w:sz="4" w:space="0" w:color="auto"/>
            </w:tcBorders>
            <w:shd w:val="clear" w:color="auto" w:fill="E6E6E6"/>
          </w:tcPr>
          <w:p w14:paraId="47CDF3CB" w14:textId="77777777" w:rsidR="001D4F60" w:rsidRPr="002F16E1" w:rsidRDefault="001D4F60" w:rsidP="009E380F">
            <w:pPr>
              <w:spacing w:before="120" w:after="120"/>
              <w:rPr>
                <w:b/>
                <w:sz w:val="18"/>
                <w:szCs w:val="18"/>
              </w:rPr>
            </w:pPr>
            <w:r w:rsidRPr="002F16E1">
              <w:rPr>
                <w:b/>
                <w:sz w:val="18"/>
                <w:szCs w:val="18"/>
              </w:rPr>
              <w:lastRenderedPageBreak/>
              <w:t>Main Findings</w:t>
            </w:r>
          </w:p>
          <w:p w14:paraId="430E829F"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xml:space="preserve">. You may summarize results in a </w:t>
            </w:r>
            <w:proofErr w:type="gramStart"/>
            <w:r w:rsidR="001D3ED3">
              <w:rPr>
                <w:sz w:val="18"/>
                <w:szCs w:val="18"/>
              </w:rPr>
              <w:t>table</w:t>
            </w:r>
            <w:proofErr w:type="gramEnd"/>
            <w:r w:rsidR="001D3ED3">
              <w:rPr>
                <w:sz w:val="18"/>
                <w:szCs w:val="18"/>
              </w:rPr>
              <w:t xml:space="preserve"> but you must explain the results with some narrative</w:t>
            </w:r>
            <w:r w:rsidR="0000738B">
              <w:rPr>
                <w:sz w:val="18"/>
                <w:szCs w:val="18"/>
              </w:rPr>
              <w:t>.</w:t>
            </w:r>
            <w:r w:rsidRPr="002F16E1">
              <w:rPr>
                <w:sz w:val="18"/>
                <w:szCs w:val="18"/>
              </w:rPr>
              <w:t>]</w:t>
            </w:r>
          </w:p>
        </w:tc>
      </w:tr>
      <w:tr w:rsidR="001D4F60" w:rsidRPr="002F16E1" w14:paraId="4F72CEB0" w14:textId="77777777" w:rsidTr="001D4F60">
        <w:tc>
          <w:tcPr>
            <w:tcW w:w="10421" w:type="dxa"/>
            <w:tcBorders>
              <w:bottom w:val="single" w:sz="4" w:space="0" w:color="auto"/>
            </w:tcBorders>
            <w:shd w:val="clear" w:color="auto" w:fill="auto"/>
          </w:tcPr>
          <w:p w14:paraId="5241F7D0" w14:textId="423157CF" w:rsidR="003F6DB0" w:rsidRDefault="003F6DB0" w:rsidP="009E380F">
            <w:pPr>
              <w:spacing w:before="120" w:after="120"/>
              <w:rPr>
                <w:sz w:val="18"/>
                <w:szCs w:val="18"/>
              </w:rPr>
            </w:pPr>
            <w:r>
              <w:rPr>
                <w:sz w:val="18"/>
                <w:szCs w:val="18"/>
              </w:rPr>
              <w:t>Table 1.</w:t>
            </w:r>
            <w:r w:rsidR="008756B2">
              <w:rPr>
                <w:sz w:val="18"/>
                <w:szCs w:val="18"/>
              </w:rPr>
              <w:t xml:space="preserve"> Study Characteristics and Main Findings</w:t>
            </w:r>
          </w:p>
          <w:tbl>
            <w:tblPr>
              <w:tblStyle w:val="TableGrid"/>
              <w:tblW w:w="0" w:type="auto"/>
              <w:tblInd w:w="235" w:type="dxa"/>
              <w:tblLook w:val="04A0" w:firstRow="1" w:lastRow="0" w:firstColumn="1" w:lastColumn="0" w:noHBand="0" w:noVBand="1"/>
            </w:tblPr>
            <w:tblGrid>
              <w:gridCol w:w="1871"/>
              <w:gridCol w:w="1934"/>
              <w:gridCol w:w="2342"/>
              <w:gridCol w:w="1899"/>
              <w:gridCol w:w="1440"/>
            </w:tblGrid>
            <w:tr w:rsidR="003F6DB0" w:rsidRPr="0053436D" w14:paraId="05808D2A" w14:textId="77777777" w:rsidTr="00313FE6">
              <w:tc>
                <w:tcPr>
                  <w:tcW w:w="1745" w:type="dxa"/>
                </w:tcPr>
                <w:p w14:paraId="4FC3DF77" w14:textId="77777777" w:rsidR="003F6DB0" w:rsidRPr="0053436D" w:rsidRDefault="003F6DB0" w:rsidP="003F6DB0">
                  <w:pPr>
                    <w:spacing w:before="120" w:after="120"/>
                    <w:jc w:val="center"/>
                    <w:rPr>
                      <w:b/>
                      <w:bCs/>
                      <w:sz w:val="18"/>
                      <w:szCs w:val="18"/>
                    </w:rPr>
                  </w:pPr>
                  <w:r w:rsidRPr="0053436D">
                    <w:rPr>
                      <w:b/>
                      <w:bCs/>
                      <w:sz w:val="18"/>
                      <w:szCs w:val="18"/>
                    </w:rPr>
                    <w:t>Author(year)</w:t>
                  </w:r>
                </w:p>
              </w:tc>
              <w:tc>
                <w:tcPr>
                  <w:tcW w:w="1934" w:type="dxa"/>
                </w:tcPr>
                <w:p w14:paraId="2860CACC" w14:textId="77777777" w:rsidR="003F6DB0" w:rsidRPr="0053436D" w:rsidRDefault="003F6DB0" w:rsidP="003F6DB0">
                  <w:pPr>
                    <w:spacing w:before="120" w:after="120"/>
                    <w:jc w:val="center"/>
                    <w:rPr>
                      <w:b/>
                      <w:bCs/>
                      <w:sz w:val="18"/>
                      <w:szCs w:val="18"/>
                    </w:rPr>
                  </w:pPr>
                  <w:r w:rsidRPr="0053436D">
                    <w:rPr>
                      <w:b/>
                      <w:bCs/>
                      <w:sz w:val="18"/>
                      <w:szCs w:val="18"/>
                    </w:rPr>
                    <w:t>Study design</w:t>
                  </w:r>
                </w:p>
              </w:tc>
              <w:tc>
                <w:tcPr>
                  <w:tcW w:w="2342" w:type="dxa"/>
                </w:tcPr>
                <w:p w14:paraId="2450C389" w14:textId="77777777" w:rsidR="003F6DB0" w:rsidRPr="0053436D" w:rsidRDefault="003F6DB0" w:rsidP="003F6DB0">
                  <w:pPr>
                    <w:spacing w:before="120" w:after="120"/>
                    <w:jc w:val="center"/>
                    <w:rPr>
                      <w:b/>
                      <w:bCs/>
                      <w:sz w:val="18"/>
                      <w:szCs w:val="18"/>
                    </w:rPr>
                  </w:pPr>
                  <w:r w:rsidRPr="0053436D">
                    <w:rPr>
                      <w:b/>
                      <w:bCs/>
                      <w:sz w:val="18"/>
                      <w:szCs w:val="18"/>
                    </w:rPr>
                    <w:t>Bed rest duration/ambulation date</w:t>
                  </w:r>
                </w:p>
              </w:tc>
              <w:tc>
                <w:tcPr>
                  <w:tcW w:w="1899" w:type="dxa"/>
                </w:tcPr>
                <w:p w14:paraId="496A26ED" w14:textId="77777777" w:rsidR="003F6DB0" w:rsidRPr="0053436D" w:rsidRDefault="003F6DB0" w:rsidP="003F6DB0">
                  <w:pPr>
                    <w:spacing w:before="120" w:after="120"/>
                    <w:jc w:val="center"/>
                    <w:rPr>
                      <w:b/>
                      <w:bCs/>
                      <w:sz w:val="18"/>
                      <w:szCs w:val="18"/>
                    </w:rPr>
                  </w:pPr>
                  <w:r w:rsidRPr="0053436D">
                    <w:rPr>
                      <w:b/>
                      <w:bCs/>
                      <w:sz w:val="18"/>
                      <w:szCs w:val="18"/>
                    </w:rPr>
                    <w:t>Primary endpoint assessed</w:t>
                  </w:r>
                </w:p>
              </w:tc>
              <w:tc>
                <w:tcPr>
                  <w:tcW w:w="1440" w:type="dxa"/>
                </w:tcPr>
                <w:p w14:paraId="086428DE" w14:textId="77777777" w:rsidR="003F6DB0" w:rsidRPr="0053436D" w:rsidRDefault="003F6DB0" w:rsidP="003F6DB0">
                  <w:pPr>
                    <w:spacing w:before="120" w:after="120"/>
                    <w:jc w:val="center"/>
                    <w:rPr>
                      <w:b/>
                      <w:bCs/>
                      <w:sz w:val="18"/>
                      <w:szCs w:val="18"/>
                    </w:rPr>
                  </w:pPr>
                  <w:r w:rsidRPr="0053436D">
                    <w:rPr>
                      <w:b/>
                      <w:bCs/>
                      <w:sz w:val="18"/>
                      <w:szCs w:val="18"/>
                    </w:rPr>
                    <w:t>P</w:t>
                  </w:r>
                </w:p>
              </w:tc>
            </w:tr>
            <w:tr w:rsidR="003F6DB0" w14:paraId="5634263F" w14:textId="77777777" w:rsidTr="00313FE6">
              <w:tc>
                <w:tcPr>
                  <w:tcW w:w="1745" w:type="dxa"/>
                </w:tcPr>
                <w:p w14:paraId="2FB446CC" w14:textId="77777777" w:rsidR="003F6DB0" w:rsidRDefault="003F6DB0" w:rsidP="003F6DB0">
                  <w:pPr>
                    <w:spacing w:before="120" w:after="120"/>
                    <w:rPr>
                      <w:sz w:val="18"/>
                      <w:szCs w:val="18"/>
                    </w:rPr>
                  </w:pPr>
                  <w:proofErr w:type="spellStart"/>
                  <w:r>
                    <w:rPr>
                      <w:sz w:val="18"/>
                      <w:szCs w:val="18"/>
                    </w:rPr>
                    <w:t>Schellong</w:t>
                  </w:r>
                  <w:proofErr w:type="spellEnd"/>
                  <w:r>
                    <w:rPr>
                      <w:sz w:val="18"/>
                      <w:szCs w:val="18"/>
                    </w:rPr>
                    <w:t xml:space="preserve"> (1999)</w:t>
                  </w:r>
                </w:p>
              </w:tc>
              <w:tc>
                <w:tcPr>
                  <w:tcW w:w="1934" w:type="dxa"/>
                </w:tcPr>
                <w:p w14:paraId="320CBEFA" w14:textId="77777777" w:rsidR="003F6DB0" w:rsidRDefault="003F6DB0" w:rsidP="003F6DB0">
                  <w:pPr>
                    <w:spacing w:before="120" w:after="120"/>
                    <w:rPr>
                      <w:sz w:val="18"/>
                      <w:szCs w:val="18"/>
                    </w:rPr>
                  </w:pPr>
                  <w:r>
                    <w:rPr>
                      <w:sz w:val="18"/>
                      <w:szCs w:val="18"/>
                    </w:rPr>
                    <w:t>RCT</w:t>
                  </w:r>
                </w:p>
              </w:tc>
              <w:tc>
                <w:tcPr>
                  <w:tcW w:w="2342" w:type="dxa"/>
                </w:tcPr>
                <w:p w14:paraId="2E073F82" w14:textId="77777777" w:rsidR="003F6DB0" w:rsidRDefault="003F6DB0" w:rsidP="003F6DB0">
                  <w:pPr>
                    <w:spacing w:before="120" w:after="120"/>
                    <w:rPr>
                      <w:sz w:val="18"/>
                      <w:szCs w:val="18"/>
                    </w:rPr>
                  </w:pPr>
                  <w:r>
                    <w:rPr>
                      <w:sz w:val="18"/>
                      <w:szCs w:val="18"/>
                    </w:rPr>
                    <w:t>8 days/ day 0</w:t>
                  </w:r>
                </w:p>
              </w:tc>
              <w:tc>
                <w:tcPr>
                  <w:tcW w:w="1899" w:type="dxa"/>
                </w:tcPr>
                <w:p w14:paraId="671C2B07" w14:textId="77777777" w:rsidR="003F6DB0" w:rsidRDefault="003F6DB0" w:rsidP="003F6DB0">
                  <w:pPr>
                    <w:spacing w:before="120" w:after="120"/>
                    <w:rPr>
                      <w:sz w:val="18"/>
                      <w:szCs w:val="18"/>
                    </w:rPr>
                  </w:pPr>
                  <w:r>
                    <w:rPr>
                      <w:sz w:val="18"/>
                      <w:szCs w:val="18"/>
                    </w:rPr>
                    <w:t>PE in 8-10 days</w:t>
                  </w:r>
                </w:p>
              </w:tc>
              <w:tc>
                <w:tcPr>
                  <w:tcW w:w="1440" w:type="dxa"/>
                </w:tcPr>
                <w:p w14:paraId="3EAB8C5A" w14:textId="77777777" w:rsidR="003F6DB0" w:rsidRDefault="003F6DB0" w:rsidP="003F6DB0">
                  <w:pPr>
                    <w:spacing w:before="120" w:after="120"/>
                    <w:rPr>
                      <w:sz w:val="18"/>
                      <w:szCs w:val="18"/>
                    </w:rPr>
                  </w:pPr>
                  <w:r>
                    <w:rPr>
                      <w:sz w:val="18"/>
                      <w:szCs w:val="18"/>
                    </w:rPr>
                    <w:t>0.25</w:t>
                  </w:r>
                </w:p>
              </w:tc>
            </w:tr>
            <w:tr w:rsidR="003F6DB0" w14:paraId="13DD2E4C" w14:textId="77777777" w:rsidTr="00313FE6">
              <w:tc>
                <w:tcPr>
                  <w:tcW w:w="1745" w:type="dxa"/>
                </w:tcPr>
                <w:p w14:paraId="29AC18A7" w14:textId="77777777" w:rsidR="003F6DB0" w:rsidRDefault="003F6DB0" w:rsidP="003F6DB0">
                  <w:pPr>
                    <w:spacing w:before="120" w:after="120"/>
                    <w:rPr>
                      <w:sz w:val="18"/>
                      <w:szCs w:val="18"/>
                    </w:rPr>
                  </w:pPr>
                  <w:proofErr w:type="spellStart"/>
                  <w:proofErr w:type="gramStart"/>
                  <w:r>
                    <w:rPr>
                      <w:sz w:val="18"/>
                      <w:szCs w:val="18"/>
                    </w:rPr>
                    <w:t>Ashwanden</w:t>
                  </w:r>
                  <w:proofErr w:type="spellEnd"/>
                  <w:r>
                    <w:rPr>
                      <w:sz w:val="18"/>
                      <w:szCs w:val="18"/>
                    </w:rPr>
                    <w:t>(</w:t>
                  </w:r>
                  <w:proofErr w:type="gramEnd"/>
                  <w:r>
                    <w:rPr>
                      <w:sz w:val="18"/>
                      <w:szCs w:val="18"/>
                    </w:rPr>
                    <w:t>2001)</w:t>
                  </w:r>
                </w:p>
              </w:tc>
              <w:tc>
                <w:tcPr>
                  <w:tcW w:w="1934" w:type="dxa"/>
                </w:tcPr>
                <w:p w14:paraId="4A3A895F" w14:textId="77777777" w:rsidR="003F6DB0" w:rsidRDefault="003F6DB0" w:rsidP="003F6DB0">
                  <w:pPr>
                    <w:spacing w:before="120" w:after="120"/>
                    <w:rPr>
                      <w:sz w:val="18"/>
                      <w:szCs w:val="18"/>
                    </w:rPr>
                  </w:pPr>
                  <w:r>
                    <w:rPr>
                      <w:sz w:val="18"/>
                      <w:szCs w:val="18"/>
                    </w:rPr>
                    <w:t>RCT</w:t>
                  </w:r>
                </w:p>
              </w:tc>
              <w:tc>
                <w:tcPr>
                  <w:tcW w:w="2342" w:type="dxa"/>
                </w:tcPr>
                <w:p w14:paraId="42B4DF06" w14:textId="77777777" w:rsidR="003F6DB0" w:rsidRDefault="003F6DB0" w:rsidP="003F6DB0">
                  <w:pPr>
                    <w:spacing w:before="120" w:after="120"/>
                    <w:rPr>
                      <w:sz w:val="18"/>
                      <w:szCs w:val="18"/>
                    </w:rPr>
                  </w:pPr>
                  <w:r>
                    <w:rPr>
                      <w:sz w:val="18"/>
                      <w:szCs w:val="18"/>
                    </w:rPr>
                    <w:t>4 days/ day 0</w:t>
                  </w:r>
                </w:p>
              </w:tc>
              <w:tc>
                <w:tcPr>
                  <w:tcW w:w="1899" w:type="dxa"/>
                </w:tcPr>
                <w:p w14:paraId="2FDCB708" w14:textId="77777777" w:rsidR="003F6DB0" w:rsidRDefault="003F6DB0" w:rsidP="003F6DB0">
                  <w:pPr>
                    <w:spacing w:before="120" w:after="120"/>
                    <w:rPr>
                      <w:sz w:val="18"/>
                      <w:szCs w:val="18"/>
                    </w:rPr>
                  </w:pPr>
                  <w:r>
                    <w:rPr>
                      <w:sz w:val="18"/>
                      <w:szCs w:val="18"/>
                    </w:rPr>
                    <w:t>PE in 3 months</w:t>
                  </w:r>
                </w:p>
              </w:tc>
              <w:tc>
                <w:tcPr>
                  <w:tcW w:w="1440" w:type="dxa"/>
                </w:tcPr>
                <w:p w14:paraId="41667D2E" w14:textId="77777777" w:rsidR="003F6DB0" w:rsidRDefault="003F6DB0" w:rsidP="003F6DB0">
                  <w:pPr>
                    <w:spacing w:before="120" w:after="120"/>
                    <w:rPr>
                      <w:sz w:val="18"/>
                      <w:szCs w:val="18"/>
                    </w:rPr>
                  </w:pPr>
                  <w:r>
                    <w:rPr>
                      <w:sz w:val="18"/>
                      <w:szCs w:val="18"/>
                    </w:rPr>
                    <w:t>0.44</w:t>
                  </w:r>
                </w:p>
              </w:tc>
            </w:tr>
            <w:tr w:rsidR="003F6DB0" w14:paraId="7A1B02EA" w14:textId="77777777" w:rsidTr="00313FE6">
              <w:tc>
                <w:tcPr>
                  <w:tcW w:w="1745" w:type="dxa"/>
                </w:tcPr>
                <w:p w14:paraId="2745D242" w14:textId="77777777" w:rsidR="003F6DB0" w:rsidRDefault="003F6DB0" w:rsidP="003F6DB0">
                  <w:pPr>
                    <w:spacing w:before="120" w:after="120"/>
                    <w:rPr>
                      <w:sz w:val="18"/>
                      <w:szCs w:val="18"/>
                    </w:rPr>
                  </w:pPr>
                  <w:proofErr w:type="spellStart"/>
                  <w:proofErr w:type="gramStart"/>
                  <w:r>
                    <w:rPr>
                      <w:sz w:val="18"/>
                      <w:szCs w:val="18"/>
                    </w:rPr>
                    <w:t>Blattler</w:t>
                  </w:r>
                  <w:proofErr w:type="spellEnd"/>
                  <w:r>
                    <w:rPr>
                      <w:sz w:val="18"/>
                      <w:szCs w:val="18"/>
                    </w:rPr>
                    <w:t>(</w:t>
                  </w:r>
                  <w:proofErr w:type="gramEnd"/>
                  <w:r>
                    <w:rPr>
                      <w:sz w:val="18"/>
                      <w:szCs w:val="18"/>
                    </w:rPr>
                    <w:t>2003)</w:t>
                  </w:r>
                </w:p>
              </w:tc>
              <w:tc>
                <w:tcPr>
                  <w:tcW w:w="1934" w:type="dxa"/>
                </w:tcPr>
                <w:p w14:paraId="3C9FEDBE" w14:textId="77777777" w:rsidR="003F6DB0" w:rsidRDefault="003F6DB0" w:rsidP="003F6DB0">
                  <w:pPr>
                    <w:spacing w:before="120" w:after="120"/>
                    <w:rPr>
                      <w:sz w:val="18"/>
                      <w:szCs w:val="18"/>
                    </w:rPr>
                  </w:pPr>
                  <w:r>
                    <w:rPr>
                      <w:sz w:val="18"/>
                      <w:szCs w:val="18"/>
                    </w:rPr>
                    <w:t>RCT</w:t>
                  </w:r>
                </w:p>
              </w:tc>
              <w:tc>
                <w:tcPr>
                  <w:tcW w:w="2342" w:type="dxa"/>
                </w:tcPr>
                <w:p w14:paraId="5E705B9A" w14:textId="77777777" w:rsidR="003F6DB0" w:rsidRDefault="003F6DB0" w:rsidP="003F6DB0">
                  <w:pPr>
                    <w:spacing w:before="120" w:after="120"/>
                    <w:rPr>
                      <w:sz w:val="18"/>
                      <w:szCs w:val="18"/>
                    </w:rPr>
                  </w:pPr>
                  <w:r>
                    <w:rPr>
                      <w:sz w:val="18"/>
                      <w:szCs w:val="18"/>
                    </w:rPr>
                    <w:t>9 days/ day 0</w:t>
                  </w:r>
                </w:p>
              </w:tc>
              <w:tc>
                <w:tcPr>
                  <w:tcW w:w="1899" w:type="dxa"/>
                </w:tcPr>
                <w:p w14:paraId="17770B06" w14:textId="77777777" w:rsidR="003F6DB0" w:rsidRDefault="003F6DB0" w:rsidP="003F6DB0">
                  <w:pPr>
                    <w:spacing w:before="120" w:after="120"/>
                    <w:rPr>
                      <w:sz w:val="18"/>
                      <w:szCs w:val="18"/>
                    </w:rPr>
                  </w:pPr>
                  <w:r>
                    <w:rPr>
                      <w:sz w:val="18"/>
                      <w:szCs w:val="18"/>
                    </w:rPr>
                    <w:t>Progression of DVT</w:t>
                  </w:r>
                </w:p>
              </w:tc>
              <w:tc>
                <w:tcPr>
                  <w:tcW w:w="1440" w:type="dxa"/>
                </w:tcPr>
                <w:p w14:paraId="4CEEA41E" w14:textId="77777777" w:rsidR="003F6DB0" w:rsidRDefault="003F6DB0" w:rsidP="003F6DB0">
                  <w:pPr>
                    <w:spacing w:before="120" w:after="120"/>
                    <w:rPr>
                      <w:sz w:val="18"/>
                      <w:szCs w:val="18"/>
                    </w:rPr>
                  </w:pPr>
                  <w:r>
                    <w:rPr>
                      <w:sz w:val="18"/>
                      <w:szCs w:val="18"/>
                    </w:rPr>
                    <w:t>0.01 (</w:t>
                  </w:r>
                  <w:proofErr w:type="spellStart"/>
                  <w:r>
                    <w:rPr>
                      <w:sz w:val="18"/>
                      <w:szCs w:val="18"/>
                    </w:rPr>
                    <w:t>favoring</w:t>
                  </w:r>
                  <w:proofErr w:type="spellEnd"/>
                  <w:r>
                    <w:rPr>
                      <w:sz w:val="18"/>
                      <w:szCs w:val="18"/>
                    </w:rPr>
                    <w:t xml:space="preserve"> ambulation)</w:t>
                  </w:r>
                </w:p>
              </w:tc>
            </w:tr>
            <w:tr w:rsidR="003F6DB0" w14:paraId="738AE35C" w14:textId="77777777" w:rsidTr="00313FE6">
              <w:tc>
                <w:tcPr>
                  <w:tcW w:w="1745" w:type="dxa"/>
                </w:tcPr>
                <w:p w14:paraId="794BBA0C" w14:textId="77777777" w:rsidR="003F6DB0" w:rsidRDefault="003F6DB0" w:rsidP="003F6DB0">
                  <w:pPr>
                    <w:spacing w:before="120" w:after="120"/>
                    <w:rPr>
                      <w:sz w:val="18"/>
                      <w:szCs w:val="18"/>
                    </w:rPr>
                  </w:pPr>
                  <w:r>
                    <w:rPr>
                      <w:sz w:val="18"/>
                      <w:szCs w:val="18"/>
                    </w:rPr>
                    <w:t>Trujillo-Santos (2005)</w:t>
                  </w:r>
                </w:p>
              </w:tc>
              <w:tc>
                <w:tcPr>
                  <w:tcW w:w="1934" w:type="dxa"/>
                </w:tcPr>
                <w:p w14:paraId="692D660D" w14:textId="77777777" w:rsidR="003F6DB0" w:rsidRDefault="003F6DB0" w:rsidP="003F6DB0">
                  <w:pPr>
                    <w:spacing w:before="120" w:after="120"/>
                    <w:rPr>
                      <w:sz w:val="18"/>
                      <w:szCs w:val="18"/>
                    </w:rPr>
                  </w:pPr>
                  <w:r>
                    <w:rPr>
                      <w:sz w:val="18"/>
                      <w:szCs w:val="18"/>
                    </w:rPr>
                    <w:t>Prospective</w:t>
                  </w:r>
                </w:p>
              </w:tc>
              <w:tc>
                <w:tcPr>
                  <w:tcW w:w="2342" w:type="dxa"/>
                </w:tcPr>
                <w:p w14:paraId="0DB0FF21" w14:textId="77777777" w:rsidR="003F6DB0" w:rsidRDefault="003F6DB0" w:rsidP="003F6DB0">
                  <w:pPr>
                    <w:spacing w:before="120" w:after="120"/>
                    <w:rPr>
                      <w:sz w:val="18"/>
                      <w:szCs w:val="18"/>
                    </w:rPr>
                  </w:pPr>
                  <w:r>
                    <w:rPr>
                      <w:sz w:val="18"/>
                      <w:szCs w:val="18"/>
                    </w:rPr>
                    <w:t>≥3 days/ no details</w:t>
                  </w:r>
                </w:p>
              </w:tc>
              <w:tc>
                <w:tcPr>
                  <w:tcW w:w="1899" w:type="dxa"/>
                </w:tcPr>
                <w:p w14:paraId="5A3858DF" w14:textId="77777777" w:rsidR="003F6DB0" w:rsidRDefault="003F6DB0" w:rsidP="003F6DB0">
                  <w:pPr>
                    <w:spacing w:before="120" w:after="120"/>
                    <w:rPr>
                      <w:sz w:val="18"/>
                      <w:szCs w:val="18"/>
                    </w:rPr>
                  </w:pPr>
                  <w:r>
                    <w:rPr>
                      <w:sz w:val="18"/>
                      <w:szCs w:val="18"/>
                    </w:rPr>
                    <w:t>Symptomatic PE in 15 days</w:t>
                  </w:r>
                </w:p>
              </w:tc>
              <w:tc>
                <w:tcPr>
                  <w:tcW w:w="1440" w:type="dxa"/>
                </w:tcPr>
                <w:p w14:paraId="3EB65295" w14:textId="77777777" w:rsidR="003F6DB0" w:rsidRDefault="003F6DB0" w:rsidP="003F6DB0">
                  <w:pPr>
                    <w:spacing w:before="120" w:after="120"/>
                    <w:rPr>
                      <w:sz w:val="18"/>
                      <w:szCs w:val="18"/>
                    </w:rPr>
                  </w:pPr>
                  <w:r>
                    <w:rPr>
                      <w:sz w:val="18"/>
                      <w:szCs w:val="18"/>
                    </w:rPr>
                    <w:t>Not significant</w:t>
                  </w:r>
                </w:p>
              </w:tc>
            </w:tr>
            <w:tr w:rsidR="003F6DB0" w14:paraId="210D2C5C" w14:textId="77777777" w:rsidTr="00313FE6">
              <w:tc>
                <w:tcPr>
                  <w:tcW w:w="1745" w:type="dxa"/>
                </w:tcPr>
                <w:p w14:paraId="32413A55" w14:textId="77777777" w:rsidR="003F6DB0" w:rsidRDefault="003F6DB0" w:rsidP="003F6DB0">
                  <w:pPr>
                    <w:spacing w:before="120" w:after="120"/>
                    <w:rPr>
                      <w:sz w:val="18"/>
                      <w:szCs w:val="18"/>
                    </w:rPr>
                  </w:pPr>
                  <w:r>
                    <w:rPr>
                      <w:sz w:val="18"/>
                      <w:szCs w:val="18"/>
                    </w:rPr>
                    <w:t>Junger (2006)</w:t>
                  </w:r>
                </w:p>
              </w:tc>
              <w:tc>
                <w:tcPr>
                  <w:tcW w:w="1934" w:type="dxa"/>
                </w:tcPr>
                <w:p w14:paraId="0B6796BD" w14:textId="77777777" w:rsidR="003F6DB0" w:rsidRDefault="003F6DB0" w:rsidP="003F6DB0">
                  <w:pPr>
                    <w:spacing w:before="120" w:after="120"/>
                    <w:rPr>
                      <w:sz w:val="18"/>
                      <w:szCs w:val="18"/>
                    </w:rPr>
                  </w:pPr>
                  <w:r>
                    <w:rPr>
                      <w:sz w:val="18"/>
                      <w:szCs w:val="18"/>
                    </w:rPr>
                    <w:t>RCT</w:t>
                  </w:r>
                </w:p>
              </w:tc>
              <w:tc>
                <w:tcPr>
                  <w:tcW w:w="2342" w:type="dxa"/>
                </w:tcPr>
                <w:p w14:paraId="200E8B8E" w14:textId="77777777" w:rsidR="003F6DB0" w:rsidRDefault="003F6DB0" w:rsidP="003F6DB0">
                  <w:pPr>
                    <w:spacing w:before="120" w:after="120"/>
                    <w:rPr>
                      <w:sz w:val="18"/>
                      <w:szCs w:val="18"/>
                    </w:rPr>
                  </w:pPr>
                  <w:r>
                    <w:rPr>
                      <w:sz w:val="18"/>
                      <w:szCs w:val="18"/>
                    </w:rPr>
                    <w:t>≥5 days/ day 0</w:t>
                  </w:r>
                </w:p>
              </w:tc>
              <w:tc>
                <w:tcPr>
                  <w:tcW w:w="1899" w:type="dxa"/>
                </w:tcPr>
                <w:p w14:paraId="690C9795" w14:textId="77777777" w:rsidR="003F6DB0" w:rsidRDefault="003F6DB0" w:rsidP="003F6DB0">
                  <w:pPr>
                    <w:spacing w:before="120" w:after="120"/>
                    <w:rPr>
                      <w:sz w:val="18"/>
                      <w:szCs w:val="18"/>
                    </w:rPr>
                  </w:pPr>
                  <w:r>
                    <w:rPr>
                      <w:sz w:val="18"/>
                      <w:szCs w:val="18"/>
                    </w:rPr>
                    <w:t>PE, progression of DVT and mortality</w:t>
                  </w:r>
                </w:p>
              </w:tc>
              <w:tc>
                <w:tcPr>
                  <w:tcW w:w="1440" w:type="dxa"/>
                </w:tcPr>
                <w:p w14:paraId="23201688" w14:textId="77777777" w:rsidR="003F6DB0" w:rsidRDefault="003F6DB0" w:rsidP="003F6DB0">
                  <w:pPr>
                    <w:spacing w:before="120" w:after="120"/>
                    <w:rPr>
                      <w:sz w:val="18"/>
                      <w:szCs w:val="18"/>
                    </w:rPr>
                  </w:pPr>
                  <w:r>
                    <w:rPr>
                      <w:sz w:val="18"/>
                      <w:szCs w:val="18"/>
                    </w:rPr>
                    <w:t>0.088</w:t>
                  </w:r>
                </w:p>
              </w:tc>
            </w:tr>
            <w:tr w:rsidR="003F6DB0" w14:paraId="646AB4D4" w14:textId="77777777" w:rsidTr="00313FE6">
              <w:tc>
                <w:tcPr>
                  <w:tcW w:w="1745" w:type="dxa"/>
                </w:tcPr>
                <w:p w14:paraId="116B8DCE" w14:textId="77777777" w:rsidR="003F6DB0" w:rsidRDefault="003F6DB0" w:rsidP="003F6DB0">
                  <w:pPr>
                    <w:spacing w:before="120" w:after="120"/>
                    <w:rPr>
                      <w:sz w:val="18"/>
                      <w:szCs w:val="18"/>
                    </w:rPr>
                  </w:pPr>
                  <w:proofErr w:type="spellStart"/>
                  <w:r>
                    <w:rPr>
                      <w:sz w:val="18"/>
                      <w:szCs w:val="18"/>
                    </w:rPr>
                    <w:t>Romera</w:t>
                  </w:r>
                  <w:proofErr w:type="spellEnd"/>
                  <w:r>
                    <w:rPr>
                      <w:sz w:val="18"/>
                      <w:szCs w:val="18"/>
                    </w:rPr>
                    <w:t xml:space="preserve"> (2006)</w:t>
                  </w:r>
                </w:p>
              </w:tc>
              <w:tc>
                <w:tcPr>
                  <w:tcW w:w="1934" w:type="dxa"/>
                </w:tcPr>
                <w:p w14:paraId="662BDD25" w14:textId="77777777" w:rsidR="003F6DB0" w:rsidRDefault="003F6DB0" w:rsidP="003F6DB0">
                  <w:pPr>
                    <w:spacing w:before="120" w:after="120"/>
                    <w:rPr>
                      <w:sz w:val="18"/>
                      <w:szCs w:val="18"/>
                    </w:rPr>
                  </w:pPr>
                  <w:r>
                    <w:rPr>
                      <w:sz w:val="18"/>
                      <w:szCs w:val="18"/>
                    </w:rPr>
                    <w:t>RCT</w:t>
                  </w:r>
                </w:p>
              </w:tc>
              <w:tc>
                <w:tcPr>
                  <w:tcW w:w="2342" w:type="dxa"/>
                </w:tcPr>
                <w:p w14:paraId="3BCFAEF5" w14:textId="77777777" w:rsidR="003F6DB0" w:rsidRDefault="003F6DB0" w:rsidP="003F6DB0">
                  <w:pPr>
                    <w:spacing w:before="120" w:after="120"/>
                    <w:rPr>
                      <w:sz w:val="18"/>
                      <w:szCs w:val="18"/>
                    </w:rPr>
                  </w:pPr>
                  <w:r>
                    <w:rPr>
                      <w:sz w:val="18"/>
                      <w:szCs w:val="18"/>
                    </w:rPr>
                    <w:t xml:space="preserve">5 days/ day 0 </w:t>
                  </w:r>
                </w:p>
              </w:tc>
              <w:tc>
                <w:tcPr>
                  <w:tcW w:w="1899" w:type="dxa"/>
                </w:tcPr>
                <w:p w14:paraId="2977B0AA" w14:textId="77777777" w:rsidR="003F6DB0" w:rsidRDefault="003F6DB0" w:rsidP="003F6DB0">
                  <w:pPr>
                    <w:spacing w:before="120" w:after="120"/>
                    <w:rPr>
                      <w:sz w:val="18"/>
                      <w:szCs w:val="18"/>
                    </w:rPr>
                  </w:pPr>
                  <w:r>
                    <w:rPr>
                      <w:sz w:val="18"/>
                      <w:szCs w:val="18"/>
                    </w:rPr>
                    <w:t>Symptomatic PE in 10 days</w:t>
                  </w:r>
                </w:p>
              </w:tc>
              <w:tc>
                <w:tcPr>
                  <w:tcW w:w="1440" w:type="dxa"/>
                </w:tcPr>
                <w:p w14:paraId="6FC1446B" w14:textId="77777777" w:rsidR="003F6DB0" w:rsidRDefault="003F6DB0" w:rsidP="003F6DB0">
                  <w:pPr>
                    <w:spacing w:before="120" w:after="120"/>
                    <w:rPr>
                      <w:sz w:val="18"/>
                      <w:szCs w:val="18"/>
                    </w:rPr>
                  </w:pPr>
                  <w:r>
                    <w:rPr>
                      <w:sz w:val="18"/>
                      <w:szCs w:val="18"/>
                    </w:rPr>
                    <w:t>0.33</w:t>
                  </w:r>
                </w:p>
              </w:tc>
            </w:tr>
            <w:tr w:rsidR="003F6DB0" w14:paraId="783F60C1" w14:textId="77777777" w:rsidTr="00313FE6">
              <w:tc>
                <w:tcPr>
                  <w:tcW w:w="1745" w:type="dxa"/>
                </w:tcPr>
                <w:p w14:paraId="6CA821DF" w14:textId="77777777" w:rsidR="003F6DB0" w:rsidRDefault="003F6DB0" w:rsidP="003F6DB0">
                  <w:pPr>
                    <w:spacing w:before="120" w:after="120"/>
                    <w:rPr>
                      <w:sz w:val="18"/>
                      <w:szCs w:val="18"/>
                    </w:rPr>
                  </w:pPr>
                  <w:proofErr w:type="spellStart"/>
                  <w:r>
                    <w:rPr>
                      <w:sz w:val="18"/>
                      <w:szCs w:val="18"/>
                    </w:rPr>
                    <w:t>Isma</w:t>
                  </w:r>
                  <w:proofErr w:type="spellEnd"/>
                  <w:r>
                    <w:rPr>
                      <w:sz w:val="18"/>
                      <w:szCs w:val="18"/>
                    </w:rPr>
                    <w:t xml:space="preserve"> (2007)</w:t>
                  </w:r>
                </w:p>
              </w:tc>
              <w:tc>
                <w:tcPr>
                  <w:tcW w:w="1934" w:type="dxa"/>
                </w:tcPr>
                <w:p w14:paraId="092867B1" w14:textId="77777777" w:rsidR="003F6DB0" w:rsidRDefault="003F6DB0" w:rsidP="003F6DB0">
                  <w:pPr>
                    <w:spacing w:before="120" w:after="120"/>
                    <w:rPr>
                      <w:sz w:val="18"/>
                      <w:szCs w:val="18"/>
                    </w:rPr>
                  </w:pPr>
                  <w:r>
                    <w:rPr>
                      <w:sz w:val="18"/>
                      <w:szCs w:val="18"/>
                    </w:rPr>
                    <w:t>RCT</w:t>
                  </w:r>
                </w:p>
              </w:tc>
              <w:tc>
                <w:tcPr>
                  <w:tcW w:w="2342" w:type="dxa"/>
                </w:tcPr>
                <w:p w14:paraId="6E1EB88E" w14:textId="77777777" w:rsidR="003F6DB0" w:rsidRDefault="003F6DB0" w:rsidP="003F6DB0">
                  <w:pPr>
                    <w:spacing w:before="120" w:after="120"/>
                    <w:rPr>
                      <w:sz w:val="18"/>
                      <w:szCs w:val="18"/>
                    </w:rPr>
                  </w:pPr>
                  <w:r>
                    <w:rPr>
                      <w:sz w:val="18"/>
                      <w:szCs w:val="18"/>
                    </w:rPr>
                    <w:t>No details/ immediately</w:t>
                  </w:r>
                </w:p>
              </w:tc>
              <w:tc>
                <w:tcPr>
                  <w:tcW w:w="1899" w:type="dxa"/>
                </w:tcPr>
                <w:p w14:paraId="2B9B15D3" w14:textId="77777777" w:rsidR="003F6DB0" w:rsidRDefault="003F6DB0" w:rsidP="003F6DB0">
                  <w:pPr>
                    <w:spacing w:before="120" w:after="120"/>
                    <w:rPr>
                      <w:sz w:val="18"/>
                      <w:szCs w:val="18"/>
                    </w:rPr>
                  </w:pPr>
                  <w:r>
                    <w:rPr>
                      <w:sz w:val="18"/>
                      <w:szCs w:val="18"/>
                    </w:rPr>
                    <w:t>Recanalization of vein in 6 months</w:t>
                  </w:r>
                </w:p>
              </w:tc>
              <w:tc>
                <w:tcPr>
                  <w:tcW w:w="1440" w:type="dxa"/>
                </w:tcPr>
                <w:p w14:paraId="77A10B67" w14:textId="77777777" w:rsidR="003F6DB0" w:rsidRDefault="003F6DB0" w:rsidP="003F6DB0">
                  <w:pPr>
                    <w:spacing w:before="120" w:after="120"/>
                    <w:rPr>
                      <w:sz w:val="18"/>
                      <w:szCs w:val="18"/>
                    </w:rPr>
                  </w:pPr>
                  <w:r>
                    <w:rPr>
                      <w:sz w:val="18"/>
                      <w:szCs w:val="18"/>
                    </w:rPr>
                    <w:t>Not significant</w:t>
                  </w:r>
                </w:p>
              </w:tc>
            </w:tr>
            <w:tr w:rsidR="003F6DB0" w14:paraId="45EF8661" w14:textId="77777777" w:rsidTr="00313FE6">
              <w:tc>
                <w:tcPr>
                  <w:tcW w:w="1745" w:type="dxa"/>
                </w:tcPr>
                <w:p w14:paraId="326FD383" w14:textId="77777777" w:rsidR="003F6DB0" w:rsidRDefault="003F6DB0" w:rsidP="003F6DB0">
                  <w:pPr>
                    <w:spacing w:before="120" w:after="120"/>
                    <w:rPr>
                      <w:sz w:val="18"/>
                      <w:szCs w:val="18"/>
                    </w:rPr>
                  </w:pPr>
                  <w:proofErr w:type="spellStart"/>
                  <w:r>
                    <w:rPr>
                      <w:sz w:val="18"/>
                      <w:szCs w:val="18"/>
                    </w:rPr>
                    <w:t>Romera</w:t>
                  </w:r>
                  <w:proofErr w:type="spellEnd"/>
                  <w:r>
                    <w:rPr>
                      <w:sz w:val="18"/>
                      <w:szCs w:val="18"/>
                    </w:rPr>
                    <w:t xml:space="preserve"> (2008)</w:t>
                  </w:r>
                </w:p>
              </w:tc>
              <w:tc>
                <w:tcPr>
                  <w:tcW w:w="1934" w:type="dxa"/>
                </w:tcPr>
                <w:p w14:paraId="071204C3" w14:textId="77777777" w:rsidR="003F6DB0" w:rsidRDefault="003F6DB0" w:rsidP="003F6DB0">
                  <w:pPr>
                    <w:spacing w:before="120" w:after="120"/>
                    <w:rPr>
                      <w:sz w:val="18"/>
                      <w:szCs w:val="18"/>
                    </w:rPr>
                  </w:pPr>
                  <w:r>
                    <w:rPr>
                      <w:sz w:val="18"/>
                      <w:szCs w:val="18"/>
                    </w:rPr>
                    <w:t>RCT</w:t>
                  </w:r>
                </w:p>
              </w:tc>
              <w:tc>
                <w:tcPr>
                  <w:tcW w:w="2342" w:type="dxa"/>
                </w:tcPr>
                <w:p w14:paraId="594D5AD8" w14:textId="77777777" w:rsidR="003F6DB0" w:rsidRDefault="003F6DB0" w:rsidP="003F6DB0">
                  <w:pPr>
                    <w:spacing w:before="120" w:after="120"/>
                    <w:rPr>
                      <w:sz w:val="18"/>
                      <w:szCs w:val="18"/>
                    </w:rPr>
                  </w:pPr>
                  <w:r>
                    <w:rPr>
                      <w:sz w:val="18"/>
                      <w:szCs w:val="18"/>
                    </w:rPr>
                    <w:t xml:space="preserve">5 days/ day 0 </w:t>
                  </w:r>
                </w:p>
              </w:tc>
              <w:tc>
                <w:tcPr>
                  <w:tcW w:w="1899" w:type="dxa"/>
                </w:tcPr>
                <w:p w14:paraId="07A2FE8B" w14:textId="77777777" w:rsidR="003F6DB0" w:rsidRDefault="003F6DB0" w:rsidP="003F6DB0">
                  <w:pPr>
                    <w:spacing w:before="120" w:after="120"/>
                    <w:rPr>
                      <w:sz w:val="18"/>
                      <w:szCs w:val="18"/>
                    </w:rPr>
                  </w:pPr>
                  <w:r>
                    <w:rPr>
                      <w:sz w:val="18"/>
                      <w:szCs w:val="18"/>
                    </w:rPr>
                    <w:t>Symptomatic PE in 10 days</w:t>
                  </w:r>
                </w:p>
              </w:tc>
              <w:tc>
                <w:tcPr>
                  <w:tcW w:w="1440" w:type="dxa"/>
                </w:tcPr>
                <w:p w14:paraId="130BC775" w14:textId="77777777" w:rsidR="003F6DB0" w:rsidRDefault="003F6DB0" w:rsidP="003F6DB0">
                  <w:pPr>
                    <w:spacing w:before="120" w:after="120"/>
                    <w:rPr>
                      <w:sz w:val="18"/>
                      <w:szCs w:val="18"/>
                    </w:rPr>
                  </w:pPr>
                  <w:r>
                    <w:rPr>
                      <w:sz w:val="18"/>
                      <w:szCs w:val="18"/>
                    </w:rPr>
                    <w:t>0.54</w:t>
                  </w:r>
                </w:p>
              </w:tc>
            </w:tr>
            <w:tr w:rsidR="003F6DB0" w14:paraId="69A42585" w14:textId="77777777" w:rsidTr="00313FE6">
              <w:tc>
                <w:tcPr>
                  <w:tcW w:w="1745" w:type="dxa"/>
                </w:tcPr>
                <w:p w14:paraId="11031DE5" w14:textId="77777777" w:rsidR="003F6DB0" w:rsidRDefault="003F6DB0" w:rsidP="003F6DB0">
                  <w:pPr>
                    <w:spacing w:before="120" w:after="120"/>
                    <w:rPr>
                      <w:sz w:val="18"/>
                      <w:szCs w:val="18"/>
                    </w:rPr>
                  </w:pPr>
                  <w:proofErr w:type="spellStart"/>
                  <w:r>
                    <w:rPr>
                      <w:sz w:val="18"/>
                      <w:szCs w:val="18"/>
                    </w:rPr>
                    <w:t>Manganaro</w:t>
                  </w:r>
                  <w:proofErr w:type="spellEnd"/>
                  <w:r>
                    <w:rPr>
                      <w:sz w:val="18"/>
                      <w:szCs w:val="18"/>
                    </w:rPr>
                    <w:t xml:space="preserve"> (2008)</w:t>
                  </w:r>
                </w:p>
              </w:tc>
              <w:tc>
                <w:tcPr>
                  <w:tcW w:w="1934" w:type="dxa"/>
                </w:tcPr>
                <w:p w14:paraId="3F9E87D3" w14:textId="77777777" w:rsidR="003F6DB0" w:rsidRDefault="003F6DB0" w:rsidP="003F6DB0">
                  <w:pPr>
                    <w:spacing w:before="120" w:after="120"/>
                    <w:rPr>
                      <w:sz w:val="18"/>
                      <w:szCs w:val="18"/>
                    </w:rPr>
                  </w:pPr>
                  <w:r>
                    <w:rPr>
                      <w:sz w:val="18"/>
                      <w:szCs w:val="18"/>
                    </w:rPr>
                    <w:t>Retrospective case-control</w:t>
                  </w:r>
                </w:p>
              </w:tc>
              <w:tc>
                <w:tcPr>
                  <w:tcW w:w="2342" w:type="dxa"/>
                </w:tcPr>
                <w:p w14:paraId="3FCD74E1" w14:textId="77777777" w:rsidR="003F6DB0" w:rsidRDefault="003F6DB0" w:rsidP="003F6DB0">
                  <w:pPr>
                    <w:spacing w:before="120" w:after="120"/>
                    <w:rPr>
                      <w:sz w:val="18"/>
                      <w:szCs w:val="18"/>
                    </w:rPr>
                  </w:pPr>
                  <w:r>
                    <w:rPr>
                      <w:sz w:val="18"/>
                      <w:szCs w:val="18"/>
                    </w:rPr>
                    <w:t>7± 2 days or permanently/ day 0</w:t>
                  </w:r>
                </w:p>
              </w:tc>
              <w:tc>
                <w:tcPr>
                  <w:tcW w:w="1899" w:type="dxa"/>
                </w:tcPr>
                <w:p w14:paraId="4809C3AA" w14:textId="77777777" w:rsidR="003F6DB0" w:rsidRDefault="003F6DB0" w:rsidP="003F6DB0">
                  <w:pPr>
                    <w:spacing w:before="120" w:after="120"/>
                    <w:rPr>
                      <w:sz w:val="18"/>
                      <w:szCs w:val="18"/>
                    </w:rPr>
                  </w:pPr>
                  <w:r>
                    <w:rPr>
                      <w:sz w:val="18"/>
                      <w:szCs w:val="18"/>
                    </w:rPr>
                    <w:t>PE, progression of DVT and mortality in 30 days</w:t>
                  </w:r>
                </w:p>
              </w:tc>
              <w:tc>
                <w:tcPr>
                  <w:tcW w:w="1440" w:type="dxa"/>
                </w:tcPr>
                <w:p w14:paraId="39A42820" w14:textId="77777777" w:rsidR="003F6DB0" w:rsidRDefault="003F6DB0" w:rsidP="003F6DB0">
                  <w:pPr>
                    <w:spacing w:before="120" w:after="120"/>
                    <w:rPr>
                      <w:sz w:val="18"/>
                      <w:szCs w:val="18"/>
                    </w:rPr>
                  </w:pPr>
                  <w:r>
                    <w:rPr>
                      <w:sz w:val="18"/>
                      <w:szCs w:val="18"/>
                    </w:rPr>
                    <w:t>0.001 (</w:t>
                  </w:r>
                  <w:proofErr w:type="spellStart"/>
                  <w:r>
                    <w:rPr>
                      <w:sz w:val="18"/>
                      <w:szCs w:val="18"/>
                    </w:rPr>
                    <w:t>favoring</w:t>
                  </w:r>
                  <w:proofErr w:type="spellEnd"/>
                  <w:r>
                    <w:rPr>
                      <w:sz w:val="18"/>
                      <w:szCs w:val="18"/>
                    </w:rPr>
                    <w:t xml:space="preserve"> ambulation)</w:t>
                  </w:r>
                </w:p>
              </w:tc>
            </w:tr>
            <w:tr w:rsidR="003F6DB0" w14:paraId="5E07987E" w14:textId="77777777" w:rsidTr="00313FE6">
              <w:tc>
                <w:tcPr>
                  <w:tcW w:w="1745" w:type="dxa"/>
                </w:tcPr>
                <w:p w14:paraId="59404D9C" w14:textId="77777777" w:rsidR="003F6DB0" w:rsidRDefault="003F6DB0" w:rsidP="003F6DB0">
                  <w:pPr>
                    <w:spacing w:before="120" w:after="120"/>
                    <w:rPr>
                      <w:sz w:val="18"/>
                      <w:szCs w:val="18"/>
                    </w:rPr>
                  </w:pPr>
                  <w:r>
                    <w:rPr>
                      <w:sz w:val="18"/>
                      <w:szCs w:val="18"/>
                    </w:rPr>
                    <w:t>Rahman (2009)</w:t>
                  </w:r>
                </w:p>
              </w:tc>
              <w:tc>
                <w:tcPr>
                  <w:tcW w:w="1934" w:type="dxa"/>
                </w:tcPr>
                <w:p w14:paraId="12EE41E6" w14:textId="77777777" w:rsidR="003F6DB0" w:rsidRDefault="003F6DB0" w:rsidP="003F6DB0">
                  <w:pPr>
                    <w:spacing w:before="120" w:after="120"/>
                    <w:rPr>
                      <w:sz w:val="18"/>
                      <w:szCs w:val="18"/>
                    </w:rPr>
                  </w:pPr>
                  <w:r>
                    <w:rPr>
                      <w:sz w:val="18"/>
                      <w:szCs w:val="18"/>
                    </w:rPr>
                    <w:t>RCT</w:t>
                  </w:r>
                </w:p>
              </w:tc>
              <w:tc>
                <w:tcPr>
                  <w:tcW w:w="2342" w:type="dxa"/>
                </w:tcPr>
                <w:p w14:paraId="5962E16E" w14:textId="77777777" w:rsidR="003F6DB0" w:rsidRDefault="003F6DB0" w:rsidP="003F6DB0">
                  <w:pPr>
                    <w:spacing w:before="120" w:after="120"/>
                    <w:rPr>
                      <w:sz w:val="18"/>
                      <w:szCs w:val="18"/>
                    </w:rPr>
                  </w:pPr>
                  <w:r>
                    <w:rPr>
                      <w:sz w:val="18"/>
                      <w:szCs w:val="18"/>
                    </w:rPr>
                    <w:t>7 days/ day 0</w:t>
                  </w:r>
                </w:p>
              </w:tc>
              <w:tc>
                <w:tcPr>
                  <w:tcW w:w="1899" w:type="dxa"/>
                </w:tcPr>
                <w:p w14:paraId="416F20BD" w14:textId="77777777" w:rsidR="003F6DB0" w:rsidRDefault="003F6DB0" w:rsidP="003F6DB0">
                  <w:pPr>
                    <w:spacing w:before="120" w:after="120"/>
                    <w:rPr>
                      <w:sz w:val="18"/>
                      <w:szCs w:val="18"/>
                    </w:rPr>
                  </w:pPr>
                  <w:r>
                    <w:rPr>
                      <w:sz w:val="18"/>
                      <w:szCs w:val="18"/>
                    </w:rPr>
                    <w:t>Venous outflow at day 7</w:t>
                  </w:r>
                </w:p>
              </w:tc>
              <w:tc>
                <w:tcPr>
                  <w:tcW w:w="1440" w:type="dxa"/>
                </w:tcPr>
                <w:p w14:paraId="5F47BC17" w14:textId="77777777" w:rsidR="003F6DB0" w:rsidRDefault="003F6DB0" w:rsidP="003F6DB0">
                  <w:pPr>
                    <w:spacing w:before="120" w:after="120"/>
                    <w:rPr>
                      <w:sz w:val="18"/>
                      <w:szCs w:val="18"/>
                    </w:rPr>
                  </w:pPr>
                  <w:r>
                    <w:rPr>
                      <w:sz w:val="18"/>
                      <w:szCs w:val="18"/>
                    </w:rPr>
                    <w:t>Not significant</w:t>
                  </w:r>
                </w:p>
              </w:tc>
            </w:tr>
            <w:tr w:rsidR="003F6DB0" w14:paraId="5C89659E" w14:textId="77777777" w:rsidTr="00313FE6">
              <w:tc>
                <w:tcPr>
                  <w:tcW w:w="1745" w:type="dxa"/>
                </w:tcPr>
                <w:p w14:paraId="64720751" w14:textId="77777777" w:rsidR="003F6DB0" w:rsidRDefault="003F6DB0" w:rsidP="003F6DB0">
                  <w:pPr>
                    <w:spacing w:before="120" w:after="120"/>
                    <w:rPr>
                      <w:sz w:val="18"/>
                      <w:szCs w:val="18"/>
                    </w:rPr>
                  </w:pPr>
                  <w:r>
                    <w:rPr>
                      <w:sz w:val="18"/>
                      <w:szCs w:val="18"/>
                    </w:rPr>
                    <w:t>Huang (2010)</w:t>
                  </w:r>
                </w:p>
              </w:tc>
              <w:tc>
                <w:tcPr>
                  <w:tcW w:w="1934" w:type="dxa"/>
                </w:tcPr>
                <w:p w14:paraId="058F9DB3" w14:textId="77777777" w:rsidR="003F6DB0" w:rsidRDefault="003F6DB0" w:rsidP="003F6DB0">
                  <w:pPr>
                    <w:spacing w:before="120" w:after="120"/>
                    <w:rPr>
                      <w:sz w:val="18"/>
                      <w:szCs w:val="18"/>
                    </w:rPr>
                  </w:pPr>
                  <w:r>
                    <w:rPr>
                      <w:sz w:val="18"/>
                      <w:szCs w:val="18"/>
                    </w:rPr>
                    <w:t>RCT</w:t>
                  </w:r>
                </w:p>
              </w:tc>
              <w:tc>
                <w:tcPr>
                  <w:tcW w:w="2342" w:type="dxa"/>
                </w:tcPr>
                <w:p w14:paraId="71A18563" w14:textId="77777777" w:rsidR="003F6DB0" w:rsidRDefault="003F6DB0" w:rsidP="003F6DB0">
                  <w:pPr>
                    <w:spacing w:before="120" w:after="120"/>
                    <w:rPr>
                      <w:sz w:val="18"/>
                      <w:szCs w:val="18"/>
                    </w:rPr>
                  </w:pPr>
                  <w:r>
                    <w:rPr>
                      <w:sz w:val="18"/>
                      <w:szCs w:val="18"/>
                    </w:rPr>
                    <w:t>7-10 days/ day 1-2</w:t>
                  </w:r>
                </w:p>
              </w:tc>
              <w:tc>
                <w:tcPr>
                  <w:tcW w:w="1899" w:type="dxa"/>
                </w:tcPr>
                <w:p w14:paraId="5C870AFE" w14:textId="77777777" w:rsidR="003F6DB0" w:rsidRDefault="003F6DB0" w:rsidP="003F6DB0">
                  <w:pPr>
                    <w:spacing w:before="120" w:after="120"/>
                    <w:rPr>
                      <w:sz w:val="18"/>
                      <w:szCs w:val="18"/>
                    </w:rPr>
                  </w:pPr>
                  <w:r>
                    <w:rPr>
                      <w:sz w:val="18"/>
                      <w:szCs w:val="18"/>
                    </w:rPr>
                    <w:t>Symptomatic PE in 3months</w:t>
                  </w:r>
                </w:p>
              </w:tc>
              <w:tc>
                <w:tcPr>
                  <w:tcW w:w="1440" w:type="dxa"/>
                </w:tcPr>
                <w:p w14:paraId="43BD9EFF" w14:textId="77777777" w:rsidR="003F6DB0" w:rsidRDefault="003F6DB0" w:rsidP="003F6DB0">
                  <w:pPr>
                    <w:spacing w:before="120" w:after="120"/>
                    <w:rPr>
                      <w:sz w:val="18"/>
                      <w:szCs w:val="18"/>
                    </w:rPr>
                  </w:pPr>
                  <w:r>
                    <w:rPr>
                      <w:sz w:val="18"/>
                      <w:szCs w:val="18"/>
                    </w:rPr>
                    <w:t>Not significant</w:t>
                  </w:r>
                </w:p>
              </w:tc>
            </w:tr>
            <w:tr w:rsidR="003F6DB0" w14:paraId="7DA7EE68" w14:textId="77777777" w:rsidTr="00313FE6">
              <w:tc>
                <w:tcPr>
                  <w:tcW w:w="1745" w:type="dxa"/>
                </w:tcPr>
                <w:p w14:paraId="1E0C3518" w14:textId="77777777" w:rsidR="003F6DB0" w:rsidRDefault="003F6DB0" w:rsidP="003F6DB0">
                  <w:pPr>
                    <w:spacing w:before="120" w:after="120"/>
                    <w:rPr>
                      <w:sz w:val="18"/>
                      <w:szCs w:val="18"/>
                    </w:rPr>
                  </w:pPr>
                  <w:r>
                    <w:rPr>
                      <w:sz w:val="18"/>
                      <w:szCs w:val="18"/>
                    </w:rPr>
                    <w:t>Feng (2011)</w:t>
                  </w:r>
                </w:p>
              </w:tc>
              <w:tc>
                <w:tcPr>
                  <w:tcW w:w="1934" w:type="dxa"/>
                </w:tcPr>
                <w:p w14:paraId="555D9343" w14:textId="77777777" w:rsidR="003F6DB0" w:rsidRDefault="003F6DB0" w:rsidP="003F6DB0">
                  <w:pPr>
                    <w:spacing w:before="120" w:after="120"/>
                    <w:rPr>
                      <w:sz w:val="18"/>
                      <w:szCs w:val="18"/>
                    </w:rPr>
                  </w:pPr>
                  <w:proofErr w:type="spellStart"/>
                  <w:r>
                    <w:rPr>
                      <w:sz w:val="18"/>
                      <w:szCs w:val="18"/>
                    </w:rPr>
                    <w:t>nRCT</w:t>
                  </w:r>
                  <w:proofErr w:type="spellEnd"/>
                </w:p>
              </w:tc>
              <w:tc>
                <w:tcPr>
                  <w:tcW w:w="2342" w:type="dxa"/>
                </w:tcPr>
                <w:p w14:paraId="01E75E5D" w14:textId="77777777" w:rsidR="003F6DB0" w:rsidRDefault="003F6DB0" w:rsidP="003F6DB0">
                  <w:pPr>
                    <w:spacing w:before="120" w:after="120"/>
                    <w:rPr>
                      <w:sz w:val="18"/>
                      <w:szCs w:val="18"/>
                    </w:rPr>
                  </w:pPr>
                  <w:r>
                    <w:rPr>
                      <w:sz w:val="18"/>
                      <w:szCs w:val="18"/>
                    </w:rPr>
                    <w:t>7 days/day 0</w:t>
                  </w:r>
                </w:p>
              </w:tc>
              <w:tc>
                <w:tcPr>
                  <w:tcW w:w="1899" w:type="dxa"/>
                </w:tcPr>
                <w:p w14:paraId="241BD447" w14:textId="77777777" w:rsidR="003F6DB0" w:rsidRDefault="003F6DB0" w:rsidP="003F6DB0">
                  <w:pPr>
                    <w:spacing w:before="120" w:after="120"/>
                    <w:rPr>
                      <w:sz w:val="18"/>
                      <w:szCs w:val="18"/>
                    </w:rPr>
                  </w:pPr>
                  <w:r>
                    <w:rPr>
                      <w:sz w:val="18"/>
                      <w:szCs w:val="18"/>
                    </w:rPr>
                    <w:t>PE in 7 days</w:t>
                  </w:r>
                </w:p>
              </w:tc>
              <w:tc>
                <w:tcPr>
                  <w:tcW w:w="1440" w:type="dxa"/>
                </w:tcPr>
                <w:p w14:paraId="5AAB6E00" w14:textId="77777777" w:rsidR="003F6DB0" w:rsidRDefault="003F6DB0" w:rsidP="003F6DB0">
                  <w:pPr>
                    <w:spacing w:before="120" w:after="120"/>
                    <w:rPr>
                      <w:sz w:val="18"/>
                      <w:szCs w:val="18"/>
                    </w:rPr>
                  </w:pPr>
                  <w:r>
                    <w:rPr>
                      <w:sz w:val="18"/>
                      <w:szCs w:val="18"/>
                    </w:rPr>
                    <w:t>&gt;0.05</w:t>
                  </w:r>
                </w:p>
              </w:tc>
            </w:tr>
            <w:tr w:rsidR="003F6DB0" w14:paraId="4F1BF1FF" w14:textId="77777777" w:rsidTr="00313FE6">
              <w:tc>
                <w:tcPr>
                  <w:tcW w:w="1745" w:type="dxa"/>
                </w:tcPr>
                <w:p w14:paraId="2E720804" w14:textId="77777777" w:rsidR="003F6DB0" w:rsidRDefault="003F6DB0" w:rsidP="003F6DB0">
                  <w:pPr>
                    <w:spacing w:before="120" w:after="120"/>
                    <w:rPr>
                      <w:sz w:val="18"/>
                      <w:szCs w:val="18"/>
                    </w:rPr>
                  </w:pPr>
                  <w:r>
                    <w:rPr>
                      <w:sz w:val="18"/>
                      <w:szCs w:val="18"/>
                    </w:rPr>
                    <w:t>Liu (2013)</w:t>
                  </w:r>
                </w:p>
              </w:tc>
              <w:tc>
                <w:tcPr>
                  <w:tcW w:w="1934" w:type="dxa"/>
                </w:tcPr>
                <w:p w14:paraId="67AA3B39" w14:textId="77777777" w:rsidR="003F6DB0" w:rsidRDefault="003F6DB0" w:rsidP="003F6DB0">
                  <w:pPr>
                    <w:spacing w:before="120" w:after="120"/>
                    <w:rPr>
                      <w:sz w:val="18"/>
                      <w:szCs w:val="18"/>
                    </w:rPr>
                  </w:pPr>
                  <w:r>
                    <w:rPr>
                      <w:sz w:val="18"/>
                      <w:szCs w:val="18"/>
                    </w:rPr>
                    <w:t>RCT</w:t>
                  </w:r>
                </w:p>
              </w:tc>
              <w:tc>
                <w:tcPr>
                  <w:tcW w:w="2342" w:type="dxa"/>
                </w:tcPr>
                <w:p w14:paraId="08AED546" w14:textId="77777777" w:rsidR="003F6DB0" w:rsidRDefault="003F6DB0" w:rsidP="003F6DB0">
                  <w:pPr>
                    <w:spacing w:before="120" w:after="120"/>
                    <w:rPr>
                      <w:sz w:val="18"/>
                      <w:szCs w:val="18"/>
                    </w:rPr>
                  </w:pPr>
                  <w:r>
                    <w:rPr>
                      <w:sz w:val="18"/>
                      <w:szCs w:val="18"/>
                    </w:rPr>
                    <w:t>7-14 days/day 1-2</w:t>
                  </w:r>
                </w:p>
              </w:tc>
              <w:tc>
                <w:tcPr>
                  <w:tcW w:w="1899" w:type="dxa"/>
                </w:tcPr>
                <w:p w14:paraId="3638908F" w14:textId="77777777" w:rsidR="003F6DB0" w:rsidRDefault="003F6DB0" w:rsidP="003F6DB0">
                  <w:pPr>
                    <w:spacing w:before="120" w:after="120"/>
                    <w:rPr>
                      <w:sz w:val="18"/>
                      <w:szCs w:val="18"/>
                    </w:rPr>
                  </w:pPr>
                  <w:r>
                    <w:rPr>
                      <w:sz w:val="18"/>
                      <w:szCs w:val="18"/>
                    </w:rPr>
                    <w:t>Symptomatic PE in 3 months</w:t>
                  </w:r>
                </w:p>
              </w:tc>
              <w:tc>
                <w:tcPr>
                  <w:tcW w:w="1440" w:type="dxa"/>
                </w:tcPr>
                <w:p w14:paraId="330E8548" w14:textId="77777777" w:rsidR="003F6DB0" w:rsidRDefault="003F6DB0" w:rsidP="003F6DB0">
                  <w:pPr>
                    <w:spacing w:before="120" w:after="120"/>
                    <w:rPr>
                      <w:sz w:val="18"/>
                      <w:szCs w:val="18"/>
                    </w:rPr>
                  </w:pPr>
                  <w:r>
                    <w:rPr>
                      <w:sz w:val="18"/>
                      <w:szCs w:val="18"/>
                    </w:rPr>
                    <w:t>Not significant</w:t>
                  </w:r>
                </w:p>
              </w:tc>
            </w:tr>
          </w:tbl>
          <w:p w14:paraId="42609745" w14:textId="10C758CB" w:rsidR="003F6DB0" w:rsidRDefault="008756B2" w:rsidP="009E380F">
            <w:pPr>
              <w:spacing w:before="120" w:after="120"/>
              <w:rPr>
                <w:sz w:val="18"/>
                <w:szCs w:val="18"/>
              </w:rPr>
            </w:pPr>
            <w:r>
              <w:rPr>
                <w:sz w:val="18"/>
                <w:szCs w:val="18"/>
              </w:rPr>
              <w:t xml:space="preserve"> Table 2. Meta-analysis of primary endpoints</w:t>
            </w:r>
          </w:p>
          <w:tbl>
            <w:tblPr>
              <w:tblStyle w:val="TableGrid"/>
              <w:tblW w:w="0" w:type="auto"/>
              <w:tblInd w:w="235" w:type="dxa"/>
              <w:tblLook w:val="04A0" w:firstRow="1" w:lastRow="0" w:firstColumn="1" w:lastColumn="0" w:noHBand="0" w:noVBand="1"/>
            </w:tblPr>
            <w:tblGrid>
              <w:gridCol w:w="4749"/>
              <w:gridCol w:w="4701"/>
            </w:tblGrid>
            <w:tr w:rsidR="008756B2" w14:paraId="0DBD273E" w14:textId="77777777" w:rsidTr="00F4613A">
              <w:tc>
                <w:tcPr>
                  <w:tcW w:w="4749" w:type="dxa"/>
                </w:tcPr>
                <w:p w14:paraId="205A0B06" w14:textId="21AED705" w:rsidR="008756B2" w:rsidRDefault="008756B2" w:rsidP="009E380F">
                  <w:pPr>
                    <w:spacing w:before="120" w:after="120"/>
                    <w:rPr>
                      <w:sz w:val="18"/>
                      <w:szCs w:val="18"/>
                    </w:rPr>
                  </w:pPr>
                  <w:r>
                    <w:rPr>
                      <w:sz w:val="18"/>
                      <w:szCs w:val="18"/>
                    </w:rPr>
                    <w:t>Study or Subgroup</w:t>
                  </w:r>
                </w:p>
              </w:tc>
              <w:tc>
                <w:tcPr>
                  <w:tcW w:w="4701" w:type="dxa"/>
                </w:tcPr>
                <w:p w14:paraId="3965B428" w14:textId="5A601732" w:rsidR="008756B2" w:rsidRDefault="008756B2" w:rsidP="009E380F">
                  <w:pPr>
                    <w:spacing w:before="120" w:after="120"/>
                    <w:rPr>
                      <w:sz w:val="18"/>
                      <w:szCs w:val="18"/>
                    </w:rPr>
                  </w:pPr>
                  <w:r>
                    <w:rPr>
                      <w:sz w:val="18"/>
                      <w:szCs w:val="18"/>
                    </w:rPr>
                    <w:t>Risk difference (95% confidence interval)</w:t>
                  </w:r>
                </w:p>
              </w:tc>
            </w:tr>
            <w:tr w:rsidR="008756B2" w14:paraId="06464848" w14:textId="77777777" w:rsidTr="00F4613A">
              <w:tc>
                <w:tcPr>
                  <w:tcW w:w="4749" w:type="dxa"/>
                </w:tcPr>
                <w:p w14:paraId="2C973EA8" w14:textId="7F94D5FE" w:rsidR="008756B2" w:rsidRDefault="008756B2" w:rsidP="008756B2">
                  <w:pPr>
                    <w:spacing w:before="120" w:after="120"/>
                    <w:rPr>
                      <w:sz w:val="18"/>
                      <w:szCs w:val="18"/>
                    </w:rPr>
                  </w:pPr>
                  <w:proofErr w:type="spellStart"/>
                  <w:r>
                    <w:rPr>
                      <w:sz w:val="18"/>
                      <w:szCs w:val="18"/>
                    </w:rPr>
                    <w:t>Schellong</w:t>
                  </w:r>
                  <w:proofErr w:type="spellEnd"/>
                  <w:r>
                    <w:rPr>
                      <w:sz w:val="18"/>
                      <w:szCs w:val="18"/>
                    </w:rPr>
                    <w:t xml:space="preserve"> (1999)</w:t>
                  </w:r>
                </w:p>
              </w:tc>
              <w:tc>
                <w:tcPr>
                  <w:tcW w:w="4701" w:type="dxa"/>
                </w:tcPr>
                <w:p w14:paraId="414B714C" w14:textId="5BFAFC8E" w:rsidR="008756B2" w:rsidRDefault="008756B2" w:rsidP="008756B2">
                  <w:pPr>
                    <w:spacing w:before="120" w:after="120"/>
                    <w:rPr>
                      <w:sz w:val="18"/>
                      <w:szCs w:val="18"/>
                    </w:rPr>
                  </w:pPr>
                  <w:r>
                    <w:rPr>
                      <w:sz w:val="18"/>
                      <w:szCs w:val="18"/>
                    </w:rPr>
                    <w:t>0.05 (-0.09, 0.19)</w:t>
                  </w:r>
                </w:p>
              </w:tc>
            </w:tr>
            <w:tr w:rsidR="008756B2" w14:paraId="40DA71F7" w14:textId="77777777" w:rsidTr="00F4613A">
              <w:tc>
                <w:tcPr>
                  <w:tcW w:w="4749" w:type="dxa"/>
                </w:tcPr>
                <w:p w14:paraId="514F9333" w14:textId="0BE26F88" w:rsidR="008756B2" w:rsidRDefault="008756B2" w:rsidP="008756B2">
                  <w:pPr>
                    <w:spacing w:before="120" w:after="120"/>
                    <w:rPr>
                      <w:sz w:val="18"/>
                      <w:szCs w:val="18"/>
                    </w:rPr>
                  </w:pPr>
                  <w:proofErr w:type="spellStart"/>
                  <w:proofErr w:type="gramStart"/>
                  <w:r>
                    <w:rPr>
                      <w:sz w:val="18"/>
                      <w:szCs w:val="18"/>
                    </w:rPr>
                    <w:t>Ashwanden</w:t>
                  </w:r>
                  <w:proofErr w:type="spellEnd"/>
                  <w:r>
                    <w:rPr>
                      <w:sz w:val="18"/>
                      <w:szCs w:val="18"/>
                    </w:rPr>
                    <w:t>(</w:t>
                  </w:r>
                  <w:proofErr w:type="gramEnd"/>
                  <w:r>
                    <w:rPr>
                      <w:sz w:val="18"/>
                      <w:szCs w:val="18"/>
                    </w:rPr>
                    <w:t>2001)</w:t>
                  </w:r>
                </w:p>
              </w:tc>
              <w:tc>
                <w:tcPr>
                  <w:tcW w:w="4701" w:type="dxa"/>
                </w:tcPr>
                <w:p w14:paraId="74CEE956" w14:textId="16B4C201" w:rsidR="008756B2" w:rsidRDefault="008756B2" w:rsidP="008756B2">
                  <w:pPr>
                    <w:spacing w:before="120" w:after="120"/>
                    <w:rPr>
                      <w:sz w:val="18"/>
                      <w:szCs w:val="18"/>
                    </w:rPr>
                  </w:pPr>
                  <w:r>
                    <w:rPr>
                      <w:sz w:val="18"/>
                      <w:szCs w:val="18"/>
                    </w:rPr>
                    <w:t>0.04 (-0.07, 0.16)</w:t>
                  </w:r>
                </w:p>
              </w:tc>
            </w:tr>
            <w:tr w:rsidR="008756B2" w14:paraId="33D962E3" w14:textId="77777777" w:rsidTr="00F4613A">
              <w:tc>
                <w:tcPr>
                  <w:tcW w:w="4749" w:type="dxa"/>
                </w:tcPr>
                <w:p w14:paraId="1752F5F6" w14:textId="08DD6A6F" w:rsidR="008756B2" w:rsidRDefault="008756B2" w:rsidP="008756B2">
                  <w:pPr>
                    <w:spacing w:before="120" w:after="120"/>
                    <w:rPr>
                      <w:sz w:val="18"/>
                      <w:szCs w:val="18"/>
                    </w:rPr>
                  </w:pPr>
                  <w:proofErr w:type="spellStart"/>
                  <w:proofErr w:type="gramStart"/>
                  <w:r>
                    <w:rPr>
                      <w:sz w:val="18"/>
                      <w:szCs w:val="18"/>
                    </w:rPr>
                    <w:t>Blattler</w:t>
                  </w:r>
                  <w:proofErr w:type="spellEnd"/>
                  <w:r>
                    <w:rPr>
                      <w:sz w:val="18"/>
                      <w:szCs w:val="18"/>
                    </w:rPr>
                    <w:t>(</w:t>
                  </w:r>
                  <w:proofErr w:type="gramEnd"/>
                  <w:r>
                    <w:rPr>
                      <w:sz w:val="18"/>
                      <w:szCs w:val="18"/>
                    </w:rPr>
                    <w:t>2003)</w:t>
                  </w:r>
                </w:p>
              </w:tc>
              <w:tc>
                <w:tcPr>
                  <w:tcW w:w="4701" w:type="dxa"/>
                </w:tcPr>
                <w:p w14:paraId="64B2A10D" w14:textId="374DEBC2" w:rsidR="008756B2" w:rsidRDefault="008756B2" w:rsidP="008756B2">
                  <w:pPr>
                    <w:spacing w:before="120" w:after="120"/>
                    <w:rPr>
                      <w:sz w:val="18"/>
                      <w:szCs w:val="18"/>
                    </w:rPr>
                  </w:pPr>
                  <w:r>
                    <w:rPr>
                      <w:sz w:val="18"/>
                      <w:szCs w:val="18"/>
                    </w:rPr>
                    <w:t>-0.18 (-0.52, 0.16)</w:t>
                  </w:r>
                </w:p>
              </w:tc>
            </w:tr>
            <w:tr w:rsidR="008756B2" w14:paraId="57560FF2" w14:textId="77777777" w:rsidTr="00F4613A">
              <w:tc>
                <w:tcPr>
                  <w:tcW w:w="4749" w:type="dxa"/>
                </w:tcPr>
                <w:p w14:paraId="35B37F46" w14:textId="3148D661" w:rsidR="008756B2" w:rsidRDefault="008756B2" w:rsidP="008756B2">
                  <w:pPr>
                    <w:spacing w:before="120" w:after="120"/>
                    <w:rPr>
                      <w:sz w:val="18"/>
                      <w:szCs w:val="18"/>
                    </w:rPr>
                  </w:pPr>
                  <w:r>
                    <w:rPr>
                      <w:sz w:val="18"/>
                      <w:szCs w:val="18"/>
                    </w:rPr>
                    <w:t>Trujillo-Santos (2005)</w:t>
                  </w:r>
                </w:p>
              </w:tc>
              <w:tc>
                <w:tcPr>
                  <w:tcW w:w="4701" w:type="dxa"/>
                </w:tcPr>
                <w:p w14:paraId="42266DFB" w14:textId="533FE952" w:rsidR="008756B2" w:rsidRDefault="008756B2" w:rsidP="008756B2">
                  <w:pPr>
                    <w:spacing w:before="120" w:after="120"/>
                    <w:rPr>
                      <w:sz w:val="18"/>
                      <w:szCs w:val="18"/>
                    </w:rPr>
                  </w:pPr>
                  <w:r>
                    <w:rPr>
                      <w:sz w:val="18"/>
                      <w:szCs w:val="18"/>
                    </w:rPr>
                    <w:t>-0.00 (-0.01, 0.00)</w:t>
                  </w:r>
                </w:p>
              </w:tc>
            </w:tr>
            <w:tr w:rsidR="008756B2" w14:paraId="4105EB84" w14:textId="77777777" w:rsidTr="00F4613A">
              <w:tc>
                <w:tcPr>
                  <w:tcW w:w="4749" w:type="dxa"/>
                </w:tcPr>
                <w:p w14:paraId="1BAEA7FC" w14:textId="5255079A" w:rsidR="008756B2" w:rsidRDefault="008756B2" w:rsidP="008756B2">
                  <w:pPr>
                    <w:spacing w:before="120" w:after="120"/>
                    <w:rPr>
                      <w:sz w:val="18"/>
                      <w:szCs w:val="18"/>
                    </w:rPr>
                  </w:pPr>
                  <w:r>
                    <w:rPr>
                      <w:sz w:val="18"/>
                      <w:szCs w:val="18"/>
                    </w:rPr>
                    <w:lastRenderedPageBreak/>
                    <w:t>Junger (2006)</w:t>
                  </w:r>
                </w:p>
              </w:tc>
              <w:tc>
                <w:tcPr>
                  <w:tcW w:w="4701" w:type="dxa"/>
                </w:tcPr>
                <w:p w14:paraId="166F25B2" w14:textId="58484479" w:rsidR="008756B2" w:rsidRDefault="008756B2" w:rsidP="008756B2">
                  <w:pPr>
                    <w:spacing w:before="120" w:after="120"/>
                    <w:rPr>
                      <w:sz w:val="18"/>
                      <w:szCs w:val="18"/>
                    </w:rPr>
                  </w:pPr>
                  <w:r>
                    <w:rPr>
                      <w:sz w:val="18"/>
                      <w:szCs w:val="18"/>
                    </w:rPr>
                    <w:t>-0.15 (-0.30, 0.01)</w:t>
                  </w:r>
                </w:p>
              </w:tc>
            </w:tr>
            <w:tr w:rsidR="008756B2" w14:paraId="4048B8AD" w14:textId="77777777" w:rsidTr="00F4613A">
              <w:tc>
                <w:tcPr>
                  <w:tcW w:w="4749" w:type="dxa"/>
                </w:tcPr>
                <w:p w14:paraId="1B28F63B" w14:textId="231179E9" w:rsidR="008756B2" w:rsidRDefault="008756B2" w:rsidP="008756B2">
                  <w:pPr>
                    <w:spacing w:before="120" w:after="120"/>
                    <w:rPr>
                      <w:sz w:val="18"/>
                      <w:szCs w:val="18"/>
                    </w:rPr>
                  </w:pPr>
                  <w:proofErr w:type="spellStart"/>
                  <w:r>
                    <w:rPr>
                      <w:sz w:val="18"/>
                      <w:szCs w:val="18"/>
                    </w:rPr>
                    <w:t>Romera</w:t>
                  </w:r>
                  <w:proofErr w:type="spellEnd"/>
                  <w:r>
                    <w:rPr>
                      <w:sz w:val="18"/>
                      <w:szCs w:val="18"/>
                    </w:rPr>
                    <w:t xml:space="preserve"> (2006)</w:t>
                  </w:r>
                </w:p>
              </w:tc>
              <w:tc>
                <w:tcPr>
                  <w:tcW w:w="4701" w:type="dxa"/>
                </w:tcPr>
                <w:p w14:paraId="0D7AEFA8" w14:textId="7A4A1B67" w:rsidR="008756B2" w:rsidRDefault="008756B2" w:rsidP="008756B2">
                  <w:pPr>
                    <w:spacing w:before="120" w:after="120"/>
                    <w:rPr>
                      <w:sz w:val="18"/>
                      <w:szCs w:val="18"/>
                    </w:rPr>
                  </w:pPr>
                  <w:r>
                    <w:rPr>
                      <w:sz w:val="18"/>
                      <w:szCs w:val="18"/>
                    </w:rPr>
                    <w:t>-0.00 (-0.06, 0.05)</w:t>
                  </w:r>
                </w:p>
              </w:tc>
            </w:tr>
            <w:tr w:rsidR="008756B2" w14:paraId="538DEB21" w14:textId="77777777" w:rsidTr="00F4613A">
              <w:tc>
                <w:tcPr>
                  <w:tcW w:w="4749" w:type="dxa"/>
                </w:tcPr>
                <w:p w14:paraId="40E1AAFA" w14:textId="707EA6C0" w:rsidR="008756B2" w:rsidRDefault="008756B2" w:rsidP="008756B2">
                  <w:pPr>
                    <w:spacing w:before="120" w:after="120"/>
                    <w:rPr>
                      <w:sz w:val="18"/>
                      <w:szCs w:val="18"/>
                    </w:rPr>
                  </w:pPr>
                  <w:proofErr w:type="spellStart"/>
                  <w:r>
                    <w:rPr>
                      <w:sz w:val="18"/>
                      <w:szCs w:val="18"/>
                    </w:rPr>
                    <w:t>Isma</w:t>
                  </w:r>
                  <w:proofErr w:type="spellEnd"/>
                  <w:r>
                    <w:rPr>
                      <w:sz w:val="18"/>
                      <w:szCs w:val="18"/>
                    </w:rPr>
                    <w:t xml:space="preserve"> (2007)</w:t>
                  </w:r>
                </w:p>
              </w:tc>
              <w:tc>
                <w:tcPr>
                  <w:tcW w:w="4701" w:type="dxa"/>
                </w:tcPr>
                <w:p w14:paraId="2C690267" w14:textId="1F10C854" w:rsidR="008756B2" w:rsidRDefault="008756B2" w:rsidP="008756B2">
                  <w:pPr>
                    <w:spacing w:before="120" w:after="120"/>
                    <w:rPr>
                      <w:sz w:val="18"/>
                      <w:szCs w:val="18"/>
                    </w:rPr>
                  </w:pPr>
                  <w:r>
                    <w:rPr>
                      <w:sz w:val="18"/>
                      <w:szCs w:val="18"/>
                    </w:rPr>
                    <w:t>0.00 (-0.06, 0.06)</w:t>
                  </w:r>
                </w:p>
              </w:tc>
            </w:tr>
            <w:tr w:rsidR="008756B2" w14:paraId="0BE7FA9A" w14:textId="77777777" w:rsidTr="00F4613A">
              <w:tc>
                <w:tcPr>
                  <w:tcW w:w="4749" w:type="dxa"/>
                </w:tcPr>
                <w:p w14:paraId="0682364C" w14:textId="45CFFC0D" w:rsidR="008756B2" w:rsidRDefault="008756B2" w:rsidP="008756B2">
                  <w:pPr>
                    <w:spacing w:before="120" w:after="120"/>
                    <w:rPr>
                      <w:sz w:val="18"/>
                      <w:szCs w:val="18"/>
                    </w:rPr>
                  </w:pPr>
                  <w:proofErr w:type="spellStart"/>
                  <w:r>
                    <w:rPr>
                      <w:sz w:val="18"/>
                      <w:szCs w:val="18"/>
                    </w:rPr>
                    <w:t>Romera</w:t>
                  </w:r>
                  <w:proofErr w:type="spellEnd"/>
                  <w:r>
                    <w:rPr>
                      <w:sz w:val="18"/>
                      <w:szCs w:val="18"/>
                    </w:rPr>
                    <w:t xml:space="preserve"> (2008)</w:t>
                  </w:r>
                </w:p>
              </w:tc>
              <w:tc>
                <w:tcPr>
                  <w:tcW w:w="4701" w:type="dxa"/>
                </w:tcPr>
                <w:p w14:paraId="4C69A4E6" w14:textId="415D88C9" w:rsidR="008756B2" w:rsidRDefault="00A50AD3" w:rsidP="008756B2">
                  <w:pPr>
                    <w:spacing w:before="120" w:after="120"/>
                    <w:rPr>
                      <w:sz w:val="18"/>
                      <w:szCs w:val="18"/>
                    </w:rPr>
                  </w:pPr>
                  <w:r>
                    <w:rPr>
                      <w:sz w:val="18"/>
                      <w:szCs w:val="18"/>
                    </w:rPr>
                    <w:t>0.01 (-0.03, 0.05)</w:t>
                  </w:r>
                </w:p>
              </w:tc>
            </w:tr>
            <w:tr w:rsidR="008756B2" w14:paraId="308747F5" w14:textId="77777777" w:rsidTr="00F4613A">
              <w:tc>
                <w:tcPr>
                  <w:tcW w:w="4749" w:type="dxa"/>
                </w:tcPr>
                <w:p w14:paraId="5D85A0C3" w14:textId="57055291" w:rsidR="008756B2" w:rsidRDefault="008756B2" w:rsidP="008756B2">
                  <w:pPr>
                    <w:spacing w:before="120" w:after="120"/>
                    <w:rPr>
                      <w:sz w:val="18"/>
                      <w:szCs w:val="18"/>
                    </w:rPr>
                  </w:pPr>
                  <w:proofErr w:type="spellStart"/>
                  <w:r>
                    <w:rPr>
                      <w:sz w:val="18"/>
                      <w:szCs w:val="18"/>
                    </w:rPr>
                    <w:t>Manganaro</w:t>
                  </w:r>
                  <w:proofErr w:type="spellEnd"/>
                  <w:r>
                    <w:rPr>
                      <w:sz w:val="18"/>
                      <w:szCs w:val="18"/>
                    </w:rPr>
                    <w:t xml:space="preserve"> (2008)</w:t>
                  </w:r>
                </w:p>
              </w:tc>
              <w:tc>
                <w:tcPr>
                  <w:tcW w:w="4701" w:type="dxa"/>
                </w:tcPr>
                <w:p w14:paraId="6A75493B" w14:textId="4CB4CEBA" w:rsidR="008756B2" w:rsidRDefault="00A50AD3" w:rsidP="008756B2">
                  <w:pPr>
                    <w:spacing w:before="120" w:after="120"/>
                    <w:rPr>
                      <w:sz w:val="18"/>
                      <w:szCs w:val="18"/>
                    </w:rPr>
                  </w:pPr>
                  <w:r>
                    <w:rPr>
                      <w:sz w:val="18"/>
                      <w:szCs w:val="18"/>
                    </w:rPr>
                    <w:t>-0.43 (-0.55, -0.31)</w:t>
                  </w:r>
                </w:p>
              </w:tc>
            </w:tr>
            <w:tr w:rsidR="008756B2" w14:paraId="7943EAD1" w14:textId="77777777" w:rsidTr="00F4613A">
              <w:tc>
                <w:tcPr>
                  <w:tcW w:w="4749" w:type="dxa"/>
                </w:tcPr>
                <w:p w14:paraId="50E04E94" w14:textId="023D6856" w:rsidR="008756B2" w:rsidRDefault="008756B2" w:rsidP="008756B2">
                  <w:pPr>
                    <w:spacing w:before="120" w:after="120"/>
                    <w:rPr>
                      <w:sz w:val="18"/>
                      <w:szCs w:val="18"/>
                    </w:rPr>
                  </w:pPr>
                  <w:r>
                    <w:rPr>
                      <w:sz w:val="18"/>
                      <w:szCs w:val="18"/>
                    </w:rPr>
                    <w:t>Rahman (2009)</w:t>
                  </w:r>
                </w:p>
              </w:tc>
              <w:tc>
                <w:tcPr>
                  <w:tcW w:w="4701" w:type="dxa"/>
                </w:tcPr>
                <w:p w14:paraId="48337608" w14:textId="68D88A56" w:rsidR="008756B2" w:rsidRDefault="00A50AD3" w:rsidP="008756B2">
                  <w:pPr>
                    <w:spacing w:before="120" w:after="120"/>
                    <w:rPr>
                      <w:sz w:val="18"/>
                      <w:szCs w:val="18"/>
                    </w:rPr>
                  </w:pPr>
                  <w:r>
                    <w:rPr>
                      <w:sz w:val="18"/>
                      <w:szCs w:val="18"/>
                    </w:rPr>
                    <w:t>0.00 (-0.15, 0.015)</w:t>
                  </w:r>
                </w:p>
              </w:tc>
            </w:tr>
            <w:tr w:rsidR="008756B2" w14:paraId="36A23968" w14:textId="77777777" w:rsidTr="00F4613A">
              <w:tc>
                <w:tcPr>
                  <w:tcW w:w="4749" w:type="dxa"/>
                </w:tcPr>
                <w:p w14:paraId="3D9452EE" w14:textId="08D84EB0" w:rsidR="008756B2" w:rsidRDefault="008756B2" w:rsidP="008756B2">
                  <w:pPr>
                    <w:spacing w:before="120" w:after="120"/>
                    <w:rPr>
                      <w:sz w:val="18"/>
                      <w:szCs w:val="18"/>
                    </w:rPr>
                  </w:pPr>
                  <w:r>
                    <w:rPr>
                      <w:sz w:val="18"/>
                      <w:szCs w:val="18"/>
                    </w:rPr>
                    <w:t>Huang (2010)</w:t>
                  </w:r>
                </w:p>
              </w:tc>
              <w:tc>
                <w:tcPr>
                  <w:tcW w:w="4701" w:type="dxa"/>
                </w:tcPr>
                <w:p w14:paraId="7E3E49CD" w14:textId="6FFC84CC" w:rsidR="008756B2" w:rsidRDefault="00A50AD3" w:rsidP="008756B2">
                  <w:pPr>
                    <w:spacing w:before="120" w:after="120"/>
                    <w:rPr>
                      <w:sz w:val="18"/>
                      <w:szCs w:val="18"/>
                    </w:rPr>
                  </w:pPr>
                  <w:r>
                    <w:rPr>
                      <w:sz w:val="18"/>
                      <w:szCs w:val="18"/>
                    </w:rPr>
                    <w:t>0.00 (-0.09, 0.09)</w:t>
                  </w:r>
                </w:p>
              </w:tc>
            </w:tr>
            <w:tr w:rsidR="008756B2" w14:paraId="39AD9034" w14:textId="77777777" w:rsidTr="00F4613A">
              <w:tc>
                <w:tcPr>
                  <w:tcW w:w="4749" w:type="dxa"/>
                </w:tcPr>
                <w:p w14:paraId="08810F0B" w14:textId="6D4F6631" w:rsidR="008756B2" w:rsidRDefault="008756B2" w:rsidP="008756B2">
                  <w:pPr>
                    <w:spacing w:before="120" w:after="120"/>
                    <w:rPr>
                      <w:sz w:val="18"/>
                      <w:szCs w:val="18"/>
                    </w:rPr>
                  </w:pPr>
                  <w:r>
                    <w:rPr>
                      <w:sz w:val="18"/>
                      <w:szCs w:val="18"/>
                    </w:rPr>
                    <w:t>Feng (2011)</w:t>
                  </w:r>
                </w:p>
              </w:tc>
              <w:tc>
                <w:tcPr>
                  <w:tcW w:w="4701" w:type="dxa"/>
                </w:tcPr>
                <w:p w14:paraId="5A2ADEAE" w14:textId="499BFBD6" w:rsidR="008756B2" w:rsidRDefault="00A50AD3" w:rsidP="008756B2">
                  <w:pPr>
                    <w:spacing w:before="120" w:after="120"/>
                    <w:rPr>
                      <w:sz w:val="18"/>
                      <w:szCs w:val="18"/>
                    </w:rPr>
                  </w:pPr>
                  <w:r>
                    <w:rPr>
                      <w:sz w:val="18"/>
                      <w:szCs w:val="18"/>
                    </w:rPr>
                    <w:t>0.01 (-0.16, 0.18)</w:t>
                  </w:r>
                </w:p>
              </w:tc>
            </w:tr>
            <w:tr w:rsidR="008756B2" w14:paraId="63D65B26" w14:textId="77777777" w:rsidTr="00F4613A">
              <w:tc>
                <w:tcPr>
                  <w:tcW w:w="4749" w:type="dxa"/>
                </w:tcPr>
                <w:p w14:paraId="5281F04F" w14:textId="1A1055BD" w:rsidR="008756B2" w:rsidRDefault="008756B2" w:rsidP="008756B2">
                  <w:pPr>
                    <w:spacing w:before="120" w:after="120"/>
                    <w:rPr>
                      <w:sz w:val="18"/>
                      <w:szCs w:val="18"/>
                    </w:rPr>
                  </w:pPr>
                  <w:r>
                    <w:rPr>
                      <w:sz w:val="18"/>
                      <w:szCs w:val="18"/>
                    </w:rPr>
                    <w:t>Liu (2013)</w:t>
                  </w:r>
                </w:p>
              </w:tc>
              <w:tc>
                <w:tcPr>
                  <w:tcW w:w="4701" w:type="dxa"/>
                </w:tcPr>
                <w:p w14:paraId="5DECE33C" w14:textId="0ABFDFB3" w:rsidR="008756B2" w:rsidRDefault="00A50AD3" w:rsidP="008756B2">
                  <w:pPr>
                    <w:spacing w:before="120" w:after="120"/>
                    <w:rPr>
                      <w:sz w:val="18"/>
                      <w:szCs w:val="18"/>
                    </w:rPr>
                  </w:pPr>
                  <w:r>
                    <w:rPr>
                      <w:sz w:val="18"/>
                      <w:szCs w:val="18"/>
                    </w:rPr>
                    <w:t>0.00 (-0.06, 0.06)</w:t>
                  </w:r>
                </w:p>
              </w:tc>
            </w:tr>
            <w:tr w:rsidR="008756B2" w14:paraId="51ED6EA5" w14:textId="77777777" w:rsidTr="00F4613A">
              <w:tc>
                <w:tcPr>
                  <w:tcW w:w="4749" w:type="dxa"/>
                </w:tcPr>
                <w:p w14:paraId="31739F4A" w14:textId="5EB7E103" w:rsidR="008756B2" w:rsidRPr="008756B2" w:rsidRDefault="008756B2" w:rsidP="008756B2">
                  <w:pPr>
                    <w:spacing w:before="120" w:after="120"/>
                    <w:rPr>
                      <w:b/>
                      <w:bCs/>
                      <w:sz w:val="18"/>
                      <w:szCs w:val="18"/>
                    </w:rPr>
                  </w:pPr>
                  <w:r w:rsidRPr="008756B2">
                    <w:rPr>
                      <w:b/>
                      <w:bCs/>
                      <w:sz w:val="18"/>
                      <w:szCs w:val="18"/>
                    </w:rPr>
                    <w:t>Total</w:t>
                  </w:r>
                </w:p>
              </w:tc>
              <w:tc>
                <w:tcPr>
                  <w:tcW w:w="4701" w:type="dxa"/>
                </w:tcPr>
                <w:p w14:paraId="3BB2B598" w14:textId="753A92F2" w:rsidR="008756B2" w:rsidRDefault="00A50AD3" w:rsidP="008756B2">
                  <w:pPr>
                    <w:spacing w:before="120" w:after="120"/>
                    <w:rPr>
                      <w:sz w:val="18"/>
                      <w:szCs w:val="18"/>
                    </w:rPr>
                  </w:pPr>
                  <w:r>
                    <w:rPr>
                      <w:sz w:val="18"/>
                      <w:szCs w:val="18"/>
                    </w:rPr>
                    <w:t>-0.03 (-0.05, -0.02)</w:t>
                  </w:r>
                </w:p>
              </w:tc>
            </w:tr>
          </w:tbl>
          <w:p w14:paraId="15E8FBB2" w14:textId="77777777" w:rsidR="008756B2" w:rsidRDefault="008756B2" w:rsidP="009E380F">
            <w:pPr>
              <w:spacing w:before="120" w:after="120"/>
              <w:rPr>
                <w:sz w:val="18"/>
                <w:szCs w:val="18"/>
              </w:rPr>
            </w:pPr>
          </w:p>
          <w:p w14:paraId="2A9ECE5A" w14:textId="27580A2D" w:rsidR="001D4F60" w:rsidRPr="002F16E1" w:rsidRDefault="00FA5CEE" w:rsidP="009E380F">
            <w:pPr>
              <w:spacing w:before="120" w:after="120"/>
              <w:rPr>
                <w:sz w:val="18"/>
                <w:szCs w:val="18"/>
              </w:rPr>
            </w:pPr>
            <w:r>
              <w:rPr>
                <w:sz w:val="18"/>
                <w:szCs w:val="18"/>
              </w:rPr>
              <w:t xml:space="preserve">The main findings of this study are summarized above </w:t>
            </w:r>
            <w:r w:rsidR="003F6DB0">
              <w:rPr>
                <w:sz w:val="18"/>
                <w:szCs w:val="18"/>
              </w:rPr>
              <w:t xml:space="preserve">Table 1. and include </w:t>
            </w:r>
            <w:r>
              <w:rPr>
                <w:sz w:val="18"/>
                <w:szCs w:val="18"/>
              </w:rPr>
              <w:t>the article, its design, a brief description of intervention, the primary endpoint assessed and statistical significance in the form of a p-value when given</w:t>
            </w:r>
            <w:proofErr w:type="gramStart"/>
            <w:r>
              <w:rPr>
                <w:sz w:val="18"/>
                <w:szCs w:val="18"/>
              </w:rPr>
              <w:t xml:space="preserve">.  </w:t>
            </w:r>
            <w:proofErr w:type="gramEnd"/>
            <w:r w:rsidR="00697C16">
              <w:rPr>
                <w:sz w:val="18"/>
                <w:szCs w:val="18"/>
              </w:rPr>
              <w:t>All patients were treated with anti-coagulants unless contraindicated</w:t>
            </w:r>
            <w:proofErr w:type="gramStart"/>
            <w:r w:rsidR="00697C16">
              <w:rPr>
                <w:sz w:val="18"/>
                <w:szCs w:val="18"/>
              </w:rPr>
              <w:t xml:space="preserve">.  </w:t>
            </w:r>
            <w:proofErr w:type="gramEnd"/>
            <w:r>
              <w:rPr>
                <w:sz w:val="18"/>
                <w:szCs w:val="18"/>
              </w:rPr>
              <w:t>One limitation is the omission of confidence intervals for these values as they were not included by the authors</w:t>
            </w:r>
            <w:proofErr w:type="gramStart"/>
            <w:r>
              <w:rPr>
                <w:sz w:val="18"/>
                <w:szCs w:val="18"/>
              </w:rPr>
              <w:t xml:space="preserve">.  </w:t>
            </w:r>
            <w:proofErr w:type="gramEnd"/>
            <w:r>
              <w:rPr>
                <w:sz w:val="18"/>
                <w:szCs w:val="18"/>
              </w:rPr>
              <w:t xml:space="preserve">It is clear there is some heterogeneity with regards to the </w:t>
            </w:r>
            <w:r w:rsidR="00427524">
              <w:rPr>
                <w:sz w:val="18"/>
                <w:szCs w:val="18"/>
              </w:rPr>
              <w:t>duration of bed rest and initiation of ambulation</w:t>
            </w:r>
            <w:r w:rsidR="00E021E8">
              <w:rPr>
                <w:sz w:val="18"/>
                <w:szCs w:val="18"/>
              </w:rPr>
              <w:t>,</w:t>
            </w:r>
            <w:r w:rsidR="00427524">
              <w:rPr>
                <w:sz w:val="18"/>
                <w:szCs w:val="18"/>
              </w:rPr>
              <w:t xml:space="preserve"> but this heterogeneity was </w:t>
            </w:r>
            <w:r w:rsidR="00485876">
              <w:rPr>
                <w:sz w:val="18"/>
                <w:szCs w:val="18"/>
              </w:rPr>
              <w:t>investigated using a random effect model and was fo</w:t>
            </w:r>
            <w:r w:rsidR="00427524">
              <w:rPr>
                <w:sz w:val="18"/>
                <w:szCs w:val="18"/>
              </w:rPr>
              <w:t xml:space="preserve">und not to </w:t>
            </w:r>
            <w:r w:rsidR="00E021E8">
              <w:rPr>
                <w:sz w:val="18"/>
                <w:szCs w:val="18"/>
              </w:rPr>
              <w:t>affect</w:t>
            </w:r>
            <w:r w:rsidR="00427524">
              <w:rPr>
                <w:sz w:val="18"/>
                <w:szCs w:val="18"/>
              </w:rPr>
              <w:t xml:space="preserve"> the overall findings. Every article included in this review found either no statistical significance when comparing primary endpoint events between groups, or differences that statistically </w:t>
            </w:r>
            <w:proofErr w:type="spellStart"/>
            <w:r w:rsidR="00427524">
              <w:rPr>
                <w:sz w:val="18"/>
                <w:szCs w:val="18"/>
              </w:rPr>
              <w:t>favored</w:t>
            </w:r>
            <w:proofErr w:type="spellEnd"/>
            <w:r w:rsidR="00427524">
              <w:rPr>
                <w:sz w:val="18"/>
                <w:szCs w:val="18"/>
              </w:rPr>
              <w:t xml:space="preserve"> the ambulation group rather than the bed rest control group. </w:t>
            </w:r>
            <w:r w:rsidR="003F6DB0">
              <w:rPr>
                <w:sz w:val="18"/>
                <w:szCs w:val="18"/>
              </w:rPr>
              <w:t>The meta-analysis results of primary endpoints are presented in Table 2</w:t>
            </w:r>
            <w:proofErr w:type="gramStart"/>
            <w:r w:rsidR="003F6DB0">
              <w:rPr>
                <w:sz w:val="18"/>
                <w:szCs w:val="18"/>
              </w:rPr>
              <w:t xml:space="preserve">.  </w:t>
            </w:r>
            <w:proofErr w:type="gramEnd"/>
            <w:r w:rsidR="003F6DB0">
              <w:rPr>
                <w:sz w:val="18"/>
                <w:szCs w:val="18"/>
              </w:rPr>
              <w:t xml:space="preserve">This data is best visualized by referring to the </w:t>
            </w:r>
            <w:r w:rsidR="00DE59DD">
              <w:rPr>
                <w:sz w:val="18"/>
                <w:szCs w:val="18"/>
              </w:rPr>
              <w:t>forest</w:t>
            </w:r>
            <w:r w:rsidR="003F6DB0">
              <w:rPr>
                <w:sz w:val="18"/>
                <w:szCs w:val="18"/>
              </w:rPr>
              <w:t xml:space="preserve"> plot in the Liu et al. article</w:t>
            </w:r>
            <w:proofErr w:type="gramStart"/>
            <w:r w:rsidR="003F6DB0">
              <w:rPr>
                <w:sz w:val="18"/>
                <w:szCs w:val="18"/>
              </w:rPr>
              <w:t xml:space="preserve">.  </w:t>
            </w:r>
            <w:proofErr w:type="gramEnd"/>
            <w:r w:rsidR="00A50AD3">
              <w:rPr>
                <w:sz w:val="18"/>
                <w:szCs w:val="18"/>
              </w:rPr>
              <w:t xml:space="preserve">When comparing the difference between proportions of participants in the bed rest vs. ambulation groups that had primary endpoints, the meta-analysis determined </w:t>
            </w:r>
            <w:r w:rsidR="00485876">
              <w:rPr>
                <w:sz w:val="18"/>
                <w:szCs w:val="18"/>
              </w:rPr>
              <w:t>a risk difference of -0.03(95% CI -0.05 to -0.02) with a p-value of 0.22.</w:t>
            </w:r>
          </w:p>
          <w:p w14:paraId="295F28F1" w14:textId="77777777" w:rsidR="001D4F60" w:rsidRPr="002F16E1" w:rsidRDefault="001D4F60" w:rsidP="009E380F">
            <w:pPr>
              <w:spacing w:before="120" w:after="120"/>
              <w:rPr>
                <w:sz w:val="18"/>
                <w:szCs w:val="18"/>
              </w:rPr>
            </w:pPr>
          </w:p>
          <w:p w14:paraId="42B25BA6" w14:textId="77777777" w:rsidR="001D4F60" w:rsidRPr="002F16E1" w:rsidRDefault="001D4F60" w:rsidP="009E380F">
            <w:pPr>
              <w:spacing w:before="120" w:after="120"/>
              <w:jc w:val="right"/>
              <w:rPr>
                <w:sz w:val="18"/>
                <w:szCs w:val="18"/>
              </w:rPr>
            </w:pPr>
          </w:p>
        </w:tc>
      </w:tr>
      <w:tr w:rsidR="001D4F60" w:rsidRPr="002F16E1" w14:paraId="0A1E4055" w14:textId="77777777" w:rsidTr="001D4F60">
        <w:tc>
          <w:tcPr>
            <w:tcW w:w="10421" w:type="dxa"/>
            <w:shd w:val="clear" w:color="auto" w:fill="E6E6E6"/>
          </w:tcPr>
          <w:p w14:paraId="0270188C"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216A67D6" w14:textId="5767D2CC"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E1AE997" w14:textId="77777777" w:rsidTr="001D4F60">
        <w:tc>
          <w:tcPr>
            <w:tcW w:w="10421" w:type="dxa"/>
            <w:tcBorders>
              <w:bottom w:val="single" w:sz="4" w:space="0" w:color="auto"/>
            </w:tcBorders>
            <w:shd w:val="clear" w:color="auto" w:fill="auto"/>
          </w:tcPr>
          <w:p w14:paraId="70F942FF" w14:textId="77EDA3CF" w:rsidR="001D4F60" w:rsidRPr="002F16E1" w:rsidRDefault="00485876" w:rsidP="009E380F">
            <w:pPr>
              <w:spacing w:before="120" w:after="120"/>
              <w:rPr>
                <w:sz w:val="18"/>
                <w:szCs w:val="18"/>
              </w:rPr>
            </w:pPr>
            <w:r>
              <w:rPr>
                <w:sz w:val="18"/>
                <w:szCs w:val="18"/>
              </w:rPr>
              <w:t>Meta-analysis of primary endpoints indicates patients who were treated with early ambulation vs. bed rest were no more likely to develop a new PE, experience progression of the current DVT or die from the condition</w:t>
            </w:r>
            <w:proofErr w:type="gramStart"/>
            <w:r>
              <w:rPr>
                <w:sz w:val="18"/>
                <w:szCs w:val="18"/>
              </w:rPr>
              <w:t xml:space="preserve">.  </w:t>
            </w:r>
            <w:proofErr w:type="gramEnd"/>
            <w:r w:rsidR="00697C16">
              <w:rPr>
                <w:sz w:val="18"/>
                <w:szCs w:val="18"/>
              </w:rPr>
              <w:t>The authors highlight the importance of standard anti-coagulation therapy that precedes mobility interventions but assert that early ambulation is appropriate after pharmaceutical management is achieved.</w:t>
            </w:r>
            <w:r w:rsidR="00575693">
              <w:rPr>
                <w:sz w:val="18"/>
                <w:szCs w:val="18"/>
              </w:rPr>
              <w:t xml:space="preserve"> </w:t>
            </w:r>
          </w:p>
          <w:p w14:paraId="258C3005" w14:textId="77777777" w:rsidR="001D4F60" w:rsidRPr="002F16E1" w:rsidRDefault="001D4F60" w:rsidP="009E380F">
            <w:pPr>
              <w:spacing w:before="120" w:after="120"/>
              <w:jc w:val="right"/>
              <w:rPr>
                <w:sz w:val="18"/>
                <w:szCs w:val="18"/>
              </w:rPr>
            </w:pPr>
          </w:p>
        </w:tc>
      </w:tr>
      <w:tr w:rsidR="001D4F60" w:rsidRPr="002F16E1" w14:paraId="7DCF2093" w14:textId="77777777" w:rsidTr="001D4F60">
        <w:tc>
          <w:tcPr>
            <w:tcW w:w="10421" w:type="dxa"/>
            <w:shd w:val="clear" w:color="auto" w:fill="E6E6E6"/>
          </w:tcPr>
          <w:p w14:paraId="397FFB0E"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4B36994" w14:textId="77777777" w:rsidTr="001D4F60">
        <w:tc>
          <w:tcPr>
            <w:tcW w:w="10421" w:type="dxa"/>
            <w:shd w:val="clear" w:color="auto" w:fill="auto"/>
          </w:tcPr>
          <w:p w14:paraId="0E21951A" w14:textId="77777777" w:rsidR="001D4F60" w:rsidRPr="002F16E1" w:rsidRDefault="001D4F60" w:rsidP="009E380F">
            <w:pPr>
              <w:spacing w:before="120" w:after="120"/>
              <w:rPr>
                <w:b/>
                <w:sz w:val="18"/>
                <w:szCs w:val="18"/>
              </w:rPr>
            </w:pPr>
            <w:r w:rsidRPr="002F16E1">
              <w:rPr>
                <w:b/>
                <w:sz w:val="18"/>
                <w:szCs w:val="18"/>
              </w:rPr>
              <w:t>Validity</w:t>
            </w:r>
          </w:p>
          <w:p w14:paraId="3961B6ED"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088F46DD" w14:textId="77777777" w:rsidTr="001D4F60">
        <w:tc>
          <w:tcPr>
            <w:tcW w:w="10421" w:type="dxa"/>
            <w:shd w:val="clear" w:color="auto" w:fill="auto"/>
          </w:tcPr>
          <w:p w14:paraId="6C5D554F" w14:textId="2F3A1139" w:rsidR="001D4F60" w:rsidRPr="00580607" w:rsidRDefault="00892D15" w:rsidP="009E380F">
            <w:pPr>
              <w:spacing w:before="120" w:after="120"/>
              <w:rPr>
                <w:sz w:val="18"/>
                <w:szCs w:val="18"/>
              </w:rPr>
            </w:pPr>
            <w:r>
              <w:rPr>
                <w:sz w:val="18"/>
                <w:szCs w:val="18"/>
              </w:rPr>
              <w:t xml:space="preserve">This systematic review and meta-analysis by Liu et al. </w:t>
            </w:r>
            <w:r w:rsidR="00837A2B">
              <w:rPr>
                <w:sz w:val="18"/>
                <w:szCs w:val="18"/>
              </w:rPr>
              <w:t>is a high quality study with a low risk of bias as determined by the AMSTAR II instrument and assessment instructions by Shea et al.</w:t>
            </w:r>
            <w:hyperlink r:id="rId19" w:history="1">
              <w:r w:rsidR="00993179" w:rsidRPr="00993179">
                <w:rPr>
                  <w:rStyle w:val="Hyperlink"/>
                  <w:color w:val="000000"/>
                  <w:sz w:val="18"/>
                  <w:u w:val="none"/>
                  <w:vertAlign w:val="superscript"/>
                </w:rPr>
                <w:t>9</w:t>
              </w:r>
            </w:hyperlink>
            <w:r w:rsidR="00837A2B">
              <w:rPr>
                <w:sz w:val="18"/>
                <w:szCs w:val="18"/>
              </w:rPr>
              <w:t xml:space="preserve">  Based on the instrument, the results presented by Liu et al. can be interpreted with high confidence because of the excellent internal and external validity of the study. One of the biggest strengths of this article was the extensive investigation of heterogeneity </w:t>
            </w:r>
            <w:r w:rsidR="00F13CD2">
              <w:rPr>
                <w:sz w:val="18"/>
                <w:szCs w:val="18"/>
              </w:rPr>
              <w:t xml:space="preserve">and risk of bias in individual articles </w:t>
            </w:r>
            <w:r w:rsidR="00837A2B">
              <w:rPr>
                <w:sz w:val="18"/>
                <w:szCs w:val="18"/>
              </w:rPr>
              <w:t>through multiple tests</w:t>
            </w:r>
            <w:r w:rsidR="009F03A4">
              <w:rPr>
                <w:sz w:val="18"/>
                <w:szCs w:val="18"/>
              </w:rPr>
              <w:t>, and transparency of these results with regards to the influence this may have on study findings</w:t>
            </w:r>
            <w:proofErr w:type="gramStart"/>
            <w:r w:rsidR="009F03A4">
              <w:rPr>
                <w:sz w:val="18"/>
                <w:szCs w:val="18"/>
              </w:rPr>
              <w:t xml:space="preserve">.  </w:t>
            </w:r>
            <w:proofErr w:type="gramEnd"/>
            <w:r w:rsidR="009F03A4">
              <w:rPr>
                <w:sz w:val="18"/>
                <w:szCs w:val="18"/>
              </w:rPr>
              <w:t xml:space="preserve">The authors also thoroughly investigated the possibility of publication bias first through a funnel plot and then with </w:t>
            </w:r>
            <w:proofErr w:type="spellStart"/>
            <w:r w:rsidR="009F03A4">
              <w:rPr>
                <w:sz w:val="18"/>
                <w:szCs w:val="18"/>
              </w:rPr>
              <w:t>Begg</w:t>
            </w:r>
            <w:r w:rsidR="003B7197" w:rsidRPr="003B7197">
              <w:rPr>
                <w:sz w:val="18"/>
                <w:szCs w:val="18"/>
              </w:rPr>
              <w:t>'</w:t>
            </w:r>
            <w:r w:rsidR="009F03A4">
              <w:rPr>
                <w:sz w:val="18"/>
                <w:szCs w:val="18"/>
              </w:rPr>
              <w:t>s</w:t>
            </w:r>
            <w:proofErr w:type="spellEnd"/>
            <w:r w:rsidR="009F03A4">
              <w:rPr>
                <w:sz w:val="18"/>
                <w:szCs w:val="18"/>
              </w:rPr>
              <w:t xml:space="preserve"> and Egger</w:t>
            </w:r>
            <w:r w:rsidR="003B7197" w:rsidRPr="003B7197">
              <w:rPr>
                <w:sz w:val="18"/>
                <w:szCs w:val="18"/>
              </w:rPr>
              <w:t>'</w:t>
            </w:r>
            <w:r w:rsidR="009F03A4">
              <w:rPr>
                <w:sz w:val="18"/>
                <w:szCs w:val="18"/>
              </w:rPr>
              <w:t>s tests to make sure the included studies were representative of the available literature on the topic at hand</w:t>
            </w:r>
            <w:proofErr w:type="gramStart"/>
            <w:r w:rsidR="009F03A4">
              <w:rPr>
                <w:sz w:val="18"/>
                <w:szCs w:val="18"/>
              </w:rPr>
              <w:t xml:space="preserve">.  </w:t>
            </w:r>
            <w:proofErr w:type="gramEnd"/>
            <w:r w:rsidR="009F03A4">
              <w:rPr>
                <w:sz w:val="18"/>
                <w:szCs w:val="18"/>
              </w:rPr>
              <w:t>A comprehensive literature search was</w:t>
            </w:r>
            <w:r w:rsidR="00F13CD2">
              <w:rPr>
                <w:sz w:val="18"/>
                <w:szCs w:val="18"/>
              </w:rPr>
              <w:t xml:space="preserve"> </w:t>
            </w:r>
            <w:r w:rsidR="009F03A4">
              <w:rPr>
                <w:sz w:val="18"/>
                <w:szCs w:val="18"/>
              </w:rPr>
              <w:t>conducted</w:t>
            </w:r>
            <w:r w:rsidR="00F13CD2">
              <w:rPr>
                <w:sz w:val="18"/>
                <w:szCs w:val="18"/>
              </w:rPr>
              <w:t xml:space="preserve"> </w:t>
            </w:r>
            <w:r w:rsidR="009F03A4">
              <w:rPr>
                <w:sz w:val="18"/>
                <w:szCs w:val="18"/>
              </w:rPr>
              <w:t>including</w:t>
            </w:r>
            <w:r w:rsidR="00F13CD2">
              <w:rPr>
                <w:sz w:val="18"/>
                <w:szCs w:val="18"/>
              </w:rPr>
              <w:t xml:space="preserve"> </w:t>
            </w:r>
            <w:r w:rsidR="009F03A4">
              <w:rPr>
                <w:sz w:val="18"/>
                <w:szCs w:val="18"/>
              </w:rPr>
              <w:t>articles</w:t>
            </w:r>
            <w:r w:rsidR="00F13CD2">
              <w:rPr>
                <w:sz w:val="18"/>
                <w:szCs w:val="18"/>
              </w:rPr>
              <w:t xml:space="preserve"> </w:t>
            </w:r>
            <w:r w:rsidR="009F03A4">
              <w:rPr>
                <w:sz w:val="18"/>
                <w:szCs w:val="18"/>
              </w:rPr>
              <w:t>published</w:t>
            </w:r>
            <w:r w:rsidR="00F13CD2">
              <w:rPr>
                <w:sz w:val="18"/>
                <w:szCs w:val="18"/>
              </w:rPr>
              <w:t xml:space="preserve"> </w:t>
            </w:r>
            <w:r w:rsidR="009F03A4">
              <w:rPr>
                <w:sz w:val="18"/>
                <w:szCs w:val="18"/>
              </w:rPr>
              <w:t>in</w:t>
            </w:r>
            <w:r w:rsidR="00F13CD2">
              <w:rPr>
                <w:sz w:val="18"/>
                <w:szCs w:val="18"/>
              </w:rPr>
              <w:t xml:space="preserve"> academic journals around the world. </w:t>
            </w:r>
            <w:r w:rsidR="009F03A4">
              <w:rPr>
                <w:sz w:val="18"/>
                <w:szCs w:val="18"/>
              </w:rPr>
              <w:t xml:space="preserve">Multiple authors were used to select studies and extract data </w:t>
            </w:r>
            <w:r w:rsidR="00F13CD2">
              <w:rPr>
                <w:sz w:val="18"/>
                <w:szCs w:val="18"/>
              </w:rPr>
              <w:t>to reduce the possibility of introducing bias</w:t>
            </w:r>
            <w:proofErr w:type="gramStart"/>
            <w:r w:rsidR="00F13CD2">
              <w:rPr>
                <w:sz w:val="18"/>
                <w:szCs w:val="18"/>
              </w:rPr>
              <w:t xml:space="preserve">.  </w:t>
            </w:r>
            <w:proofErr w:type="gramEnd"/>
            <w:r w:rsidR="00F13CD2">
              <w:rPr>
                <w:sz w:val="18"/>
                <w:szCs w:val="18"/>
              </w:rPr>
              <w:t>The only weakness found in the AMSTAR II appraisal was not including sources of funding for individual articles included in the review, but authors did include a statement</w:t>
            </w:r>
            <w:r w:rsidR="003B7197">
              <w:rPr>
                <w:sz w:val="18"/>
                <w:szCs w:val="18"/>
              </w:rPr>
              <w:t xml:space="preserve"> of no competing interests for the current review</w:t>
            </w:r>
            <w:proofErr w:type="gramStart"/>
            <w:r w:rsidR="003B7197">
              <w:rPr>
                <w:sz w:val="18"/>
                <w:szCs w:val="18"/>
              </w:rPr>
              <w:t xml:space="preserve">.  </w:t>
            </w:r>
            <w:proofErr w:type="gramEnd"/>
            <w:r w:rsidR="003B7197">
              <w:rPr>
                <w:sz w:val="18"/>
                <w:szCs w:val="18"/>
              </w:rPr>
              <w:t xml:space="preserve">The quality of this study could have been improved by including only RCTs and </w:t>
            </w:r>
            <w:r w:rsidR="003B7197">
              <w:rPr>
                <w:sz w:val="18"/>
                <w:szCs w:val="18"/>
              </w:rPr>
              <w:lastRenderedPageBreak/>
              <w:t>excluding non-randomized designs, but authors assessed risk of bias and accounted for this in their discussion.</w:t>
            </w:r>
          </w:p>
          <w:p w14:paraId="539EA791" w14:textId="77777777" w:rsidR="001D4F60" w:rsidRPr="00580607" w:rsidRDefault="001D4F60" w:rsidP="009E380F">
            <w:pPr>
              <w:spacing w:before="120" w:after="120"/>
              <w:jc w:val="right"/>
              <w:rPr>
                <w:sz w:val="18"/>
                <w:szCs w:val="18"/>
              </w:rPr>
            </w:pPr>
          </w:p>
        </w:tc>
      </w:tr>
      <w:tr w:rsidR="001D4F60" w:rsidRPr="002F16E1" w14:paraId="379B4D20" w14:textId="77777777" w:rsidTr="001D4F60">
        <w:tc>
          <w:tcPr>
            <w:tcW w:w="10421" w:type="dxa"/>
            <w:shd w:val="clear" w:color="auto" w:fill="auto"/>
          </w:tcPr>
          <w:p w14:paraId="7B9E2FF3"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7EA268CC" w14:textId="450ED15F"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13428E7" w14:textId="77777777" w:rsidTr="0000738B">
        <w:trPr>
          <w:trHeight w:val="1365"/>
        </w:trPr>
        <w:tc>
          <w:tcPr>
            <w:tcW w:w="10421" w:type="dxa"/>
            <w:shd w:val="clear" w:color="auto" w:fill="auto"/>
          </w:tcPr>
          <w:p w14:paraId="3E08D93C" w14:textId="77777777" w:rsidR="005F0EE4" w:rsidRDefault="00087E23" w:rsidP="00BB0D07">
            <w:pPr>
              <w:spacing w:before="120" w:after="120"/>
              <w:rPr>
                <w:sz w:val="18"/>
                <w:szCs w:val="18"/>
              </w:rPr>
            </w:pPr>
            <w:r>
              <w:rPr>
                <w:sz w:val="18"/>
                <w:szCs w:val="18"/>
              </w:rPr>
              <w:t>Due to the high quality of evidence, the findings presented by Liu et al. can be interpreted with confidence</w:t>
            </w:r>
            <w:proofErr w:type="gramStart"/>
            <w:r>
              <w:rPr>
                <w:sz w:val="18"/>
                <w:szCs w:val="18"/>
              </w:rPr>
              <w:t xml:space="preserve">.  </w:t>
            </w:r>
            <w:proofErr w:type="gramEnd"/>
            <w:r>
              <w:rPr>
                <w:sz w:val="18"/>
                <w:szCs w:val="18"/>
              </w:rPr>
              <w:t xml:space="preserve">It seems that this collection of randomized and high quality non-randomized studies all </w:t>
            </w:r>
            <w:proofErr w:type="gramStart"/>
            <w:r>
              <w:rPr>
                <w:sz w:val="18"/>
                <w:szCs w:val="18"/>
              </w:rPr>
              <w:t>tell</w:t>
            </w:r>
            <w:proofErr w:type="gramEnd"/>
            <w:r>
              <w:rPr>
                <w:sz w:val="18"/>
                <w:szCs w:val="18"/>
              </w:rPr>
              <w:t xml:space="preserve"> similar stories about the appropriateness of early ambulation when patients have an acute DVT.  While some </w:t>
            </w:r>
            <w:r w:rsidR="00EF445E">
              <w:rPr>
                <w:sz w:val="18"/>
                <w:szCs w:val="18"/>
              </w:rPr>
              <w:t xml:space="preserve">individual </w:t>
            </w:r>
            <w:r>
              <w:rPr>
                <w:sz w:val="18"/>
                <w:szCs w:val="18"/>
              </w:rPr>
              <w:t xml:space="preserve">studies </w:t>
            </w:r>
            <w:r w:rsidR="00EF445E">
              <w:rPr>
                <w:sz w:val="18"/>
                <w:szCs w:val="18"/>
              </w:rPr>
              <w:t xml:space="preserve">and the risk difference forest plot indicate a </w:t>
            </w:r>
            <w:r w:rsidR="00575693">
              <w:rPr>
                <w:sz w:val="18"/>
                <w:szCs w:val="18"/>
              </w:rPr>
              <w:t xml:space="preserve">potential </w:t>
            </w:r>
            <w:r w:rsidR="00EF445E">
              <w:rPr>
                <w:sz w:val="18"/>
                <w:szCs w:val="18"/>
              </w:rPr>
              <w:t xml:space="preserve">significant reduction in primary endpoints in </w:t>
            </w:r>
            <w:r w:rsidR="00575693">
              <w:rPr>
                <w:sz w:val="18"/>
                <w:szCs w:val="18"/>
              </w:rPr>
              <w:t>the early</w:t>
            </w:r>
            <w:r w:rsidR="00EF445E">
              <w:rPr>
                <w:sz w:val="18"/>
                <w:szCs w:val="18"/>
              </w:rPr>
              <w:t xml:space="preserve"> ambulation groups, this conclusion may be premature due to insufficient research and confidence interval so close to zero</w:t>
            </w:r>
            <w:proofErr w:type="gramStart"/>
            <w:r w:rsidR="00EF445E">
              <w:rPr>
                <w:sz w:val="18"/>
                <w:szCs w:val="18"/>
              </w:rPr>
              <w:t xml:space="preserve">.  </w:t>
            </w:r>
            <w:proofErr w:type="gramEnd"/>
            <w:r w:rsidR="00EF445E">
              <w:rPr>
                <w:sz w:val="18"/>
                <w:szCs w:val="18"/>
              </w:rPr>
              <w:t>This article did not include specifics on when to initiate ambulation and what frequency, duration, intensity to use due to the heterogeneity of study designs</w:t>
            </w:r>
            <w:proofErr w:type="gramStart"/>
            <w:r w:rsidR="00EF445E">
              <w:rPr>
                <w:sz w:val="18"/>
                <w:szCs w:val="18"/>
              </w:rPr>
              <w:t>.  It is clear that early</w:t>
            </w:r>
            <w:proofErr w:type="gramEnd"/>
            <w:r w:rsidR="00EF445E">
              <w:rPr>
                <w:sz w:val="18"/>
                <w:szCs w:val="18"/>
              </w:rPr>
              <w:t xml:space="preserve"> ambulation does not increase </w:t>
            </w:r>
            <w:r w:rsidR="005F0EE4">
              <w:rPr>
                <w:sz w:val="18"/>
                <w:szCs w:val="18"/>
              </w:rPr>
              <w:t xml:space="preserve">adverse DVT related events when patients have been treated with standard anti-coagulation therapy, including the formation of a PE, progression of DVT or DVT related mortality. </w:t>
            </w:r>
            <w:r w:rsidR="00575693">
              <w:rPr>
                <w:sz w:val="18"/>
                <w:szCs w:val="18"/>
              </w:rPr>
              <w:t xml:space="preserve"> This does not mean that there is no risk of these events occurring, and physical therapists should be careful to monitor for signs of rapidly worsening conditions during or after mobility.</w:t>
            </w:r>
            <w:r w:rsidR="00175C2B">
              <w:rPr>
                <w:sz w:val="18"/>
                <w:szCs w:val="18"/>
              </w:rPr>
              <w:t xml:space="preserve"> To specifically address the clinical question at hand, early ambulation does not increase risk of these primary endpoints, but we cannot say for certain that this intervention reduces them when compared to bed rest</w:t>
            </w:r>
            <w:proofErr w:type="gramStart"/>
            <w:r w:rsidR="00175C2B">
              <w:rPr>
                <w:sz w:val="18"/>
                <w:szCs w:val="18"/>
              </w:rPr>
              <w:t xml:space="preserve">.  </w:t>
            </w:r>
            <w:proofErr w:type="gramEnd"/>
            <w:r w:rsidR="005F0EE4">
              <w:rPr>
                <w:sz w:val="18"/>
                <w:szCs w:val="18"/>
              </w:rPr>
              <w:t>F</w:t>
            </w:r>
            <w:r w:rsidR="00EF445E">
              <w:rPr>
                <w:sz w:val="18"/>
                <w:szCs w:val="18"/>
              </w:rPr>
              <w:t xml:space="preserve">uture research should </w:t>
            </w:r>
            <w:r w:rsidR="005F0EE4">
              <w:rPr>
                <w:sz w:val="18"/>
                <w:szCs w:val="18"/>
              </w:rPr>
              <w:t>strive to outline indicators of when to initiate activity safely and parameters to use for exercise prescription</w:t>
            </w:r>
            <w:r w:rsidR="00575693">
              <w:rPr>
                <w:sz w:val="18"/>
                <w:szCs w:val="18"/>
              </w:rPr>
              <w:t>.</w:t>
            </w:r>
          </w:p>
          <w:p w14:paraId="6E377944" w14:textId="6BC9F6AA" w:rsidR="00BB0D07" w:rsidRPr="00580607" w:rsidRDefault="00BB0D07" w:rsidP="00BB0D07">
            <w:pPr>
              <w:spacing w:before="120" w:after="120"/>
              <w:rPr>
                <w:sz w:val="18"/>
                <w:szCs w:val="18"/>
              </w:rPr>
            </w:pPr>
          </w:p>
        </w:tc>
      </w:tr>
      <w:tr w:rsidR="0000738B" w:rsidRPr="002F16E1" w14:paraId="0A3A2B23" w14:textId="77777777" w:rsidTr="0000738B">
        <w:trPr>
          <w:trHeight w:val="759"/>
        </w:trPr>
        <w:tc>
          <w:tcPr>
            <w:tcW w:w="10421" w:type="dxa"/>
            <w:shd w:val="clear" w:color="auto" w:fill="auto"/>
          </w:tcPr>
          <w:p w14:paraId="291201DB" w14:textId="77777777" w:rsidR="0000738B" w:rsidRPr="002F16E1" w:rsidRDefault="0000738B" w:rsidP="0000738B">
            <w:pPr>
              <w:spacing w:before="120" w:after="120"/>
              <w:jc w:val="both"/>
              <w:rPr>
                <w:b/>
                <w:sz w:val="18"/>
                <w:szCs w:val="18"/>
              </w:rPr>
            </w:pPr>
            <w:r>
              <w:rPr>
                <w:b/>
                <w:sz w:val="18"/>
                <w:szCs w:val="18"/>
              </w:rPr>
              <w:t>Applicability of Study Results</w:t>
            </w:r>
          </w:p>
          <w:p w14:paraId="32DE0387"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080FBFFA" w14:textId="77777777" w:rsidTr="001D4F60">
        <w:trPr>
          <w:trHeight w:val="1594"/>
        </w:trPr>
        <w:tc>
          <w:tcPr>
            <w:tcW w:w="10421" w:type="dxa"/>
            <w:tcBorders>
              <w:bottom w:val="single" w:sz="4" w:space="0" w:color="auto"/>
            </w:tcBorders>
            <w:shd w:val="clear" w:color="auto" w:fill="auto"/>
          </w:tcPr>
          <w:p w14:paraId="1EFC69B5" w14:textId="54E29C3B" w:rsidR="0000738B" w:rsidRDefault="00F42BFA" w:rsidP="008D2D18">
            <w:pPr>
              <w:spacing w:before="120" w:after="120"/>
              <w:rPr>
                <w:sz w:val="18"/>
                <w:szCs w:val="18"/>
              </w:rPr>
            </w:pPr>
            <w:r>
              <w:rPr>
                <w:sz w:val="18"/>
                <w:szCs w:val="18"/>
              </w:rPr>
              <w:t>This study is highly relevant to the clinical scenario, as the participants were on average in their 5</w:t>
            </w:r>
            <w:r w:rsidRPr="00F42BFA">
              <w:rPr>
                <w:sz w:val="18"/>
                <w:szCs w:val="18"/>
                <w:vertAlign w:val="superscript"/>
              </w:rPr>
              <w:t>th</w:t>
            </w:r>
            <w:r>
              <w:rPr>
                <w:sz w:val="18"/>
                <w:szCs w:val="18"/>
              </w:rPr>
              <w:t xml:space="preserve"> or 6</w:t>
            </w:r>
            <w:r w:rsidRPr="00F42BFA">
              <w:rPr>
                <w:sz w:val="18"/>
                <w:szCs w:val="18"/>
                <w:vertAlign w:val="superscript"/>
              </w:rPr>
              <w:t>th</w:t>
            </w:r>
            <w:r>
              <w:rPr>
                <w:sz w:val="18"/>
                <w:szCs w:val="18"/>
              </w:rPr>
              <w:t xml:space="preserve"> decade of life with an acute DVT</w:t>
            </w:r>
            <w:proofErr w:type="gramStart"/>
            <w:r>
              <w:rPr>
                <w:sz w:val="18"/>
                <w:szCs w:val="18"/>
              </w:rPr>
              <w:t xml:space="preserve">.  </w:t>
            </w:r>
            <w:proofErr w:type="gramEnd"/>
            <w:r>
              <w:rPr>
                <w:sz w:val="18"/>
                <w:szCs w:val="18"/>
              </w:rPr>
              <w:t>Participants were not excluded based on comorbidities</w:t>
            </w:r>
            <w:r w:rsidR="00561B25">
              <w:rPr>
                <w:sz w:val="18"/>
                <w:szCs w:val="18"/>
              </w:rPr>
              <w:t xml:space="preserve"> so it can be assumed these results are generalizable to patients with common comorbidities such as those outlined in the clinical scenario: obesity, chronic heart failure, type II diabetes mellitus and associated peripheral neuropathy</w:t>
            </w:r>
            <w:proofErr w:type="gramStart"/>
            <w:r w:rsidR="00561B25">
              <w:rPr>
                <w:sz w:val="18"/>
                <w:szCs w:val="18"/>
              </w:rPr>
              <w:t xml:space="preserve">.  </w:t>
            </w:r>
            <w:proofErr w:type="gramEnd"/>
            <w:r w:rsidR="00561B25">
              <w:rPr>
                <w:sz w:val="18"/>
                <w:szCs w:val="18"/>
              </w:rPr>
              <w:t xml:space="preserve">The patient in this scenario has been treated with anti-coagulants in a standard manner </w:t>
            </w:r>
            <w:r w:rsidR="00840FFF">
              <w:rPr>
                <w:sz w:val="18"/>
                <w:szCs w:val="18"/>
              </w:rPr>
              <w:t>like</w:t>
            </w:r>
            <w:r w:rsidR="00561B25">
              <w:rPr>
                <w:sz w:val="18"/>
                <w:szCs w:val="18"/>
              </w:rPr>
              <w:t xml:space="preserve"> the current study’s participants and with further information about indicators </w:t>
            </w:r>
            <w:r w:rsidR="008D2D18">
              <w:rPr>
                <w:sz w:val="18"/>
                <w:szCs w:val="18"/>
              </w:rPr>
              <w:t>of</w:t>
            </w:r>
            <w:r w:rsidR="00561B25">
              <w:rPr>
                <w:sz w:val="18"/>
                <w:szCs w:val="18"/>
              </w:rPr>
              <w:t xml:space="preserve"> successful anti-coagulation, I would be confident in applying early ambulation recommendations to this patient</w:t>
            </w:r>
            <w:proofErr w:type="gramStart"/>
            <w:r w:rsidR="00561B25">
              <w:rPr>
                <w:sz w:val="18"/>
                <w:szCs w:val="18"/>
              </w:rPr>
              <w:t>.</w:t>
            </w:r>
            <w:r w:rsidR="00840FFF">
              <w:rPr>
                <w:sz w:val="18"/>
                <w:szCs w:val="18"/>
              </w:rPr>
              <w:t xml:space="preserve">  </w:t>
            </w:r>
            <w:proofErr w:type="gramEnd"/>
            <w:r w:rsidR="00840FFF">
              <w:rPr>
                <w:sz w:val="18"/>
                <w:szCs w:val="18"/>
              </w:rPr>
              <w:t>These results support the general idea that mobility training early and often in the hospital setting is best for promoting positive outcomes for patients and watching for rapid changes in patient condition is well within the expertise of acute care physical therapists</w:t>
            </w:r>
            <w:proofErr w:type="gramStart"/>
            <w:r w:rsidR="00840FFF">
              <w:rPr>
                <w:sz w:val="18"/>
                <w:szCs w:val="18"/>
              </w:rPr>
              <w:t xml:space="preserve">.  </w:t>
            </w:r>
            <w:proofErr w:type="gramEnd"/>
            <w:r w:rsidR="00840FFF">
              <w:rPr>
                <w:sz w:val="18"/>
                <w:szCs w:val="18"/>
              </w:rPr>
              <w:t>PTs conduct chart reviews every day to assess the appropriateness of individual patients for mobility, so when given clear evidence-based recommendations they will be able to make informed clinical decisions about mobilization in this medically complex population.</w:t>
            </w:r>
          </w:p>
          <w:p w14:paraId="5D545A0E" w14:textId="5575B061" w:rsidR="008D2D18" w:rsidRPr="002F16E1" w:rsidRDefault="008D2D18" w:rsidP="008D2D18">
            <w:pPr>
              <w:spacing w:before="120" w:after="120"/>
              <w:rPr>
                <w:b/>
                <w:sz w:val="18"/>
                <w:szCs w:val="18"/>
              </w:rPr>
            </w:pPr>
          </w:p>
        </w:tc>
      </w:tr>
    </w:tbl>
    <w:p w14:paraId="5F449B15" w14:textId="77777777" w:rsidR="001D4F60" w:rsidRDefault="001D4F60" w:rsidP="001D4F60">
      <w:pPr>
        <w:spacing w:before="240" w:after="240"/>
        <w:rPr>
          <w:b/>
          <w:sz w:val="18"/>
          <w:szCs w:val="18"/>
        </w:rPr>
      </w:pPr>
    </w:p>
    <w:p w14:paraId="65FE567C" w14:textId="060AB2F4" w:rsidR="001D4F60" w:rsidRDefault="001D4F60" w:rsidP="00C1515F">
      <w:pPr>
        <w:spacing w:before="240" w:after="240"/>
        <w:rPr>
          <w:b/>
          <w:sz w:val="18"/>
          <w:szCs w:val="18"/>
        </w:rPr>
      </w:pPr>
      <w:r>
        <w:rPr>
          <w:b/>
          <w:sz w:val="18"/>
          <w:szCs w:val="18"/>
        </w:rPr>
        <w:t xml:space="preserve">(2) </w:t>
      </w:r>
      <w:r w:rsidRPr="001D4F60">
        <w:rPr>
          <w:b/>
          <w:sz w:val="18"/>
          <w:szCs w:val="18"/>
        </w:rPr>
        <w:t>Description and appraisal of (</w:t>
      </w:r>
      <w:r w:rsidR="00C1515F" w:rsidRPr="00C1515F">
        <w:rPr>
          <w:b/>
          <w:sz w:val="18"/>
          <w:szCs w:val="18"/>
        </w:rPr>
        <w:t>Role of Physical Therapists in the</w:t>
      </w:r>
      <w:r w:rsidR="00C1515F">
        <w:rPr>
          <w:b/>
          <w:sz w:val="18"/>
          <w:szCs w:val="18"/>
        </w:rPr>
        <w:t xml:space="preserve"> </w:t>
      </w:r>
      <w:r w:rsidR="00C1515F" w:rsidRPr="00C1515F">
        <w:rPr>
          <w:b/>
          <w:sz w:val="18"/>
          <w:szCs w:val="18"/>
        </w:rPr>
        <w:t>Management of Individuals at Risk</w:t>
      </w:r>
      <w:r w:rsidR="00C1515F">
        <w:rPr>
          <w:b/>
          <w:sz w:val="18"/>
          <w:szCs w:val="18"/>
        </w:rPr>
        <w:t xml:space="preserve"> </w:t>
      </w:r>
      <w:r w:rsidR="00C1515F" w:rsidRPr="00C1515F">
        <w:rPr>
          <w:b/>
          <w:sz w:val="18"/>
          <w:szCs w:val="18"/>
        </w:rPr>
        <w:t>for or Diagnosed With Venous</w:t>
      </w:r>
      <w:r w:rsidR="00C1515F">
        <w:rPr>
          <w:b/>
          <w:sz w:val="18"/>
          <w:szCs w:val="18"/>
        </w:rPr>
        <w:t xml:space="preserve"> </w:t>
      </w:r>
      <w:r w:rsidR="00C1515F" w:rsidRPr="00C1515F">
        <w:rPr>
          <w:b/>
          <w:sz w:val="18"/>
          <w:szCs w:val="18"/>
        </w:rPr>
        <w:t>Thromboembolism: Evidence-Based</w:t>
      </w:r>
      <w:r w:rsidR="00C1515F">
        <w:rPr>
          <w:b/>
          <w:sz w:val="18"/>
          <w:szCs w:val="18"/>
        </w:rPr>
        <w:t xml:space="preserve"> </w:t>
      </w:r>
      <w:r w:rsidR="00C1515F" w:rsidRPr="00C1515F">
        <w:rPr>
          <w:b/>
          <w:sz w:val="18"/>
          <w:szCs w:val="18"/>
        </w:rPr>
        <w:t>Clinical Practice Guideline</w:t>
      </w:r>
      <w:r w:rsidRPr="001D4F60">
        <w:rPr>
          <w:b/>
          <w:sz w:val="18"/>
          <w:szCs w:val="18"/>
        </w:rPr>
        <w:t>) by (</w:t>
      </w:r>
      <w:proofErr w:type="spellStart"/>
      <w:r w:rsidR="00C1515F">
        <w:rPr>
          <w:b/>
          <w:sz w:val="18"/>
          <w:szCs w:val="18"/>
        </w:rPr>
        <w:t>Hillegass</w:t>
      </w:r>
      <w:proofErr w:type="spellEnd"/>
      <w:r w:rsidR="00C1515F">
        <w:rPr>
          <w:b/>
          <w:sz w:val="18"/>
          <w:szCs w:val="18"/>
        </w:rPr>
        <w:t xml:space="preserve"> et al.</w:t>
      </w:r>
      <w:r w:rsidRPr="001D4F60">
        <w:rPr>
          <w:b/>
          <w:sz w:val="18"/>
          <w:szCs w:val="18"/>
        </w:rPr>
        <w:t xml:space="preserve">, </w:t>
      </w:r>
      <w:r w:rsidR="00C1515F">
        <w:rPr>
          <w:b/>
          <w:sz w:val="18"/>
          <w:szCs w:val="18"/>
        </w:rPr>
        <w:t>2016</w:t>
      </w:r>
      <w:r w:rsidRPr="001D4F60">
        <w:rPr>
          <w:b/>
          <w:sz w:val="18"/>
          <w:szCs w:val="18"/>
        </w:rPr>
        <w:t>)</w:t>
      </w:r>
      <w:hyperlink r:id="rId20" w:history="1">
        <w:r w:rsidR="00993179" w:rsidRPr="00993179">
          <w:rPr>
            <w:rStyle w:val="Hyperlink"/>
            <w:color w:val="000000"/>
            <w:sz w:val="18"/>
            <w:u w:val="none"/>
            <w:vertAlign w:val="superscript"/>
          </w:rPr>
          <w:t>2</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25650365" w14:textId="77777777" w:rsidTr="00B82150">
        <w:tc>
          <w:tcPr>
            <w:tcW w:w="10421" w:type="dxa"/>
            <w:shd w:val="clear" w:color="auto" w:fill="E6E6E6"/>
          </w:tcPr>
          <w:p w14:paraId="6948B56D" w14:textId="77777777" w:rsidR="0000738B" w:rsidRPr="002F16E1" w:rsidRDefault="0000738B" w:rsidP="00B82150">
            <w:pPr>
              <w:spacing w:before="120" w:after="120"/>
              <w:rPr>
                <w:b/>
                <w:sz w:val="18"/>
                <w:szCs w:val="18"/>
              </w:rPr>
            </w:pPr>
            <w:r w:rsidRPr="002F16E1">
              <w:rPr>
                <w:b/>
                <w:sz w:val="18"/>
                <w:szCs w:val="18"/>
              </w:rPr>
              <w:t>Aim/Objective of the Study/Systematic Review:</w:t>
            </w:r>
          </w:p>
        </w:tc>
      </w:tr>
      <w:tr w:rsidR="0000738B" w:rsidRPr="002F16E1" w14:paraId="0590EC07" w14:textId="77777777" w:rsidTr="00B82150">
        <w:tc>
          <w:tcPr>
            <w:tcW w:w="10421" w:type="dxa"/>
            <w:tcBorders>
              <w:bottom w:val="single" w:sz="4" w:space="0" w:color="auto"/>
            </w:tcBorders>
            <w:shd w:val="clear" w:color="auto" w:fill="auto"/>
          </w:tcPr>
          <w:p w14:paraId="176E827E" w14:textId="031726A5" w:rsidR="0000738B" w:rsidRPr="002F16E1" w:rsidRDefault="006303EB" w:rsidP="00875B29">
            <w:pPr>
              <w:spacing w:before="120" w:after="120"/>
              <w:rPr>
                <w:sz w:val="18"/>
                <w:szCs w:val="18"/>
              </w:rPr>
            </w:pPr>
            <w:r>
              <w:rPr>
                <w:sz w:val="18"/>
                <w:szCs w:val="18"/>
              </w:rPr>
              <w:t xml:space="preserve">The clinical practice guideline (CPG) by </w:t>
            </w:r>
            <w:proofErr w:type="spellStart"/>
            <w:r>
              <w:rPr>
                <w:sz w:val="18"/>
                <w:szCs w:val="18"/>
              </w:rPr>
              <w:t>Hillegass</w:t>
            </w:r>
            <w:proofErr w:type="spellEnd"/>
            <w:r>
              <w:rPr>
                <w:sz w:val="18"/>
                <w:szCs w:val="18"/>
              </w:rPr>
              <w:t xml:space="preserve"> et al. aimed to present recommendations </w:t>
            </w:r>
            <w:r w:rsidR="00431F89">
              <w:rPr>
                <w:sz w:val="18"/>
                <w:szCs w:val="18"/>
              </w:rPr>
              <w:t xml:space="preserve">in the form of key action statements </w:t>
            </w:r>
            <w:r>
              <w:rPr>
                <w:sz w:val="18"/>
                <w:szCs w:val="18"/>
              </w:rPr>
              <w:t>based on the current evidence to guide treatment of patients at risk for venous thromboembolism (VTE) or after diagnosis of a lower extremity DVT</w:t>
            </w:r>
            <w:proofErr w:type="gramStart"/>
            <w:r>
              <w:rPr>
                <w:sz w:val="18"/>
                <w:szCs w:val="18"/>
              </w:rPr>
              <w:t xml:space="preserve">.  </w:t>
            </w:r>
            <w:proofErr w:type="gramEnd"/>
            <w:r>
              <w:rPr>
                <w:sz w:val="18"/>
                <w:szCs w:val="18"/>
              </w:rPr>
              <w:t xml:space="preserve">This guideline covers prevention, </w:t>
            </w:r>
            <w:proofErr w:type="gramStart"/>
            <w:r>
              <w:rPr>
                <w:sz w:val="18"/>
                <w:szCs w:val="18"/>
              </w:rPr>
              <w:t>screening</w:t>
            </w:r>
            <w:proofErr w:type="gramEnd"/>
            <w:r>
              <w:rPr>
                <w:sz w:val="18"/>
                <w:szCs w:val="18"/>
              </w:rPr>
              <w:t xml:space="preserve"> and treatment recommendations for patients at risk of or with a diagnosed VTE which includes DVT and PE.</w:t>
            </w:r>
          </w:p>
        </w:tc>
      </w:tr>
      <w:tr w:rsidR="0000738B" w:rsidRPr="002F16E1" w14:paraId="68334FA4" w14:textId="77777777" w:rsidTr="00B82150">
        <w:tc>
          <w:tcPr>
            <w:tcW w:w="10421" w:type="dxa"/>
            <w:shd w:val="clear" w:color="auto" w:fill="E6E6E6"/>
          </w:tcPr>
          <w:p w14:paraId="23BB6A43" w14:textId="77777777" w:rsidR="0000738B" w:rsidRPr="002F16E1" w:rsidRDefault="0000738B" w:rsidP="00B82150">
            <w:pPr>
              <w:spacing w:before="120" w:after="120"/>
              <w:jc w:val="both"/>
              <w:rPr>
                <w:b/>
                <w:sz w:val="18"/>
                <w:szCs w:val="18"/>
              </w:rPr>
            </w:pPr>
            <w:r w:rsidRPr="002F16E1">
              <w:rPr>
                <w:b/>
                <w:sz w:val="18"/>
                <w:szCs w:val="18"/>
              </w:rPr>
              <w:t>Study Design</w:t>
            </w:r>
          </w:p>
          <w:p w14:paraId="67E85C23" w14:textId="12AE33A7" w:rsidR="0000738B" w:rsidRPr="002F16E1" w:rsidRDefault="0000738B" w:rsidP="00B82150">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w:t>
            </w:r>
            <w:proofErr w:type="gramStart"/>
            <w:r w:rsidRPr="002F16E1">
              <w:rPr>
                <w:sz w:val="18"/>
                <w:szCs w:val="18"/>
              </w:rPr>
              <w:t>relevant]</w:t>
            </w:r>
            <w:proofErr w:type="gramEnd"/>
          </w:p>
          <w:p w14:paraId="582395B6" w14:textId="40004B8F" w:rsidR="0000738B" w:rsidRPr="002F16E1" w:rsidRDefault="0000738B" w:rsidP="00B82150">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42543D8F" w14:textId="77777777" w:rsidTr="00B82150">
        <w:tc>
          <w:tcPr>
            <w:tcW w:w="10421" w:type="dxa"/>
            <w:tcBorders>
              <w:bottom w:val="single" w:sz="4" w:space="0" w:color="auto"/>
            </w:tcBorders>
            <w:shd w:val="clear" w:color="auto" w:fill="auto"/>
          </w:tcPr>
          <w:p w14:paraId="13832F55" w14:textId="5CEA197B" w:rsidR="0000738B" w:rsidRDefault="00094146" w:rsidP="00B82150">
            <w:pPr>
              <w:spacing w:before="120" w:after="120"/>
              <w:rPr>
                <w:sz w:val="18"/>
                <w:szCs w:val="18"/>
              </w:rPr>
            </w:pPr>
            <w:r>
              <w:rPr>
                <w:sz w:val="18"/>
                <w:szCs w:val="18"/>
              </w:rPr>
              <w:lastRenderedPageBreak/>
              <w:t xml:space="preserve">The American Physical Therapy Association (APTA) formed a VTE Guideline Development Group from select members of the </w:t>
            </w:r>
            <w:r w:rsidR="00431F89">
              <w:rPr>
                <w:sz w:val="18"/>
                <w:szCs w:val="18"/>
              </w:rPr>
              <w:t>Cardiovascular &amp; Pulmonary and Acute Care sections to create this CPG</w:t>
            </w:r>
            <w:proofErr w:type="gramStart"/>
            <w:r w:rsidR="00431F89">
              <w:rPr>
                <w:sz w:val="18"/>
                <w:szCs w:val="18"/>
              </w:rPr>
              <w:t xml:space="preserve">.  </w:t>
            </w:r>
            <w:proofErr w:type="gramEnd"/>
            <w:r w:rsidR="00431F89">
              <w:rPr>
                <w:sz w:val="18"/>
                <w:szCs w:val="18"/>
              </w:rPr>
              <w:t>This group collaborated with the APTA to develop a list of topics to be included in the scope of this review</w:t>
            </w:r>
            <w:r w:rsidR="00DE59DD">
              <w:rPr>
                <w:sz w:val="18"/>
                <w:szCs w:val="18"/>
              </w:rPr>
              <w:t xml:space="preserve">, </w:t>
            </w:r>
            <w:r w:rsidR="00431F89">
              <w:rPr>
                <w:sz w:val="18"/>
                <w:szCs w:val="18"/>
              </w:rPr>
              <w:t xml:space="preserve">guide the literature </w:t>
            </w:r>
            <w:proofErr w:type="gramStart"/>
            <w:r w:rsidR="00431F89">
              <w:rPr>
                <w:sz w:val="18"/>
                <w:szCs w:val="18"/>
              </w:rPr>
              <w:t>search</w:t>
            </w:r>
            <w:proofErr w:type="gramEnd"/>
            <w:r w:rsidR="00DE59DD">
              <w:rPr>
                <w:sz w:val="18"/>
                <w:szCs w:val="18"/>
              </w:rPr>
              <w:t xml:space="preserve"> and synthesize results into key action statements</w:t>
            </w:r>
            <w:r w:rsidR="00431F89">
              <w:rPr>
                <w:sz w:val="18"/>
                <w:szCs w:val="18"/>
              </w:rPr>
              <w:t>.</w:t>
            </w:r>
          </w:p>
          <w:p w14:paraId="6245183A" w14:textId="3537F086" w:rsidR="00431F89" w:rsidRDefault="00431F89" w:rsidP="00B82150">
            <w:pPr>
              <w:spacing w:before="120" w:after="120"/>
              <w:rPr>
                <w:sz w:val="18"/>
                <w:szCs w:val="18"/>
              </w:rPr>
            </w:pPr>
            <w:r w:rsidRPr="00841FFB">
              <w:rPr>
                <w:b/>
                <w:bCs/>
                <w:sz w:val="18"/>
                <w:szCs w:val="18"/>
              </w:rPr>
              <w:t>Search Strategy:</w:t>
            </w:r>
            <w:r>
              <w:rPr>
                <w:sz w:val="18"/>
                <w:szCs w:val="18"/>
              </w:rPr>
              <w:t xml:space="preserve"> The following databases were included in the search: PubMed, CINAHL, Web of Science, Cochrane Database of Systematic Reviews</w:t>
            </w:r>
            <w:r w:rsidR="00841FFB">
              <w:rPr>
                <w:sz w:val="18"/>
                <w:szCs w:val="18"/>
              </w:rPr>
              <w:t>, Database of Abstracts of Reviews of Effects (DARE), and Physiotherapy Evidence Database (</w:t>
            </w:r>
            <w:proofErr w:type="spellStart"/>
            <w:r w:rsidR="00841FFB">
              <w:rPr>
                <w:sz w:val="18"/>
                <w:szCs w:val="18"/>
              </w:rPr>
              <w:t>PEDro</w:t>
            </w:r>
            <w:proofErr w:type="spellEnd"/>
            <w:r w:rsidR="00841FFB">
              <w:rPr>
                <w:sz w:val="18"/>
                <w:szCs w:val="18"/>
              </w:rPr>
              <w:t>)</w:t>
            </w:r>
            <w:proofErr w:type="gramStart"/>
            <w:r w:rsidR="00841FFB">
              <w:rPr>
                <w:sz w:val="18"/>
                <w:szCs w:val="18"/>
              </w:rPr>
              <w:t xml:space="preserve">.  </w:t>
            </w:r>
            <w:proofErr w:type="gramEnd"/>
            <w:r w:rsidR="004D73D0">
              <w:rPr>
                <w:sz w:val="18"/>
                <w:szCs w:val="18"/>
              </w:rPr>
              <w:t>Existing published CPGs were also searched in the National Guideline Clearinghouse database and Trip database</w:t>
            </w:r>
            <w:proofErr w:type="gramStart"/>
            <w:r w:rsidR="004D73D0">
              <w:rPr>
                <w:sz w:val="18"/>
                <w:szCs w:val="18"/>
              </w:rPr>
              <w:t xml:space="preserve">.  </w:t>
            </w:r>
            <w:proofErr w:type="gramEnd"/>
            <w:r w:rsidR="00841FFB">
              <w:rPr>
                <w:sz w:val="18"/>
                <w:szCs w:val="18"/>
              </w:rPr>
              <w:t xml:space="preserve">Key words, </w:t>
            </w:r>
            <w:proofErr w:type="spellStart"/>
            <w:r w:rsidR="00841FFB">
              <w:rPr>
                <w:sz w:val="18"/>
                <w:szCs w:val="18"/>
              </w:rPr>
              <w:t>MeSH</w:t>
            </w:r>
            <w:proofErr w:type="spellEnd"/>
            <w:r w:rsidR="00841FFB">
              <w:rPr>
                <w:sz w:val="18"/>
                <w:szCs w:val="18"/>
              </w:rPr>
              <w:t xml:space="preserve"> terms and CINAHL headings were used to narrow down the search and included but were not limited </w:t>
            </w:r>
            <w:proofErr w:type="gramStart"/>
            <w:r w:rsidR="00841FFB">
              <w:rPr>
                <w:sz w:val="18"/>
                <w:szCs w:val="18"/>
              </w:rPr>
              <w:t>to:</w:t>
            </w:r>
            <w:proofErr w:type="gramEnd"/>
            <w:r w:rsidR="00841FFB">
              <w:rPr>
                <w:sz w:val="18"/>
                <w:szCs w:val="18"/>
              </w:rPr>
              <w:t xml:space="preserve"> venous thrombosis, pulmonary embolism, movement, immobilization, early ambulation, anticoagulants and compression stockings.</w:t>
            </w:r>
          </w:p>
          <w:p w14:paraId="494075A3" w14:textId="0C652558" w:rsidR="00841FFB" w:rsidRPr="004D73D0" w:rsidRDefault="00841FFB" w:rsidP="00B82150">
            <w:pPr>
              <w:spacing w:before="120" w:after="120"/>
              <w:rPr>
                <w:sz w:val="18"/>
                <w:szCs w:val="18"/>
              </w:rPr>
            </w:pPr>
            <w:r w:rsidRPr="004D73D0">
              <w:rPr>
                <w:b/>
                <w:bCs/>
                <w:sz w:val="18"/>
                <w:szCs w:val="18"/>
              </w:rPr>
              <w:t>Selection Criteria:</w:t>
            </w:r>
            <w:r w:rsidR="004D73D0">
              <w:rPr>
                <w:b/>
                <w:bCs/>
                <w:sz w:val="18"/>
                <w:szCs w:val="18"/>
              </w:rPr>
              <w:t xml:space="preserve"> </w:t>
            </w:r>
            <w:r w:rsidR="004D73D0">
              <w:rPr>
                <w:sz w:val="18"/>
                <w:szCs w:val="18"/>
              </w:rPr>
              <w:t>Articles that investigated key topics within an appropriate population were included</w:t>
            </w:r>
            <w:r w:rsidR="00C737F6">
              <w:rPr>
                <w:sz w:val="18"/>
                <w:szCs w:val="18"/>
              </w:rPr>
              <w:t xml:space="preserve"> in the CPG</w:t>
            </w:r>
            <w:proofErr w:type="gramStart"/>
            <w:r w:rsidR="00C737F6">
              <w:rPr>
                <w:sz w:val="18"/>
                <w:szCs w:val="18"/>
              </w:rPr>
              <w:t xml:space="preserve">.  </w:t>
            </w:r>
            <w:proofErr w:type="gramEnd"/>
            <w:r w:rsidR="00C737F6">
              <w:rPr>
                <w:sz w:val="18"/>
                <w:szCs w:val="18"/>
              </w:rPr>
              <w:t xml:space="preserve">Case reports and articles with </w:t>
            </w:r>
            <w:proofErr w:type="spellStart"/>
            <w:r w:rsidR="00C737F6">
              <w:rPr>
                <w:sz w:val="18"/>
                <w:szCs w:val="18"/>
              </w:rPr>
              <w:t>pediatric</w:t>
            </w:r>
            <w:proofErr w:type="spellEnd"/>
            <w:r w:rsidR="00C737F6">
              <w:rPr>
                <w:sz w:val="18"/>
                <w:szCs w:val="18"/>
              </w:rPr>
              <w:t xml:space="preserve"> subjects were excluded.</w:t>
            </w:r>
            <w:r w:rsidR="005218C4">
              <w:rPr>
                <w:sz w:val="18"/>
                <w:szCs w:val="18"/>
              </w:rPr>
              <w:t xml:space="preserve"> Only articles written in English were included.</w:t>
            </w:r>
          </w:p>
          <w:p w14:paraId="22D48BAA" w14:textId="00332D93" w:rsidR="00841FFB" w:rsidRDefault="00841FFB" w:rsidP="00B82150">
            <w:pPr>
              <w:spacing w:before="120" w:after="120"/>
              <w:rPr>
                <w:sz w:val="18"/>
                <w:szCs w:val="18"/>
              </w:rPr>
            </w:pPr>
            <w:r w:rsidRPr="004D73D0">
              <w:rPr>
                <w:b/>
                <w:bCs/>
                <w:sz w:val="18"/>
                <w:szCs w:val="18"/>
              </w:rPr>
              <w:t>Methods:</w:t>
            </w:r>
            <w:r w:rsidR="004D73D0">
              <w:rPr>
                <w:sz w:val="18"/>
                <w:szCs w:val="18"/>
              </w:rPr>
              <w:t xml:space="preserve"> After determining the topic areas to be included in the CPG, a search was performed by a librarian to identify articles published between May 1, </w:t>
            </w:r>
            <w:proofErr w:type="gramStart"/>
            <w:r w:rsidR="004D73D0">
              <w:rPr>
                <w:sz w:val="18"/>
                <w:szCs w:val="18"/>
              </w:rPr>
              <w:t>2003</w:t>
            </w:r>
            <w:proofErr w:type="gramEnd"/>
            <w:r w:rsidR="004D73D0">
              <w:rPr>
                <w:sz w:val="18"/>
                <w:szCs w:val="18"/>
              </w:rPr>
              <w:t xml:space="preserve"> and May 2014 that included mobilization and anticoagulation therapy as they relate to prevention and treatment of VTE.  The authors reviewed 350 abstracts and 43 relevant CPGs from the databases</w:t>
            </w:r>
            <w:r w:rsidR="00C737F6">
              <w:rPr>
                <w:sz w:val="18"/>
                <w:szCs w:val="18"/>
              </w:rPr>
              <w:t xml:space="preserve"> to be considered for inclusion in the current CPG</w:t>
            </w:r>
            <w:proofErr w:type="gramStart"/>
            <w:r w:rsidR="00C737F6">
              <w:rPr>
                <w:sz w:val="18"/>
                <w:szCs w:val="18"/>
              </w:rPr>
              <w:t xml:space="preserve">.  </w:t>
            </w:r>
            <w:proofErr w:type="gramEnd"/>
            <w:r w:rsidR="00C737F6">
              <w:rPr>
                <w:sz w:val="18"/>
                <w:szCs w:val="18"/>
              </w:rPr>
              <w:t xml:space="preserve">Each article that was included was appraised </w:t>
            </w:r>
            <w:r w:rsidR="00810BFD">
              <w:rPr>
                <w:sz w:val="18"/>
                <w:szCs w:val="18"/>
              </w:rPr>
              <w:t xml:space="preserve">with a validated tool </w:t>
            </w:r>
            <w:r w:rsidR="00C737F6">
              <w:rPr>
                <w:sz w:val="18"/>
                <w:szCs w:val="18"/>
              </w:rPr>
              <w:t>by 3 individuals based on the study design</w:t>
            </w:r>
            <w:r w:rsidR="00810BFD">
              <w:rPr>
                <w:sz w:val="18"/>
                <w:szCs w:val="18"/>
              </w:rPr>
              <w:t>, including the Assessment of Multiple Systematic Reviews (AMSTAR) tool for systematic reviews</w:t>
            </w:r>
            <w:proofErr w:type="gramStart"/>
            <w:r w:rsidR="00810BFD">
              <w:rPr>
                <w:sz w:val="18"/>
                <w:szCs w:val="18"/>
              </w:rPr>
              <w:t xml:space="preserve">.  </w:t>
            </w:r>
            <w:proofErr w:type="gramEnd"/>
            <w:r w:rsidR="00810BFD">
              <w:rPr>
                <w:sz w:val="18"/>
                <w:szCs w:val="18"/>
              </w:rPr>
              <w:t>This information was used to assist in determining the level of evidence presented by each article</w:t>
            </w:r>
            <w:proofErr w:type="gramStart"/>
            <w:r w:rsidR="00810BFD">
              <w:rPr>
                <w:sz w:val="18"/>
                <w:szCs w:val="18"/>
              </w:rPr>
              <w:t>.</w:t>
            </w:r>
            <w:r w:rsidR="007A3219">
              <w:rPr>
                <w:sz w:val="18"/>
                <w:szCs w:val="18"/>
              </w:rPr>
              <w:t xml:space="preserve">  </w:t>
            </w:r>
            <w:proofErr w:type="gramEnd"/>
            <w:r w:rsidR="007A3219">
              <w:rPr>
                <w:sz w:val="18"/>
                <w:szCs w:val="18"/>
              </w:rPr>
              <w:t>External stakeholders including the American College of Chest Physicians, Society for Vascular Nursing</w:t>
            </w:r>
            <w:r w:rsidR="0042675E">
              <w:rPr>
                <w:sz w:val="18"/>
                <w:szCs w:val="18"/>
              </w:rPr>
              <w:t>, physical therapy clinicians and patient representatives were invited to review drafts of the CPG as it was developed</w:t>
            </w:r>
            <w:proofErr w:type="gramStart"/>
            <w:r w:rsidR="0042675E">
              <w:rPr>
                <w:sz w:val="18"/>
                <w:szCs w:val="18"/>
              </w:rPr>
              <w:t xml:space="preserve">.  </w:t>
            </w:r>
            <w:proofErr w:type="gramEnd"/>
            <w:r w:rsidR="007A3219">
              <w:rPr>
                <w:sz w:val="18"/>
                <w:szCs w:val="18"/>
              </w:rPr>
              <w:t>The results of th</w:t>
            </w:r>
            <w:r w:rsidR="0042675E">
              <w:rPr>
                <w:sz w:val="18"/>
                <w:szCs w:val="18"/>
              </w:rPr>
              <w:t xml:space="preserve">e literature </w:t>
            </w:r>
            <w:r w:rsidR="007A3219">
              <w:rPr>
                <w:sz w:val="18"/>
                <w:szCs w:val="18"/>
              </w:rPr>
              <w:t>search and appraisal were used to develop 14 key action statements with associated recommendation grades to guide clinical practice</w:t>
            </w:r>
            <w:r w:rsidR="0042675E">
              <w:rPr>
                <w:sz w:val="18"/>
                <w:szCs w:val="18"/>
              </w:rPr>
              <w:t xml:space="preserve"> related to prevention and treatment of VTE.</w:t>
            </w:r>
          </w:p>
          <w:p w14:paraId="63C5AC2C" w14:textId="77777777" w:rsidR="0000738B" w:rsidRDefault="00841FFB" w:rsidP="007E4B3C">
            <w:pPr>
              <w:spacing w:before="120" w:after="120"/>
              <w:rPr>
                <w:sz w:val="18"/>
                <w:szCs w:val="18"/>
              </w:rPr>
            </w:pPr>
            <w:r w:rsidRPr="004D73D0">
              <w:rPr>
                <w:b/>
                <w:bCs/>
                <w:sz w:val="18"/>
                <w:szCs w:val="18"/>
              </w:rPr>
              <w:t>Levels of Evidence and Grades of Recommendations:</w:t>
            </w:r>
            <w:r w:rsidR="00810BFD">
              <w:rPr>
                <w:b/>
                <w:bCs/>
                <w:sz w:val="18"/>
                <w:szCs w:val="18"/>
              </w:rPr>
              <w:t xml:space="preserve"> </w:t>
            </w:r>
            <w:proofErr w:type="gramStart"/>
            <w:r w:rsidR="00810BFD">
              <w:rPr>
                <w:sz w:val="18"/>
                <w:szCs w:val="18"/>
              </w:rPr>
              <w:t>In order to</w:t>
            </w:r>
            <w:proofErr w:type="gramEnd"/>
            <w:r w:rsidR="00810BFD">
              <w:rPr>
                <w:sz w:val="18"/>
                <w:szCs w:val="18"/>
              </w:rPr>
              <w:t xml:space="preserve"> determine the strength of recommendation for each key action statement, the level of evidence of each article discussed in a topic was determined.  Level I evidence was defined as studies of high-quality and low risk of bias according to a critical appraisal score of 50% or more on the respective tool</w:t>
            </w:r>
            <w:proofErr w:type="gramStart"/>
            <w:r w:rsidR="00810BFD">
              <w:rPr>
                <w:sz w:val="18"/>
                <w:szCs w:val="18"/>
              </w:rPr>
              <w:t xml:space="preserve">.  </w:t>
            </w:r>
            <w:proofErr w:type="gramEnd"/>
            <w:r w:rsidR="00810BFD">
              <w:rPr>
                <w:sz w:val="18"/>
                <w:szCs w:val="18"/>
              </w:rPr>
              <w:t>Level II evidence was defined as lower quality</w:t>
            </w:r>
            <w:r w:rsidR="007E4B3C">
              <w:rPr>
                <w:sz w:val="18"/>
                <w:szCs w:val="18"/>
              </w:rPr>
              <w:t xml:space="preserve"> studies, potentially with sources of bias such as improper randomization or no blinding of subjects/investigators</w:t>
            </w:r>
            <w:proofErr w:type="gramStart"/>
            <w:r w:rsidR="007E4B3C">
              <w:rPr>
                <w:sz w:val="18"/>
                <w:szCs w:val="18"/>
              </w:rPr>
              <w:t xml:space="preserve">.  </w:t>
            </w:r>
            <w:proofErr w:type="gramEnd"/>
            <w:r w:rsidR="007E4B3C">
              <w:rPr>
                <w:sz w:val="18"/>
                <w:szCs w:val="18"/>
              </w:rPr>
              <w:t>Level III evidence came from case-control studies or retrospective studies</w:t>
            </w:r>
            <w:proofErr w:type="gramStart"/>
            <w:r w:rsidR="007E4B3C">
              <w:rPr>
                <w:sz w:val="18"/>
                <w:szCs w:val="18"/>
              </w:rPr>
              <w:t xml:space="preserve">.  </w:t>
            </w:r>
            <w:proofErr w:type="gramEnd"/>
            <w:r w:rsidR="007E4B3C">
              <w:rPr>
                <w:sz w:val="18"/>
                <w:szCs w:val="18"/>
              </w:rPr>
              <w:t>Level IV evidence comes from case studies or case series (excluded from this CPG) and expert opinion is considered Level V evidence.</w:t>
            </w:r>
          </w:p>
          <w:p w14:paraId="7593CE0A" w14:textId="49BFED63" w:rsidR="007E4B3C" w:rsidRPr="002F16E1" w:rsidRDefault="007E4B3C" w:rsidP="007E4B3C">
            <w:pPr>
              <w:spacing w:before="120" w:after="120"/>
              <w:rPr>
                <w:sz w:val="18"/>
                <w:szCs w:val="18"/>
              </w:rPr>
            </w:pPr>
            <w:r>
              <w:rPr>
                <w:sz w:val="18"/>
                <w:szCs w:val="18"/>
              </w:rPr>
              <w:t>Recommendations were given grades to quickly describe the quality of evidence backing a statement. Grade A are strong recommendations which are developed from mostly Level I evidence, Grade B recommendations are developed from mostly Level II evidence, Grade C recommendations are weak and derived from low quality Level II studies or a majority of Level III and IV evidence</w:t>
            </w:r>
            <w:r w:rsidR="00F208B8">
              <w:rPr>
                <w:sz w:val="18"/>
                <w:szCs w:val="18"/>
              </w:rPr>
              <w:t>, Grade D recommendations are theoretical and come from evidence in animal or cadaver studies or expert opinion, Grade P signifies best practice and this recommendation is based on current accepted practice and expertise of authors, Grade R recommendations indicate that the literature is conflicted, and the recommendation is a synthesis of these conflicting conclusions.</w:t>
            </w:r>
            <w:r w:rsidR="00875B29">
              <w:rPr>
                <w:sz w:val="18"/>
                <w:szCs w:val="18"/>
              </w:rPr>
              <w:t xml:space="preserve">  Each author reviewed the literature related to each key action statement and voted to assign level of evidence and grade of recommendations.</w:t>
            </w:r>
          </w:p>
        </w:tc>
      </w:tr>
      <w:tr w:rsidR="0000738B" w:rsidRPr="002F16E1" w14:paraId="0DF500FA" w14:textId="77777777" w:rsidTr="00B82150">
        <w:tc>
          <w:tcPr>
            <w:tcW w:w="10421" w:type="dxa"/>
            <w:shd w:val="clear" w:color="auto" w:fill="E6E6E6"/>
          </w:tcPr>
          <w:p w14:paraId="34CA6E64" w14:textId="77777777" w:rsidR="0000738B" w:rsidRPr="002F16E1" w:rsidRDefault="0000738B" w:rsidP="00B82150">
            <w:pPr>
              <w:spacing w:before="120" w:after="120"/>
              <w:rPr>
                <w:b/>
                <w:sz w:val="18"/>
                <w:szCs w:val="18"/>
              </w:rPr>
            </w:pPr>
            <w:r w:rsidRPr="002F16E1">
              <w:rPr>
                <w:b/>
                <w:sz w:val="18"/>
                <w:szCs w:val="18"/>
              </w:rPr>
              <w:t>Setting</w:t>
            </w:r>
          </w:p>
          <w:p w14:paraId="54F9CB31" w14:textId="77777777" w:rsidR="0000738B" w:rsidRPr="002F16E1" w:rsidRDefault="0000738B" w:rsidP="00B82150">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D962707" w14:textId="77777777" w:rsidTr="00B82150">
        <w:tc>
          <w:tcPr>
            <w:tcW w:w="10421" w:type="dxa"/>
            <w:tcBorders>
              <w:bottom w:val="single" w:sz="4" w:space="0" w:color="auto"/>
            </w:tcBorders>
            <w:shd w:val="clear" w:color="auto" w:fill="auto"/>
          </w:tcPr>
          <w:p w14:paraId="4E1E5B01" w14:textId="6A5F2EBB" w:rsidR="0000738B" w:rsidRPr="002F16E1" w:rsidRDefault="00534730" w:rsidP="00332EB2">
            <w:pPr>
              <w:spacing w:before="120" w:after="120"/>
              <w:rPr>
                <w:sz w:val="18"/>
                <w:szCs w:val="18"/>
              </w:rPr>
            </w:pPr>
            <w:r>
              <w:rPr>
                <w:sz w:val="18"/>
                <w:szCs w:val="18"/>
              </w:rPr>
              <w:t xml:space="preserve">Focusing on the studies included for key action statements 7 and 8 that directly address my PICO, </w:t>
            </w:r>
            <w:r w:rsidR="00332EB2">
              <w:rPr>
                <w:sz w:val="18"/>
                <w:szCs w:val="18"/>
              </w:rPr>
              <w:t>studies occurred in a hospital setting as individuals had been diagnosed with DVT within the last 24 hours.</w:t>
            </w:r>
          </w:p>
        </w:tc>
      </w:tr>
      <w:tr w:rsidR="0000738B" w:rsidRPr="002F16E1" w14:paraId="24402B7E" w14:textId="77777777" w:rsidTr="00B82150">
        <w:tc>
          <w:tcPr>
            <w:tcW w:w="10421" w:type="dxa"/>
            <w:shd w:val="clear" w:color="auto" w:fill="E6E6E6"/>
          </w:tcPr>
          <w:p w14:paraId="04642671" w14:textId="77777777" w:rsidR="0000738B" w:rsidRPr="002F16E1" w:rsidRDefault="0000738B" w:rsidP="00B82150">
            <w:pPr>
              <w:spacing w:before="120" w:after="120"/>
              <w:rPr>
                <w:b/>
                <w:sz w:val="18"/>
                <w:szCs w:val="18"/>
              </w:rPr>
            </w:pPr>
            <w:r w:rsidRPr="002F16E1">
              <w:rPr>
                <w:b/>
                <w:sz w:val="18"/>
                <w:szCs w:val="18"/>
              </w:rPr>
              <w:t>Participants</w:t>
            </w:r>
          </w:p>
          <w:p w14:paraId="112369F0" w14:textId="77777777" w:rsidR="0000738B" w:rsidRDefault="0000738B" w:rsidP="00B82150">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w:t>
            </w:r>
            <w:proofErr w:type="gramStart"/>
            <w:r w:rsidRPr="002F16E1">
              <w:rPr>
                <w:sz w:val="18"/>
                <w:szCs w:val="18"/>
              </w:rPr>
              <w:t>variables;</w:t>
            </w:r>
            <w:proofErr w:type="gramEnd"/>
            <w:r w:rsidRPr="002F16E1">
              <w:rPr>
                <w:sz w:val="18"/>
                <w:szCs w:val="18"/>
              </w:rPr>
              <w:t xml:space="preserve"> number of dropouts if relevant, number available for follow-up]</w:t>
            </w:r>
          </w:p>
          <w:p w14:paraId="16A3C819" w14:textId="79F682B9" w:rsidR="0000738B" w:rsidRPr="002F16E1" w:rsidRDefault="0000738B" w:rsidP="00B82150">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3446731E" w14:textId="77777777" w:rsidTr="00B82150">
        <w:tc>
          <w:tcPr>
            <w:tcW w:w="10421" w:type="dxa"/>
            <w:tcBorders>
              <w:bottom w:val="single" w:sz="4" w:space="0" w:color="auto"/>
            </w:tcBorders>
            <w:shd w:val="clear" w:color="auto" w:fill="auto"/>
          </w:tcPr>
          <w:p w14:paraId="5EB7A7D6" w14:textId="64FB5828" w:rsidR="0000738B" w:rsidRDefault="005218C4" w:rsidP="00B82150">
            <w:pPr>
              <w:spacing w:before="120" w:after="120"/>
              <w:rPr>
                <w:sz w:val="18"/>
                <w:szCs w:val="18"/>
              </w:rPr>
            </w:pPr>
            <w:r>
              <w:rPr>
                <w:sz w:val="18"/>
                <w:szCs w:val="18"/>
              </w:rPr>
              <w:t xml:space="preserve">Each key action statement includes information about the population of included articles/participants related to that topic in the </w:t>
            </w:r>
            <w:r>
              <w:rPr>
                <w:rFonts w:ascii="Roboto" w:hAnsi="Roboto"/>
                <w:color w:val="111111"/>
                <w:shd w:val="clear" w:color="auto" w:fill="FFFFFF"/>
              </w:rPr>
              <w:t>“</w:t>
            </w:r>
            <w:r>
              <w:rPr>
                <w:sz w:val="18"/>
                <w:szCs w:val="18"/>
              </w:rPr>
              <w:t>summary of evidence</w:t>
            </w:r>
            <w:r w:rsidRPr="005218C4">
              <w:rPr>
                <w:sz w:val="18"/>
                <w:szCs w:val="18"/>
              </w:rPr>
              <w:t>”</w:t>
            </w:r>
            <w:r>
              <w:rPr>
                <w:sz w:val="18"/>
                <w:szCs w:val="18"/>
              </w:rPr>
              <w:t xml:space="preserve"> subheading. </w:t>
            </w:r>
            <w:proofErr w:type="gramStart"/>
            <w:r>
              <w:rPr>
                <w:sz w:val="18"/>
                <w:szCs w:val="18"/>
              </w:rPr>
              <w:t>The majority of</w:t>
            </w:r>
            <w:proofErr w:type="gramEnd"/>
            <w:r>
              <w:rPr>
                <w:sz w:val="18"/>
                <w:szCs w:val="18"/>
              </w:rPr>
              <w:t xml:space="preserve"> included articles studied hospitalized participants </w:t>
            </w:r>
            <w:r w:rsidR="00534730">
              <w:rPr>
                <w:sz w:val="18"/>
                <w:szCs w:val="18"/>
              </w:rPr>
              <w:t xml:space="preserve">and middle aged to older adults. </w:t>
            </w:r>
            <w:r w:rsidR="0003315F">
              <w:rPr>
                <w:sz w:val="18"/>
                <w:szCs w:val="18"/>
              </w:rPr>
              <w:t xml:space="preserve"> Participants were either at risk for developing VTE or diagnosed with a lower extremity DVT or PE via gold standard tools that include the presence of clinical signs as well as diagnostic imaging</w:t>
            </w:r>
            <w:proofErr w:type="gramStart"/>
            <w:r w:rsidR="0003315F">
              <w:rPr>
                <w:sz w:val="18"/>
                <w:szCs w:val="18"/>
              </w:rPr>
              <w:t>.</w:t>
            </w:r>
            <w:r w:rsidR="00534730">
              <w:rPr>
                <w:sz w:val="18"/>
                <w:szCs w:val="18"/>
              </w:rPr>
              <w:t xml:space="preserve">  </w:t>
            </w:r>
            <w:proofErr w:type="gramEnd"/>
            <w:r w:rsidR="00534730">
              <w:rPr>
                <w:sz w:val="18"/>
                <w:szCs w:val="18"/>
              </w:rPr>
              <w:t>Participants in studies that provided evidence for key action statements 7 and 8 all had diagnosed acute lower extremity DVTs.</w:t>
            </w:r>
          </w:p>
          <w:p w14:paraId="1971EEDE" w14:textId="77777777" w:rsidR="00AB09CD" w:rsidRPr="002F16E1" w:rsidRDefault="00AB09CD" w:rsidP="00B82150">
            <w:pPr>
              <w:spacing w:before="120" w:after="120"/>
              <w:rPr>
                <w:sz w:val="18"/>
                <w:szCs w:val="18"/>
              </w:rPr>
            </w:pPr>
          </w:p>
          <w:p w14:paraId="46AEA03F" w14:textId="77777777" w:rsidR="0000738B" w:rsidRPr="002F16E1" w:rsidRDefault="0000738B" w:rsidP="00B82150">
            <w:pPr>
              <w:spacing w:before="120" w:after="120"/>
              <w:jc w:val="right"/>
              <w:rPr>
                <w:sz w:val="18"/>
                <w:szCs w:val="18"/>
              </w:rPr>
            </w:pPr>
          </w:p>
        </w:tc>
      </w:tr>
      <w:tr w:rsidR="0000738B" w:rsidRPr="002F16E1" w14:paraId="7F9FB7F0" w14:textId="77777777" w:rsidTr="00B82150">
        <w:tc>
          <w:tcPr>
            <w:tcW w:w="10421" w:type="dxa"/>
            <w:shd w:val="clear" w:color="auto" w:fill="E6E6E6"/>
          </w:tcPr>
          <w:p w14:paraId="0DBB24C3" w14:textId="77777777" w:rsidR="0000738B" w:rsidRPr="002F16E1" w:rsidRDefault="0000738B" w:rsidP="00B82150">
            <w:pPr>
              <w:spacing w:before="120" w:after="120"/>
              <w:rPr>
                <w:b/>
                <w:sz w:val="18"/>
                <w:szCs w:val="18"/>
              </w:rPr>
            </w:pPr>
            <w:r w:rsidRPr="002F16E1">
              <w:rPr>
                <w:b/>
                <w:sz w:val="18"/>
                <w:szCs w:val="18"/>
              </w:rPr>
              <w:lastRenderedPageBreak/>
              <w:t>Intervention Investigated</w:t>
            </w:r>
          </w:p>
          <w:p w14:paraId="5F7DFEAA" w14:textId="77777777" w:rsidR="0000738B" w:rsidRPr="002F16E1" w:rsidRDefault="0000738B" w:rsidP="00B82150">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A16A0CB" w14:textId="77777777" w:rsidTr="00B82150">
        <w:tc>
          <w:tcPr>
            <w:tcW w:w="10421" w:type="dxa"/>
            <w:shd w:val="clear" w:color="auto" w:fill="auto"/>
          </w:tcPr>
          <w:p w14:paraId="2D607FE1" w14:textId="77777777" w:rsidR="0000738B" w:rsidRPr="002F16E1" w:rsidRDefault="0000738B" w:rsidP="00B82150">
            <w:pPr>
              <w:spacing w:before="120" w:after="120"/>
              <w:rPr>
                <w:i/>
                <w:sz w:val="18"/>
                <w:szCs w:val="18"/>
              </w:rPr>
            </w:pPr>
            <w:r w:rsidRPr="002F16E1">
              <w:rPr>
                <w:i/>
                <w:sz w:val="18"/>
                <w:szCs w:val="18"/>
              </w:rPr>
              <w:t>Control</w:t>
            </w:r>
          </w:p>
        </w:tc>
      </w:tr>
      <w:tr w:rsidR="0000738B" w:rsidRPr="002F16E1" w14:paraId="36560B32" w14:textId="77777777" w:rsidTr="00B82150">
        <w:tc>
          <w:tcPr>
            <w:tcW w:w="10421" w:type="dxa"/>
            <w:shd w:val="clear" w:color="auto" w:fill="auto"/>
          </w:tcPr>
          <w:p w14:paraId="69D89EEE" w14:textId="167DEC30" w:rsidR="0000738B" w:rsidRPr="002F16E1" w:rsidRDefault="00332EB2" w:rsidP="00C5651E">
            <w:pPr>
              <w:spacing w:before="120" w:after="120"/>
              <w:rPr>
                <w:sz w:val="18"/>
                <w:szCs w:val="18"/>
              </w:rPr>
            </w:pPr>
            <w:r>
              <w:rPr>
                <w:sz w:val="18"/>
                <w:szCs w:val="18"/>
              </w:rPr>
              <w:t>Very little specific information is included about the definition</w:t>
            </w:r>
            <w:r w:rsidR="00C5651E">
              <w:rPr>
                <w:sz w:val="18"/>
                <w:szCs w:val="18"/>
              </w:rPr>
              <w:t>/duration</w:t>
            </w:r>
            <w:r>
              <w:rPr>
                <w:sz w:val="18"/>
                <w:szCs w:val="18"/>
              </w:rPr>
              <w:t xml:space="preserve"> of bed rest in the </w:t>
            </w:r>
            <w:r w:rsidR="00C5651E">
              <w:rPr>
                <w:sz w:val="18"/>
                <w:szCs w:val="18"/>
              </w:rPr>
              <w:t>current CPG, however investigation into included evidence suggests bed rest of at least 3 days was the treatment provided.</w:t>
            </w:r>
          </w:p>
        </w:tc>
      </w:tr>
      <w:tr w:rsidR="0000738B" w:rsidRPr="002F16E1" w14:paraId="5876F255" w14:textId="77777777" w:rsidTr="00B82150">
        <w:tc>
          <w:tcPr>
            <w:tcW w:w="10421" w:type="dxa"/>
            <w:shd w:val="clear" w:color="auto" w:fill="auto"/>
          </w:tcPr>
          <w:p w14:paraId="1DF844DF" w14:textId="77777777" w:rsidR="0000738B" w:rsidRPr="002F16E1" w:rsidRDefault="0000738B" w:rsidP="00B82150">
            <w:pPr>
              <w:spacing w:before="120" w:after="120"/>
              <w:rPr>
                <w:i/>
                <w:sz w:val="18"/>
                <w:szCs w:val="18"/>
              </w:rPr>
            </w:pPr>
            <w:r w:rsidRPr="002F16E1">
              <w:rPr>
                <w:i/>
                <w:sz w:val="18"/>
                <w:szCs w:val="18"/>
              </w:rPr>
              <w:t>Experimental</w:t>
            </w:r>
          </w:p>
        </w:tc>
      </w:tr>
      <w:tr w:rsidR="0000738B" w:rsidRPr="002F16E1" w14:paraId="26D7282C" w14:textId="77777777" w:rsidTr="00B82150">
        <w:tc>
          <w:tcPr>
            <w:tcW w:w="10421" w:type="dxa"/>
            <w:tcBorders>
              <w:bottom w:val="single" w:sz="4" w:space="0" w:color="auto"/>
            </w:tcBorders>
            <w:shd w:val="clear" w:color="auto" w:fill="auto"/>
          </w:tcPr>
          <w:p w14:paraId="05ABB1F8" w14:textId="508D4B29" w:rsidR="0000738B" w:rsidRPr="002F16E1" w:rsidRDefault="00C5651E" w:rsidP="00C5651E">
            <w:pPr>
              <w:spacing w:before="120" w:after="120"/>
              <w:rPr>
                <w:sz w:val="18"/>
                <w:szCs w:val="18"/>
              </w:rPr>
            </w:pPr>
            <w:r>
              <w:rPr>
                <w:sz w:val="18"/>
                <w:szCs w:val="18"/>
              </w:rPr>
              <w:t>Ambulation was initiated when patients reached therapeutic levels of prescribed anti-coagulants</w:t>
            </w:r>
            <w:proofErr w:type="gramStart"/>
            <w:r>
              <w:rPr>
                <w:sz w:val="18"/>
                <w:szCs w:val="18"/>
              </w:rPr>
              <w:t xml:space="preserve">.  </w:t>
            </w:r>
            <w:proofErr w:type="gramEnd"/>
            <w:r>
              <w:rPr>
                <w:sz w:val="18"/>
                <w:szCs w:val="18"/>
              </w:rPr>
              <w:t xml:space="preserve">Specifics about exercise prescription </w:t>
            </w:r>
            <w:r w:rsidR="000F2902">
              <w:rPr>
                <w:sz w:val="18"/>
                <w:szCs w:val="18"/>
              </w:rPr>
              <w:t xml:space="preserve">like duration, intensity and frequency </w:t>
            </w:r>
            <w:r>
              <w:rPr>
                <w:sz w:val="18"/>
                <w:szCs w:val="18"/>
              </w:rPr>
              <w:t>were not included in this CPG.</w:t>
            </w:r>
          </w:p>
        </w:tc>
      </w:tr>
      <w:tr w:rsidR="0000738B" w:rsidRPr="002F16E1" w14:paraId="366F19F7" w14:textId="77777777" w:rsidTr="00B82150">
        <w:tc>
          <w:tcPr>
            <w:tcW w:w="10421" w:type="dxa"/>
            <w:shd w:val="clear" w:color="auto" w:fill="E6E6E6"/>
          </w:tcPr>
          <w:p w14:paraId="272CF8DA" w14:textId="77777777" w:rsidR="0000738B" w:rsidRPr="002F16E1" w:rsidRDefault="0000738B" w:rsidP="00B82150">
            <w:pPr>
              <w:spacing w:before="120" w:after="120"/>
              <w:rPr>
                <w:sz w:val="18"/>
                <w:szCs w:val="18"/>
              </w:rPr>
            </w:pPr>
            <w:r w:rsidRPr="002F16E1">
              <w:rPr>
                <w:b/>
                <w:sz w:val="18"/>
                <w:szCs w:val="18"/>
              </w:rPr>
              <w:t>Outcome Measures</w:t>
            </w:r>
          </w:p>
          <w:p w14:paraId="03538702" w14:textId="77777777" w:rsidR="0000738B" w:rsidRPr="002F16E1" w:rsidRDefault="0000738B" w:rsidP="00B82150">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proofErr w:type="gramStart"/>
            <w:r w:rsidRPr="002F16E1">
              <w:rPr>
                <w:sz w:val="18"/>
                <w:szCs w:val="18"/>
              </w:rPr>
              <w:t>score</w:t>
            </w:r>
            <w:proofErr w:type="gramEnd"/>
            <w:r w:rsidRPr="002F16E1">
              <w:rPr>
                <w:sz w:val="18"/>
                <w:szCs w:val="18"/>
              </w:rPr>
              <w:t xml:space="preserve"> and range for each measure, administered by whom, where</w:t>
            </w:r>
            <w:r>
              <w:rPr>
                <w:sz w:val="18"/>
                <w:szCs w:val="18"/>
              </w:rPr>
              <w:t>]</w:t>
            </w:r>
          </w:p>
        </w:tc>
      </w:tr>
      <w:tr w:rsidR="0000738B" w:rsidRPr="002F16E1" w14:paraId="21A3852F" w14:textId="77777777" w:rsidTr="00B82150">
        <w:tc>
          <w:tcPr>
            <w:tcW w:w="10421" w:type="dxa"/>
            <w:tcBorders>
              <w:bottom w:val="single" w:sz="4" w:space="0" w:color="auto"/>
            </w:tcBorders>
            <w:shd w:val="clear" w:color="auto" w:fill="auto"/>
          </w:tcPr>
          <w:p w14:paraId="4AF12EF7" w14:textId="56BC8135" w:rsidR="0000738B" w:rsidRPr="002F16E1" w:rsidRDefault="00C5651E" w:rsidP="003F0ADD">
            <w:pPr>
              <w:spacing w:before="120" w:after="120"/>
              <w:rPr>
                <w:sz w:val="18"/>
                <w:szCs w:val="18"/>
              </w:rPr>
            </w:pPr>
            <w:r>
              <w:rPr>
                <w:sz w:val="18"/>
                <w:szCs w:val="18"/>
              </w:rPr>
              <w:t>Included articles measured mainly new pulmonary embolisms and progression</w:t>
            </w:r>
            <w:r w:rsidR="003F0ADD">
              <w:rPr>
                <w:sz w:val="18"/>
                <w:szCs w:val="18"/>
              </w:rPr>
              <w:t xml:space="preserve"> or extension</w:t>
            </w:r>
            <w:r>
              <w:rPr>
                <w:sz w:val="18"/>
                <w:szCs w:val="18"/>
              </w:rPr>
              <w:t xml:space="preserve"> of deep vein thrombosis via </w:t>
            </w:r>
            <w:proofErr w:type="spellStart"/>
            <w:r>
              <w:rPr>
                <w:sz w:val="18"/>
                <w:szCs w:val="18"/>
              </w:rPr>
              <w:t>scinctigraphy</w:t>
            </w:r>
            <w:proofErr w:type="spellEnd"/>
            <w:r>
              <w:rPr>
                <w:sz w:val="18"/>
                <w:szCs w:val="18"/>
              </w:rPr>
              <w:t xml:space="preserve"> or CT scan</w:t>
            </w:r>
            <w:r w:rsidR="000F2902">
              <w:rPr>
                <w:sz w:val="18"/>
                <w:szCs w:val="18"/>
              </w:rPr>
              <w:t xml:space="preserve"> (this occurred on average 7 days after initiation of intervention)</w:t>
            </w:r>
            <w:r>
              <w:rPr>
                <w:sz w:val="18"/>
                <w:szCs w:val="18"/>
              </w:rPr>
              <w:t>; but some investigated pain with VAS scale</w:t>
            </w:r>
            <w:r w:rsidR="003F0ADD">
              <w:rPr>
                <w:sz w:val="18"/>
                <w:szCs w:val="18"/>
              </w:rPr>
              <w:t xml:space="preserve">, leg circumference as a measure of </w:t>
            </w:r>
            <w:proofErr w:type="spellStart"/>
            <w:r w:rsidR="003F0ADD">
              <w:rPr>
                <w:sz w:val="18"/>
                <w:szCs w:val="18"/>
              </w:rPr>
              <w:t>edema</w:t>
            </w:r>
            <w:proofErr w:type="spellEnd"/>
            <w:r w:rsidR="000F2902">
              <w:rPr>
                <w:sz w:val="18"/>
                <w:szCs w:val="18"/>
              </w:rPr>
              <w:t>, both of which were measured at baseline and after a set time frame at intervals of around 7 days and 3 months after initiation of treatment</w:t>
            </w:r>
            <w:proofErr w:type="gramStart"/>
            <w:r w:rsidR="000F2902">
              <w:rPr>
                <w:sz w:val="18"/>
                <w:szCs w:val="18"/>
              </w:rPr>
              <w:t xml:space="preserve">.  </w:t>
            </w:r>
            <w:proofErr w:type="gramEnd"/>
            <w:r w:rsidR="000F2902">
              <w:rPr>
                <w:sz w:val="18"/>
                <w:szCs w:val="18"/>
              </w:rPr>
              <w:t>Some articles investigated the d</w:t>
            </w:r>
            <w:r w:rsidR="003F0ADD">
              <w:rPr>
                <w:sz w:val="18"/>
                <w:szCs w:val="18"/>
              </w:rPr>
              <w:t>evelopment of long-term post-thrombotic syndrome symptoms</w:t>
            </w:r>
            <w:r w:rsidR="000F2902">
              <w:rPr>
                <w:sz w:val="18"/>
                <w:szCs w:val="18"/>
              </w:rPr>
              <w:t xml:space="preserve"> after 6 or 12 months.</w:t>
            </w:r>
          </w:p>
        </w:tc>
      </w:tr>
      <w:tr w:rsidR="0000738B" w:rsidRPr="002F16E1" w14:paraId="49C30685" w14:textId="77777777" w:rsidTr="00B82150">
        <w:tc>
          <w:tcPr>
            <w:tcW w:w="10421" w:type="dxa"/>
            <w:tcBorders>
              <w:bottom w:val="single" w:sz="4" w:space="0" w:color="auto"/>
            </w:tcBorders>
            <w:shd w:val="clear" w:color="auto" w:fill="E6E6E6"/>
          </w:tcPr>
          <w:p w14:paraId="1939328B" w14:textId="77777777" w:rsidR="0000738B" w:rsidRPr="002F16E1" w:rsidRDefault="0000738B" w:rsidP="00B82150">
            <w:pPr>
              <w:spacing w:before="120" w:after="120"/>
              <w:rPr>
                <w:b/>
                <w:sz w:val="18"/>
                <w:szCs w:val="18"/>
              </w:rPr>
            </w:pPr>
            <w:r w:rsidRPr="002F16E1">
              <w:rPr>
                <w:b/>
                <w:sz w:val="18"/>
                <w:szCs w:val="18"/>
              </w:rPr>
              <w:t>Main Findings</w:t>
            </w:r>
          </w:p>
          <w:p w14:paraId="4254C980" w14:textId="77777777" w:rsidR="0000738B" w:rsidRPr="002F16E1" w:rsidRDefault="0000738B" w:rsidP="00B82150">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56774A6D" w14:textId="77777777" w:rsidTr="00B82150">
        <w:tc>
          <w:tcPr>
            <w:tcW w:w="10421" w:type="dxa"/>
            <w:tcBorders>
              <w:bottom w:val="single" w:sz="4" w:space="0" w:color="auto"/>
            </w:tcBorders>
            <w:shd w:val="clear" w:color="auto" w:fill="auto"/>
          </w:tcPr>
          <w:p w14:paraId="59DE000B" w14:textId="089FC64F" w:rsidR="0000738B" w:rsidRDefault="001225F5" w:rsidP="00B82150">
            <w:pPr>
              <w:spacing w:before="120" w:after="120"/>
              <w:rPr>
                <w:sz w:val="18"/>
                <w:szCs w:val="18"/>
              </w:rPr>
            </w:pPr>
            <w:r>
              <w:rPr>
                <w:sz w:val="18"/>
                <w:szCs w:val="18"/>
              </w:rPr>
              <w:t>Due to the nature of the CPG, tables of specific statistical analysis were not included</w:t>
            </w:r>
            <w:proofErr w:type="gramStart"/>
            <w:r>
              <w:rPr>
                <w:sz w:val="18"/>
                <w:szCs w:val="18"/>
              </w:rPr>
              <w:t xml:space="preserve">.  </w:t>
            </w:r>
            <w:proofErr w:type="gramEnd"/>
            <w:r w:rsidR="003F0ADD">
              <w:rPr>
                <w:sz w:val="18"/>
                <w:szCs w:val="18"/>
              </w:rPr>
              <w:t>The key action statements 7 and 8 are directly relevant to my clinical question</w:t>
            </w:r>
            <w:proofErr w:type="gramStart"/>
            <w:r w:rsidR="003F0ADD">
              <w:rPr>
                <w:sz w:val="18"/>
                <w:szCs w:val="18"/>
              </w:rPr>
              <w:t xml:space="preserve">.  </w:t>
            </w:r>
            <w:proofErr w:type="gramEnd"/>
            <w:r w:rsidR="003F0ADD">
              <w:rPr>
                <w:sz w:val="18"/>
                <w:szCs w:val="18"/>
              </w:rPr>
              <w:t>While American College of Chest Physician guidelines include strong evidence that anticoagulation therapy be initiated immediately after diagnosis of DVT, the current CPG was only able to issue a Grade D recommendation that physical therapists verify the type of anti-coagulant the patient was prescribed and when it was initiated</w:t>
            </w:r>
            <w:proofErr w:type="gramStart"/>
            <w:r w:rsidR="003F0ADD">
              <w:rPr>
                <w:sz w:val="18"/>
                <w:szCs w:val="18"/>
              </w:rPr>
              <w:t xml:space="preserve">.  </w:t>
            </w:r>
            <w:proofErr w:type="gramEnd"/>
            <w:r w:rsidR="003F0ADD">
              <w:rPr>
                <w:sz w:val="18"/>
                <w:szCs w:val="18"/>
              </w:rPr>
              <w:t xml:space="preserve">This recommendation is based on expert opinion of the </w:t>
            </w:r>
            <w:r>
              <w:rPr>
                <w:sz w:val="18"/>
                <w:szCs w:val="18"/>
              </w:rPr>
              <w:t>authors and experience from other practicing clinicians</w:t>
            </w:r>
            <w:proofErr w:type="gramStart"/>
            <w:r>
              <w:rPr>
                <w:sz w:val="18"/>
                <w:szCs w:val="18"/>
              </w:rPr>
              <w:t xml:space="preserve">.  </w:t>
            </w:r>
            <w:proofErr w:type="gramEnd"/>
            <w:r>
              <w:rPr>
                <w:sz w:val="18"/>
                <w:szCs w:val="18"/>
              </w:rPr>
              <w:t>There is however strong evidence to support that mobilization is contraindicated before proper anticoagulation levels have been reached (or medical management of another kind for those with bleeding disorders</w:t>
            </w:r>
            <w:r w:rsidR="00285C48">
              <w:rPr>
                <w:sz w:val="18"/>
                <w:szCs w:val="18"/>
              </w:rPr>
              <w:t xml:space="preserve"> such as IVC filter placement</w:t>
            </w:r>
            <w:r>
              <w:rPr>
                <w:sz w:val="18"/>
                <w:szCs w:val="18"/>
              </w:rPr>
              <w:t>)</w:t>
            </w:r>
            <w:proofErr w:type="gramStart"/>
            <w:r>
              <w:rPr>
                <w:sz w:val="18"/>
                <w:szCs w:val="18"/>
              </w:rPr>
              <w:t xml:space="preserve">.  </w:t>
            </w:r>
            <w:proofErr w:type="gramEnd"/>
            <w:r>
              <w:rPr>
                <w:sz w:val="18"/>
                <w:szCs w:val="18"/>
              </w:rPr>
              <w:t>This CPG has compiled a list of common anticoagulants and the time it takes after administration to reach peak therapeutic levels</w:t>
            </w:r>
            <w:proofErr w:type="gramStart"/>
            <w:r>
              <w:rPr>
                <w:sz w:val="18"/>
                <w:szCs w:val="18"/>
              </w:rPr>
              <w:t xml:space="preserve">.  </w:t>
            </w:r>
            <w:r w:rsidR="0075053E">
              <w:rPr>
                <w:sz w:val="18"/>
                <w:szCs w:val="18"/>
              </w:rPr>
              <w:t>As a general rule</w:t>
            </w:r>
            <w:proofErr w:type="gramEnd"/>
            <w:r w:rsidR="0075053E">
              <w:rPr>
                <w:sz w:val="18"/>
                <w:szCs w:val="18"/>
              </w:rPr>
              <w:t xml:space="preserve">, physical therapists should double check with the physician if attempting to mobilize a patient before the high end of the range of </w:t>
            </w:r>
            <w:r w:rsidR="002C0102">
              <w:rPr>
                <w:sz w:val="18"/>
                <w:szCs w:val="18"/>
              </w:rPr>
              <w:t xml:space="preserve">time to </w:t>
            </w:r>
            <w:r w:rsidR="0075053E">
              <w:rPr>
                <w:sz w:val="18"/>
                <w:szCs w:val="18"/>
              </w:rPr>
              <w:t xml:space="preserve">peak therapeutic level.  </w:t>
            </w:r>
            <w:r w:rsidR="00035307">
              <w:rPr>
                <w:sz w:val="18"/>
                <w:szCs w:val="18"/>
              </w:rPr>
              <w:t xml:space="preserve">For patients prescribed </w:t>
            </w:r>
            <w:r w:rsidR="00993179">
              <w:rPr>
                <w:sz w:val="18"/>
                <w:szCs w:val="18"/>
              </w:rPr>
              <w:t>Coumadin, International Normalized Ratio (INR) values are used to determine appropriateness for ambulation rather than time since administration</w:t>
            </w:r>
            <w:proofErr w:type="gramStart"/>
            <w:r w:rsidR="00993179">
              <w:rPr>
                <w:sz w:val="18"/>
                <w:szCs w:val="18"/>
              </w:rPr>
              <w:t xml:space="preserve">.  </w:t>
            </w:r>
            <w:proofErr w:type="gramEnd"/>
            <w:r w:rsidR="0075053E">
              <w:rPr>
                <w:sz w:val="18"/>
                <w:szCs w:val="18"/>
              </w:rPr>
              <w:t>If patients have had an IVC filter placed, they are also appropriate for mobilization</w:t>
            </w:r>
            <w:proofErr w:type="gramStart"/>
            <w:r w:rsidR="0075053E">
              <w:rPr>
                <w:sz w:val="18"/>
                <w:szCs w:val="18"/>
              </w:rPr>
              <w:t xml:space="preserve">.  </w:t>
            </w:r>
            <w:proofErr w:type="gramEnd"/>
            <w:r>
              <w:rPr>
                <w:sz w:val="18"/>
                <w:szCs w:val="18"/>
              </w:rPr>
              <w:t>This information is summarized in the following table.</w:t>
            </w:r>
          </w:p>
          <w:tbl>
            <w:tblPr>
              <w:tblStyle w:val="TableGrid"/>
              <w:tblW w:w="0" w:type="auto"/>
              <w:tblLook w:val="04A0" w:firstRow="1" w:lastRow="0" w:firstColumn="1" w:lastColumn="0" w:noHBand="0" w:noVBand="1"/>
            </w:tblPr>
            <w:tblGrid>
              <w:gridCol w:w="3323"/>
              <w:gridCol w:w="3323"/>
              <w:gridCol w:w="3323"/>
            </w:tblGrid>
            <w:tr w:rsidR="00F035DA" w14:paraId="6D55697E" w14:textId="77777777" w:rsidTr="00F035DA">
              <w:tc>
                <w:tcPr>
                  <w:tcW w:w="3323" w:type="dxa"/>
                </w:tcPr>
                <w:p w14:paraId="691CACBE" w14:textId="7CD267BA" w:rsidR="00F035DA" w:rsidRDefault="00F035DA" w:rsidP="00B82150">
                  <w:pPr>
                    <w:spacing w:before="120" w:after="120"/>
                    <w:rPr>
                      <w:sz w:val="18"/>
                      <w:szCs w:val="18"/>
                    </w:rPr>
                  </w:pPr>
                  <w:r>
                    <w:rPr>
                      <w:sz w:val="18"/>
                      <w:szCs w:val="18"/>
                    </w:rPr>
                    <w:t>Drug Class (Common Names)</w:t>
                  </w:r>
                </w:p>
              </w:tc>
              <w:tc>
                <w:tcPr>
                  <w:tcW w:w="3323" w:type="dxa"/>
                </w:tcPr>
                <w:p w14:paraId="0C1BDC81" w14:textId="2374A2AC" w:rsidR="00F035DA" w:rsidRDefault="00F035DA" w:rsidP="00B82150">
                  <w:pPr>
                    <w:spacing w:before="120" w:after="120"/>
                    <w:rPr>
                      <w:sz w:val="18"/>
                      <w:szCs w:val="18"/>
                    </w:rPr>
                  </w:pPr>
                  <w:r>
                    <w:rPr>
                      <w:sz w:val="18"/>
                      <w:szCs w:val="18"/>
                    </w:rPr>
                    <w:t>Time to Peak Therapeutic Level</w:t>
                  </w:r>
                </w:p>
              </w:tc>
              <w:tc>
                <w:tcPr>
                  <w:tcW w:w="3323" w:type="dxa"/>
                </w:tcPr>
                <w:p w14:paraId="23E6EE6C" w14:textId="76E6E279" w:rsidR="00F035DA" w:rsidRDefault="00F035DA" w:rsidP="00B82150">
                  <w:pPr>
                    <w:spacing w:before="120" w:after="120"/>
                    <w:rPr>
                      <w:sz w:val="18"/>
                      <w:szCs w:val="18"/>
                    </w:rPr>
                  </w:pPr>
                  <w:r>
                    <w:rPr>
                      <w:sz w:val="18"/>
                      <w:szCs w:val="18"/>
                    </w:rPr>
                    <w:t>When to Check with Physician before mobilization</w:t>
                  </w:r>
                </w:p>
              </w:tc>
            </w:tr>
            <w:tr w:rsidR="00F035DA" w14:paraId="64BC4742" w14:textId="77777777" w:rsidTr="00F035DA">
              <w:tc>
                <w:tcPr>
                  <w:tcW w:w="3323" w:type="dxa"/>
                </w:tcPr>
                <w:p w14:paraId="00BCF2D3" w14:textId="4829580F" w:rsidR="00F035DA" w:rsidRDefault="00F035DA" w:rsidP="00B82150">
                  <w:pPr>
                    <w:spacing w:before="120" w:after="120"/>
                    <w:rPr>
                      <w:sz w:val="18"/>
                      <w:szCs w:val="18"/>
                    </w:rPr>
                  </w:pPr>
                  <w:r>
                    <w:rPr>
                      <w:sz w:val="18"/>
                      <w:szCs w:val="18"/>
                    </w:rPr>
                    <w:t>Low molecular weight heparin (</w:t>
                  </w:r>
                  <w:proofErr w:type="spellStart"/>
                  <w:r>
                    <w:rPr>
                      <w:sz w:val="18"/>
                      <w:szCs w:val="18"/>
                    </w:rPr>
                    <w:t>Lovenox</w:t>
                  </w:r>
                  <w:proofErr w:type="spellEnd"/>
                  <w:r>
                    <w:rPr>
                      <w:sz w:val="18"/>
                      <w:szCs w:val="18"/>
                    </w:rPr>
                    <w:t xml:space="preserve">, </w:t>
                  </w:r>
                  <w:proofErr w:type="spellStart"/>
                  <w:r>
                    <w:rPr>
                      <w:sz w:val="18"/>
                      <w:szCs w:val="18"/>
                    </w:rPr>
                    <w:t>Fragmin</w:t>
                  </w:r>
                  <w:proofErr w:type="spellEnd"/>
                  <w:r>
                    <w:rPr>
                      <w:sz w:val="18"/>
                      <w:szCs w:val="18"/>
                    </w:rPr>
                    <w:t xml:space="preserve">, Enoxaparin, </w:t>
                  </w:r>
                  <w:proofErr w:type="spellStart"/>
                  <w:r>
                    <w:rPr>
                      <w:sz w:val="18"/>
                      <w:szCs w:val="18"/>
                    </w:rPr>
                    <w:t>Innohep</w:t>
                  </w:r>
                  <w:proofErr w:type="spellEnd"/>
                  <w:r>
                    <w:rPr>
                      <w:sz w:val="18"/>
                      <w:szCs w:val="18"/>
                    </w:rPr>
                    <w:t>)</w:t>
                  </w:r>
                </w:p>
              </w:tc>
              <w:tc>
                <w:tcPr>
                  <w:tcW w:w="3323" w:type="dxa"/>
                </w:tcPr>
                <w:p w14:paraId="6BBC396E" w14:textId="5D7533AC" w:rsidR="00F035DA" w:rsidRDefault="00F035DA" w:rsidP="00B82150">
                  <w:pPr>
                    <w:spacing w:before="120" w:after="120"/>
                    <w:rPr>
                      <w:sz w:val="18"/>
                      <w:szCs w:val="18"/>
                    </w:rPr>
                  </w:pPr>
                  <w:r>
                    <w:rPr>
                      <w:sz w:val="18"/>
                      <w:szCs w:val="18"/>
                    </w:rPr>
                    <w:t>3-5 hours</w:t>
                  </w:r>
                </w:p>
              </w:tc>
              <w:tc>
                <w:tcPr>
                  <w:tcW w:w="3323" w:type="dxa"/>
                </w:tcPr>
                <w:p w14:paraId="2EF41452" w14:textId="7B4E893A" w:rsidR="00F035DA" w:rsidRDefault="00F035DA" w:rsidP="00B82150">
                  <w:pPr>
                    <w:spacing w:before="120" w:after="120"/>
                    <w:rPr>
                      <w:sz w:val="18"/>
                      <w:szCs w:val="18"/>
                    </w:rPr>
                  </w:pPr>
                  <w:r>
                    <w:rPr>
                      <w:sz w:val="18"/>
                      <w:szCs w:val="18"/>
                    </w:rPr>
                    <w:t>&lt;5 hours since administration</w:t>
                  </w:r>
                </w:p>
              </w:tc>
            </w:tr>
            <w:tr w:rsidR="00F035DA" w14:paraId="590B40BB" w14:textId="77777777" w:rsidTr="00F035DA">
              <w:tc>
                <w:tcPr>
                  <w:tcW w:w="3323" w:type="dxa"/>
                </w:tcPr>
                <w:p w14:paraId="26069508" w14:textId="16183661" w:rsidR="00F035DA" w:rsidRDefault="00F035DA" w:rsidP="00B82150">
                  <w:pPr>
                    <w:spacing w:before="120" w:after="120"/>
                    <w:rPr>
                      <w:sz w:val="18"/>
                      <w:szCs w:val="18"/>
                    </w:rPr>
                  </w:pPr>
                  <w:r>
                    <w:rPr>
                      <w:sz w:val="18"/>
                      <w:szCs w:val="18"/>
                    </w:rPr>
                    <w:t>Unfractionated heparin (Heparin)</w:t>
                  </w:r>
                </w:p>
              </w:tc>
              <w:tc>
                <w:tcPr>
                  <w:tcW w:w="3323" w:type="dxa"/>
                </w:tcPr>
                <w:p w14:paraId="65901684" w14:textId="1328F4CF" w:rsidR="00F035DA" w:rsidRDefault="00F035DA" w:rsidP="00B82150">
                  <w:pPr>
                    <w:spacing w:before="120" w:after="120"/>
                    <w:rPr>
                      <w:sz w:val="18"/>
                      <w:szCs w:val="18"/>
                    </w:rPr>
                  </w:pPr>
                  <w:r>
                    <w:rPr>
                      <w:sz w:val="18"/>
                      <w:szCs w:val="18"/>
                    </w:rPr>
                    <w:t>24-48 hours</w:t>
                  </w:r>
                </w:p>
              </w:tc>
              <w:tc>
                <w:tcPr>
                  <w:tcW w:w="3323" w:type="dxa"/>
                </w:tcPr>
                <w:p w14:paraId="63BCB226" w14:textId="6D0C278C" w:rsidR="00F035DA" w:rsidRDefault="00F035DA" w:rsidP="00B82150">
                  <w:pPr>
                    <w:spacing w:before="120" w:after="120"/>
                    <w:rPr>
                      <w:sz w:val="18"/>
                      <w:szCs w:val="18"/>
                    </w:rPr>
                  </w:pPr>
                  <w:r>
                    <w:rPr>
                      <w:sz w:val="18"/>
                      <w:szCs w:val="18"/>
                    </w:rPr>
                    <w:t>&lt;48 hours since administration</w:t>
                  </w:r>
                </w:p>
              </w:tc>
            </w:tr>
            <w:tr w:rsidR="00F035DA" w14:paraId="292D0005" w14:textId="77777777" w:rsidTr="00F035DA">
              <w:tc>
                <w:tcPr>
                  <w:tcW w:w="3323" w:type="dxa"/>
                </w:tcPr>
                <w:p w14:paraId="1FBF397A" w14:textId="13E26708" w:rsidR="00F035DA" w:rsidRDefault="00F035DA" w:rsidP="00B82150">
                  <w:pPr>
                    <w:spacing w:before="120" w:after="120"/>
                    <w:rPr>
                      <w:sz w:val="18"/>
                      <w:szCs w:val="18"/>
                    </w:rPr>
                  </w:pPr>
                  <w:r>
                    <w:rPr>
                      <w:sz w:val="18"/>
                      <w:szCs w:val="18"/>
                    </w:rPr>
                    <w:t>Fondaparinux (</w:t>
                  </w:r>
                  <w:proofErr w:type="spellStart"/>
                  <w:r>
                    <w:rPr>
                      <w:sz w:val="18"/>
                      <w:szCs w:val="18"/>
                    </w:rPr>
                    <w:t>Arixtra</w:t>
                  </w:r>
                  <w:proofErr w:type="spellEnd"/>
                  <w:r>
                    <w:rPr>
                      <w:sz w:val="18"/>
                      <w:szCs w:val="18"/>
                    </w:rPr>
                    <w:t>)</w:t>
                  </w:r>
                </w:p>
              </w:tc>
              <w:tc>
                <w:tcPr>
                  <w:tcW w:w="3323" w:type="dxa"/>
                </w:tcPr>
                <w:p w14:paraId="060CB43F" w14:textId="50A56257" w:rsidR="00F035DA" w:rsidRDefault="0075053E" w:rsidP="00B82150">
                  <w:pPr>
                    <w:spacing w:before="120" w:after="120"/>
                    <w:rPr>
                      <w:sz w:val="18"/>
                      <w:szCs w:val="18"/>
                    </w:rPr>
                  </w:pPr>
                  <w:r>
                    <w:rPr>
                      <w:sz w:val="18"/>
                      <w:szCs w:val="18"/>
                    </w:rPr>
                    <w:t>2-3 hours</w:t>
                  </w:r>
                </w:p>
              </w:tc>
              <w:tc>
                <w:tcPr>
                  <w:tcW w:w="3323" w:type="dxa"/>
                </w:tcPr>
                <w:p w14:paraId="306B8DD5" w14:textId="29C947B0" w:rsidR="00F035DA" w:rsidRDefault="0075053E" w:rsidP="00B82150">
                  <w:pPr>
                    <w:spacing w:before="120" w:after="120"/>
                    <w:rPr>
                      <w:sz w:val="18"/>
                      <w:szCs w:val="18"/>
                    </w:rPr>
                  </w:pPr>
                  <w:r>
                    <w:rPr>
                      <w:sz w:val="18"/>
                      <w:szCs w:val="18"/>
                    </w:rPr>
                    <w:t>&lt;3 hours since administration</w:t>
                  </w:r>
                </w:p>
              </w:tc>
            </w:tr>
            <w:tr w:rsidR="00F035DA" w14:paraId="1A6C9346" w14:textId="77777777" w:rsidTr="00F035DA">
              <w:tc>
                <w:tcPr>
                  <w:tcW w:w="3323" w:type="dxa"/>
                </w:tcPr>
                <w:p w14:paraId="3E6678EA" w14:textId="263D5473" w:rsidR="00F035DA" w:rsidRDefault="0075053E" w:rsidP="00B82150">
                  <w:pPr>
                    <w:spacing w:before="120" w:after="120"/>
                    <w:rPr>
                      <w:sz w:val="18"/>
                      <w:szCs w:val="18"/>
                    </w:rPr>
                  </w:pPr>
                  <w:r>
                    <w:rPr>
                      <w:sz w:val="18"/>
                      <w:szCs w:val="18"/>
                    </w:rPr>
                    <w:t>Novel Oral Anticoagulants (Pradaxa, Eliquis, Xarelto)</w:t>
                  </w:r>
                </w:p>
              </w:tc>
              <w:tc>
                <w:tcPr>
                  <w:tcW w:w="3323" w:type="dxa"/>
                </w:tcPr>
                <w:p w14:paraId="7C396C37" w14:textId="14A21D2F" w:rsidR="00F035DA" w:rsidRDefault="0075053E" w:rsidP="00B82150">
                  <w:pPr>
                    <w:spacing w:before="120" w:after="120"/>
                    <w:rPr>
                      <w:sz w:val="18"/>
                      <w:szCs w:val="18"/>
                    </w:rPr>
                  </w:pPr>
                  <w:r>
                    <w:rPr>
                      <w:sz w:val="18"/>
                      <w:szCs w:val="18"/>
                    </w:rPr>
                    <w:t>2-3 hours</w:t>
                  </w:r>
                </w:p>
              </w:tc>
              <w:tc>
                <w:tcPr>
                  <w:tcW w:w="3323" w:type="dxa"/>
                </w:tcPr>
                <w:p w14:paraId="41F9778F" w14:textId="5744B0F6" w:rsidR="00F035DA" w:rsidRDefault="0075053E" w:rsidP="00B82150">
                  <w:pPr>
                    <w:spacing w:before="120" w:after="120"/>
                    <w:rPr>
                      <w:sz w:val="18"/>
                      <w:szCs w:val="18"/>
                    </w:rPr>
                  </w:pPr>
                  <w:r>
                    <w:rPr>
                      <w:sz w:val="18"/>
                      <w:szCs w:val="18"/>
                    </w:rPr>
                    <w:t>&lt;3 hours since administration</w:t>
                  </w:r>
                </w:p>
              </w:tc>
            </w:tr>
            <w:tr w:rsidR="00F035DA" w14:paraId="3C0370CB" w14:textId="77777777" w:rsidTr="00F035DA">
              <w:tc>
                <w:tcPr>
                  <w:tcW w:w="3323" w:type="dxa"/>
                </w:tcPr>
                <w:p w14:paraId="525AB49A" w14:textId="201809B3" w:rsidR="00F035DA" w:rsidRDefault="0075053E" w:rsidP="00B82150">
                  <w:pPr>
                    <w:spacing w:before="120" w:after="120"/>
                    <w:rPr>
                      <w:sz w:val="18"/>
                      <w:szCs w:val="18"/>
                    </w:rPr>
                  </w:pPr>
                  <w:r>
                    <w:rPr>
                      <w:sz w:val="18"/>
                      <w:szCs w:val="18"/>
                    </w:rPr>
                    <w:t>Vitamin K antagonists (Coumadin, Warfarin)</w:t>
                  </w:r>
                </w:p>
              </w:tc>
              <w:tc>
                <w:tcPr>
                  <w:tcW w:w="3323" w:type="dxa"/>
                </w:tcPr>
                <w:p w14:paraId="7CCF5F6B" w14:textId="6C5B4858" w:rsidR="00F035DA" w:rsidRDefault="0075053E" w:rsidP="00B82150">
                  <w:pPr>
                    <w:spacing w:before="120" w:after="120"/>
                    <w:rPr>
                      <w:sz w:val="18"/>
                      <w:szCs w:val="18"/>
                    </w:rPr>
                  </w:pPr>
                  <w:r>
                    <w:rPr>
                      <w:sz w:val="18"/>
                      <w:szCs w:val="18"/>
                    </w:rPr>
                    <w:t>INR 2-5</w:t>
                  </w:r>
                </w:p>
              </w:tc>
              <w:tc>
                <w:tcPr>
                  <w:tcW w:w="3323" w:type="dxa"/>
                </w:tcPr>
                <w:p w14:paraId="3A8C8628" w14:textId="34B61824" w:rsidR="00F035DA" w:rsidRDefault="0075053E" w:rsidP="00B82150">
                  <w:pPr>
                    <w:spacing w:before="120" w:after="120"/>
                    <w:rPr>
                      <w:sz w:val="18"/>
                      <w:szCs w:val="18"/>
                    </w:rPr>
                  </w:pPr>
                  <w:r>
                    <w:rPr>
                      <w:sz w:val="18"/>
                      <w:szCs w:val="18"/>
                    </w:rPr>
                    <w:t>INR &gt;5</w:t>
                  </w:r>
                </w:p>
              </w:tc>
            </w:tr>
          </w:tbl>
          <w:p w14:paraId="490D94FC" w14:textId="48DCC87C" w:rsidR="001225F5" w:rsidRDefault="001225F5" w:rsidP="00B82150">
            <w:pPr>
              <w:spacing w:before="120" w:after="120"/>
              <w:rPr>
                <w:sz w:val="18"/>
                <w:szCs w:val="18"/>
              </w:rPr>
            </w:pPr>
          </w:p>
          <w:p w14:paraId="5C88B7C2" w14:textId="404AFE51" w:rsidR="0000738B" w:rsidRPr="002F16E1" w:rsidRDefault="003D35F2" w:rsidP="00B82150">
            <w:pPr>
              <w:spacing w:before="120" w:after="120"/>
              <w:rPr>
                <w:sz w:val="18"/>
                <w:szCs w:val="18"/>
              </w:rPr>
            </w:pPr>
            <w:r>
              <w:rPr>
                <w:sz w:val="18"/>
                <w:szCs w:val="18"/>
              </w:rPr>
              <w:lastRenderedPageBreak/>
              <w:t>The CPG puts forward a Grade A recommendation that mobilization should be initiated as soon as possible after peak therapeutic levels of anticoagulant have been reached</w:t>
            </w:r>
            <w:proofErr w:type="gramStart"/>
            <w:r>
              <w:rPr>
                <w:sz w:val="18"/>
                <w:szCs w:val="18"/>
              </w:rPr>
              <w:t xml:space="preserve">.  </w:t>
            </w:r>
            <w:proofErr w:type="gramEnd"/>
            <w:r>
              <w:rPr>
                <w:sz w:val="18"/>
                <w:szCs w:val="18"/>
              </w:rPr>
              <w:t>This is due to a collection of Level I studies that have found no increase in development of new PE or progression of DVT when early ambulation is utilized rather than bed rest.</w:t>
            </w:r>
          </w:p>
          <w:p w14:paraId="03FE866A" w14:textId="77777777" w:rsidR="0000738B" w:rsidRPr="002F16E1" w:rsidRDefault="0000738B" w:rsidP="00B82150">
            <w:pPr>
              <w:spacing w:before="120" w:after="120"/>
              <w:jc w:val="right"/>
              <w:rPr>
                <w:sz w:val="18"/>
                <w:szCs w:val="18"/>
              </w:rPr>
            </w:pPr>
          </w:p>
        </w:tc>
      </w:tr>
      <w:tr w:rsidR="0000738B" w:rsidRPr="002F16E1" w14:paraId="27F560F6" w14:textId="77777777" w:rsidTr="00B82150">
        <w:tc>
          <w:tcPr>
            <w:tcW w:w="10421" w:type="dxa"/>
            <w:shd w:val="clear" w:color="auto" w:fill="E6E6E6"/>
          </w:tcPr>
          <w:p w14:paraId="396F2119" w14:textId="77777777" w:rsidR="0000738B" w:rsidRPr="002F16E1" w:rsidRDefault="0000738B" w:rsidP="00B82150">
            <w:pPr>
              <w:spacing w:before="120" w:after="120"/>
              <w:rPr>
                <w:b/>
                <w:sz w:val="18"/>
                <w:szCs w:val="18"/>
              </w:rPr>
            </w:pPr>
            <w:r w:rsidRPr="002F16E1">
              <w:rPr>
                <w:b/>
                <w:sz w:val="18"/>
                <w:szCs w:val="18"/>
              </w:rPr>
              <w:lastRenderedPageBreak/>
              <w:t>Original Authors’ Conclusions</w:t>
            </w:r>
          </w:p>
          <w:p w14:paraId="77558C54" w14:textId="0101F583" w:rsidR="0000738B" w:rsidRPr="002F16E1" w:rsidRDefault="0000738B" w:rsidP="00B82150">
            <w:pPr>
              <w:spacing w:before="120" w:after="120"/>
              <w:rPr>
                <w:sz w:val="18"/>
                <w:szCs w:val="18"/>
              </w:rPr>
            </w:pPr>
            <w:r w:rsidRPr="002F16E1">
              <w:rPr>
                <w:sz w:val="18"/>
                <w:szCs w:val="18"/>
              </w:rPr>
              <w:t>[Paraphrase as required. If providing a direct quote, add page number]</w:t>
            </w:r>
          </w:p>
        </w:tc>
      </w:tr>
      <w:tr w:rsidR="0000738B" w:rsidRPr="002F16E1" w14:paraId="582F5D6B" w14:textId="77777777" w:rsidTr="00B82150">
        <w:tc>
          <w:tcPr>
            <w:tcW w:w="10421" w:type="dxa"/>
            <w:tcBorders>
              <w:bottom w:val="single" w:sz="4" w:space="0" w:color="auto"/>
            </w:tcBorders>
            <w:shd w:val="clear" w:color="auto" w:fill="auto"/>
          </w:tcPr>
          <w:p w14:paraId="29848763" w14:textId="302C2B03" w:rsidR="0000738B" w:rsidRDefault="002C0102" w:rsidP="002C0102">
            <w:pPr>
              <w:spacing w:before="120" w:after="120"/>
              <w:rPr>
                <w:sz w:val="18"/>
                <w:szCs w:val="18"/>
              </w:rPr>
            </w:pPr>
            <w:r>
              <w:rPr>
                <w:sz w:val="18"/>
                <w:szCs w:val="18"/>
              </w:rPr>
              <w:t>The risk of PE or progression of DVT should be reduced as much as possible with standard anticoagulation therapy at peak therapeutic levels before mobilization should be initiated</w:t>
            </w:r>
            <w:proofErr w:type="gramStart"/>
            <w:r>
              <w:rPr>
                <w:sz w:val="18"/>
                <w:szCs w:val="18"/>
              </w:rPr>
              <w:t xml:space="preserve">.  </w:t>
            </w:r>
            <w:proofErr w:type="gramEnd"/>
            <w:r>
              <w:rPr>
                <w:sz w:val="18"/>
                <w:szCs w:val="18"/>
              </w:rPr>
              <w:t>When patients reach this level and are appropriate for mobilization, they should do so immediately to reduce harmful effects of bed rest due to the high</w:t>
            </w:r>
            <w:r w:rsidR="009B71B0">
              <w:rPr>
                <w:sz w:val="18"/>
                <w:szCs w:val="18"/>
              </w:rPr>
              <w:t>-</w:t>
            </w:r>
            <w:r>
              <w:rPr>
                <w:sz w:val="18"/>
                <w:szCs w:val="18"/>
              </w:rPr>
              <w:t>quality evidence suggesting ambulation will not increase their risk of having a DVT related event.</w:t>
            </w:r>
          </w:p>
          <w:p w14:paraId="537C0742" w14:textId="61558963" w:rsidR="002C0102" w:rsidRPr="002F16E1" w:rsidRDefault="002C0102" w:rsidP="002C0102">
            <w:pPr>
              <w:spacing w:before="120" w:after="120"/>
              <w:rPr>
                <w:sz w:val="18"/>
                <w:szCs w:val="18"/>
              </w:rPr>
            </w:pPr>
          </w:p>
        </w:tc>
      </w:tr>
      <w:tr w:rsidR="0000738B" w:rsidRPr="002F16E1" w14:paraId="5A49C5E7" w14:textId="77777777" w:rsidTr="00B82150">
        <w:tc>
          <w:tcPr>
            <w:tcW w:w="10421" w:type="dxa"/>
            <w:shd w:val="clear" w:color="auto" w:fill="E6E6E6"/>
          </w:tcPr>
          <w:p w14:paraId="2C1FC809" w14:textId="77777777" w:rsidR="0000738B" w:rsidRPr="002F16E1" w:rsidRDefault="0000738B" w:rsidP="00B82150">
            <w:pPr>
              <w:spacing w:before="120" w:after="120"/>
              <w:rPr>
                <w:b/>
                <w:sz w:val="18"/>
                <w:szCs w:val="18"/>
              </w:rPr>
            </w:pPr>
            <w:r w:rsidRPr="002F16E1">
              <w:rPr>
                <w:b/>
                <w:sz w:val="18"/>
                <w:szCs w:val="18"/>
              </w:rPr>
              <w:t>Critical Appraisal</w:t>
            </w:r>
          </w:p>
        </w:tc>
      </w:tr>
      <w:tr w:rsidR="0000738B" w:rsidRPr="002F16E1" w14:paraId="0F83B9C4" w14:textId="77777777" w:rsidTr="00B82150">
        <w:tc>
          <w:tcPr>
            <w:tcW w:w="10421" w:type="dxa"/>
            <w:shd w:val="clear" w:color="auto" w:fill="auto"/>
          </w:tcPr>
          <w:p w14:paraId="5B3A1771" w14:textId="77777777" w:rsidR="0000738B" w:rsidRPr="002F16E1" w:rsidRDefault="0000738B" w:rsidP="00B82150">
            <w:pPr>
              <w:spacing w:before="120" w:after="120"/>
              <w:rPr>
                <w:b/>
                <w:sz w:val="18"/>
                <w:szCs w:val="18"/>
              </w:rPr>
            </w:pPr>
            <w:r w:rsidRPr="002F16E1">
              <w:rPr>
                <w:b/>
                <w:sz w:val="18"/>
                <w:szCs w:val="18"/>
              </w:rPr>
              <w:t>Validity</w:t>
            </w:r>
          </w:p>
          <w:p w14:paraId="5EA232CD"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49854E88" w14:textId="77777777" w:rsidTr="00B82150">
        <w:tc>
          <w:tcPr>
            <w:tcW w:w="10421" w:type="dxa"/>
            <w:shd w:val="clear" w:color="auto" w:fill="auto"/>
          </w:tcPr>
          <w:p w14:paraId="6CA67938" w14:textId="297AF11A" w:rsidR="0000738B" w:rsidRPr="00580607" w:rsidRDefault="00AE6927" w:rsidP="00B21203">
            <w:pPr>
              <w:spacing w:before="120" w:after="120"/>
              <w:rPr>
                <w:sz w:val="18"/>
                <w:szCs w:val="18"/>
              </w:rPr>
            </w:pPr>
            <w:r>
              <w:rPr>
                <w:sz w:val="18"/>
                <w:szCs w:val="18"/>
              </w:rPr>
              <w:t xml:space="preserve">This CPG by </w:t>
            </w:r>
            <w:proofErr w:type="spellStart"/>
            <w:r>
              <w:rPr>
                <w:sz w:val="18"/>
                <w:szCs w:val="18"/>
              </w:rPr>
              <w:t>Hillegass</w:t>
            </w:r>
            <w:proofErr w:type="spellEnd"/>
            <w:r>
              <w:rPr>
                <w:sz w:val="18"/>
                <w:szCs w:val="18"/>
              </w:rPr>
              <w:t xml:space="preserve"> et al. is a high</w:t>
            </w:r>
            <w:r w:rsidR="00B21203">
              <w:rPr>
                <w:sz w:val="18"/>
                <w:szCs w:val="18"/>
              </w:rPr>
              <w:t>-</w:t>
            </w:r>
            <w:r>
              <w:rPr>
                <w:sz w:val="18"/>
                <w:szCs w:val="18"/>
              </w:rPr>
              <w:t>quality guideline based on the Appraisal of Guidelines for Research and Evaluation tool (AGREE II). Scoring of this guideline across six domains was guided by the instructions put forth by Brouwers et al., specifically using a cut off score of 70% for each domain to signify a quality guideline.</w:t>
            </w:r>
            <w:hyperlink r:id="rId21" w:history="1">
              <w:r w:rsidR="00993179" w:rsidRPr="00993179">
                <w:rPr>
                  <w:rStyle w:val="Hyperlink"/>
                  <w:color w:val="000000"/>
                  <w:sz w:val="18"/>
                  <w:u w:val="none"/>
                  <w:vertAlign w:val="superscript"/>
                </w:rPr>
                <w:t>10</w:t>
              </w:r>
            </w:hyperlink>
            <w:r>
              <w:rPr>
                <w:sz w:val="18"/>
                <w:szCs w:val="18"/>
              </w:rPr>
              <w:t xml:space="preserve">  The 6 domains evaluated were Scope and Purpose, Stakeholder Involvement, Rigour of Development, Clarity of Presentation, Applicability and Editorial Independence</w:t>
            </w:r>
            <w:r w:rsidR="00693949">
              <w:rPr>
                <w:sz w:val="18"/>
                <w:szCs w:val="18"/>
              </w:rPr>
              <w:t>.  Some strengths of this guideline include the clarity with which the scope and key topics were defined and the applicability of results to the patient population discussed and physical therapy practice</w:t>
            </w:r>
            <w:proofErr w:type="gramStart"/>
            <w:r w:rsidR="00693949">
              <w:rPr>
                <w:sz w:val="18"/>
                <w:szCs w:val="18"/>
              </w:rPr>
              <w:t xml:space="preserve">.  </w:t>
            </w:r>
            <w:proofErr w:type="gramEnd"/>
            <w:r w:rsidR="00693949">
              <w:rPr>
                <w:sz w:val="18"/>
                <w:szCs w:val="18"/>
              </w:rPr>
              <w:t>The authors are also of great expertise in their fields, with the Cardiovascular &amp; Pulmonary and Acute Care sections of the APTA combining to draw upon their experience</w:t>
            </w:r>
            <w:proofErr w:type="gramStart"/>
            <w:r w:rsidR="00693949">
              <w:rPr>
                <w:sz w:val="18"/>
                <w:szCs w:val="18"/>
              </w:rPr>
              <w:t xml:space="preserve">.  </w:t>
            </w:r>
            <w:proofErr w:type="gramEnd"/>
            <w:r w:rsidR="00693949">
              <w:rPr>
                <w:sz w:val="18"/>
                <w:szCs w:val="18"/>
              </w:rPr>
              <w:t xml:space="preserve">It is clear the authors made every effort to include stakeholders at every level including providers in the ACCP, nurses and physical therapists as well as patients for whom this CPG will directly </w:t>
            </w:r>
            <w:r w:rsidR="007372D3">
              <w:rPr>
                <w:sz w:val="18"/>
                <w:szCs w:val="18"/>
              </w:rPr>
              <w:t>affect</w:t>
            </w:r>
            <w:proofErr w:type="gramStart"/>
            <w:r w:rsidR="00693949">
              <w:rPr>
                <w:sz w:val="18"/>
                <w:szCs w:val="18"/>
              </w:rPr>
              <w:t xml:space="preserve">.  </w:t>
            </w:r>
            <w:proofErr w:type="gramEnd"/>
            <w:r w:rsidR="00693949">
              <w:rPr>
                <w:sz w:val="18"/>
                <w:szCs w:val="18"/>
              </w:rPr>
              <w:t>Authors conducted a thorough literature search with the help of a librarian to identify all relevant evidence and the methods</w:t>
            </w:r>
            <w:r w:rsidR="00D0731A">
              <w:rPr>
                <w:sz w:val="18"/>
                <w:szCs w:val="18"/>
              </w:rPr>
              <w:t xml:space="preserve"> used to assign levels of evidence and recommendation grades were clearly outlined</w:t>
            </w:r>
            <w:proofErr w:type="gramStart"/>
            <w:r w:rsidR="00D0731A">
              <w:rPr>
                <w:sz w:val="18"/>
                <w:szCs w:val="18"/>
              </w:rPr>
              <w:t xml:space="preserve">.  </w:t>
            </w:r>
            <w:proofErr w:type="gramEnd"/>
            <w:r w:rsidR="00D0731A">
              <w:rPr>
                <w:sz w:val="18"/>
                <w:szCs w:val="18"/>
              </w:rPr>
              <w:t>Key action statements presented are clear and explained when there is an intentional ambiguity, and benefits and costs of implementation are discussed</w:t>
            </w:r>
            <w:proofErr w:type="gramStart"/>
            <w:r w:rsidR="00D0731A">
              <w:rPr>
                <w:sz w:val="18"/>
                <w:szCs w:val="18"/>
              </w:rPr>
              <w:t xml:space="preserve">.  </w:t>
            </w:r>
            <w:proofErr w:type="gramEnd"/>
            <w:r w:rsidR="00D0731A">
              <w:rPr>
                <w:sz w:val="18"/>
                <w:szCs w:val="18"/>
              </w:rPr>
              <w:t>One limitation of interpreting the evidence in this guideline is the lack of specific information about all studies included as one would expect in a systematic review</w:t>
            </w:r>
            <w:proofErr w:type="gramStart"/>
            <w:r w:rsidR="00D0731A">
              <w:rPr>
                <w:sz w:val="18"/>
                <w:szCs w:val="18"/>
              </w:rPr>
              <w:t xml:space="preserve">.  </w:t>
            </w:r>
            <w:proofErr w:type="gramEnd"/>
            <w:r w:rsidR="00D0731A">
              <w:rPr>
                <w:sz w:val="18"/>
                <w:szCs w:val="18"/>
              </w:rPr>
              <w:t xml:space="preserve">This is in accordance with the general </w:t>
            </w:r>
            <w:r w:rsidR="00EE69E6">
              <w:rPr>
                <w:sz w:val="18"/>
                <w:szCs w:val="18"/>
              </w:rPr>
              <w:t>practice of writing CPGs but limits readers from interpreting statistical analyses themselves.</w:t>
            </w:r>
          </w:p>
        </w:tc>
      </w:tr>
      <w:tr w:rsidR="0000738B" w:rsidRPr="002F16E1" w14:paraId="6D4F4D87" w14:textId="77777777" w:rsidTr="00B82150">
        <w:tc>
          <w:tcPr>
            <w:tcW w:w="10421" w:type="dxa"/>
            <w:shd w:val="clear" w:color="auto" w:fill="auto"/>
          </w:tcPr>
          <w:p w14:paraId="1A22948B" w14:textId="77777777" w:rsidR="0000738B" w:rsidRPr="002F16E1" w:rsidRDefault="0000738B" w:rsidP="00B82150">
            <w:pPr>
              <w:spacing w:before="120" w:after="120"/>
              <w:jc w:val="both"/>
              <w:rPr>
                <w:b/>
                <w:sz w:val="18"/>
                <w:szCs w:val="18"/>
              </w:rPr>
            </w:pPr>
            <w:r w:rsidRPr="002F16E1">
              <w:rPr>
                <w:b/>
                <w:sz w:val="18"/>
                <w:szCs w:val="18"/>
              </w:rPr>
              <w:t>Interpretation of Results</w:t>
            </w:r>
          </w:p>
          <w:p w14:paraId="3BA969DE" w14:textId="43345145" w:rsidR="0000738B" w:rsidRPr="002F16E1" w:rsidRDefault="0000738B" w:rsidP="00B82150">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46CA4131" w14:textId="77777777" w:rsidTr="00B82150">
        <w:trPr>
          <w:trHeight w:val="1365"/>
        </w:trPr>
        <w:tc>
          <w:tcPr>
            <w:tcW w:w="10421" w:type="dxa"/>
            <w:shd w:val="clear" w:color="auto" w:fill="auto"/>
          </w:tcPr>
          <w:p w14:paraId="2175638C" w14:textId="0D4F4FDE" w:rsidR="0000738B" w:rsidRDefault="00B21203" w:rsidP="007237E2">
            <w:pPr>
              <w:spacing w:before="120" w:after="120"/>
              <w:rPr>
                <w:sz w:val="18"/>
                <w:szCs w:val="18"/>
              </w:rPr>
            </w:pPr>
            <w:r>
              <w:rPr>
                <w:sz w:val="18"/>
                <w:szCs w:val="18"/>
              </w:rPr>
              <w:t>Due to the high-quality synthesis and development of this CPG, I feel confident the recommendations presented can be safely and effectively implemented in clinical practice</w:t>
            </w:r>
            <w:proofErr w:type="gramStart"/>
            <w:r>
              <w:rPr>
                <w:sz w:val="18"/>
                <w:szCs w:val="18"/>
              </w:rPr>
              <w:t xml:space="preserve">.  </w:t>
            </w:r>
            <w:proofErr w:type="gramEnd"/>
            <w:r>
              <w:rPr>
                <w:sz w:val="18"/>
                <w:szCs w:val="18"/>
              </w:rPr>
              <w:t>The clear discussion of assigning grades to recommendations made it easy to determine which statements had the highest levels of evidence supporting them</w:t>
            </w:r>
            <w:proofErr w:type="gramStart"/>
            <w:r>
              <w:rPr>
                <w:sz w:val="18"/>
                <w:szCs w:val="18"/>
              </w:rPr>
              <w:t xml:space="preserve">.  </w:t>
            </w:r>
            <w:proofErr w:type="gramEnd"/>
            <w:r>
              <w:rPr>
                <w:sz w:val="18"/>
                <w:szCs w:val="18"/>
              </w:rPr>
              <w:t>A Grade A recommendation to mobilize after peak therapeutic levels of anticoagulants have been reached provides clear direction for physical therapists in practice based on level I studies</w:t>
            </w:r>
            <w:proofErr w:type="gramStart"/>
            <w:r>
              <w:rPr>
                <w:sz w:val="18"/>
                <w:szCs w:val="18"/>
              </w:rPr>
              <w:t xml:space="preserve">.  </w:t>
            </w:r>
            <w:proofErr w:type="gramEnd"/>
            <w:r w:rsidR="007237E2">
              <w:rPr>
                <w:sz w:val="18"/>
                <w:szCs w:val="18"/>
              </w:rPr>
              <w:t>While the recommendations state physical therapists can begin mobilization after the requisite time has passed since administration of anticoagulant, individual physical therapists should likely become familiar with the culture in their hospital and respect physicians wishes while also sharing current literature when necessary to best serve the patient</w:t>
            </w:r>
            <w:proofErr w:type="gramStart"/>
            <w:r w:rsidR="007237E2">
              <w:rPr>
                <w:sz w:val="18"/>
                <w:szCs w:val="18"/>
              </w:rPr>
              <w:t xml:space="preserve">.  </w:t>
            </w:r>
            <w:proofErr w:type="gramEnd"/>
            <w:r w:rsidR="007237E2">
              <w:rPr>
                <w:sz w:val="18"/>
                <w:szCs w:val="18"/>
              </w:rPr>
              <w:t>Physical therapists should therefore be familiar with the time to peak therapeutic levels as presented and use this information to operate in an interdisciplinary team.</w:t>
            </w:r>
          </w:p>
          <w:p w14:paraId="20826E32" w14:textId="29AE5EBE" w:rsidR="00784D0A" w:rsidRPr="00580607" w:rsidRDefault="00784D0A" w:rsidP="007237E2">
            <w:pPr>
              <w:spacing w:before="120" w:after="120"/>
              <w:rPr>
                <w:sz w:val="18"/>
                <w:szCs w:val="18"/>
              </w:rPr>
            </w:pPr>
          </w:p>
        </w:tc>
      </w:tr>
      <w:tr w:rsidR="0000738B" w:rsidRPr="002F16E1" w14:paraId="67EAF6F2" w14:textId="77777777" w:rsidTr="0000738B">
        <w:trPr>
          <w:trHeight w:val="741"/>
        </w:trPr>
        <w:tc>
          <w:tcPr>
            <w:tcW w:w="10421" w:type="dxa"/>
            <w:shd w:val="clear" w:color="auto" w:fill="auto"/>
          </w:tcPr>
          <w:p w14:paraId="5833C426" w14:textId="77777777" w:rsidR="0000738B" w:rsidRPr="002F16E1" w:rsidRDefault="0000738B" w:rsidP="00B82150">
            <w:pPr>
              <w:spacing w:before="120" w:after="120"/>
              <w:jc w:val="both"/>
              <w:rPr>
                <w:b/>
                <w:sz w:val="18"/>
                <w:szCs w:val="18"/>
              </w:rPr>
            </w:pPr>
            <w:r>
              <w:rPr>
                <w:b/>
                <w:sz w:val="18"/>
                <w:szCs w:val="18"/>
              </w:rPr>
              <w:t>Applicability of Study Results</w:t>
            </w:r>
          </w:p>
          <w:p w14:paraId="54F8CD5B" w14:textId="77777777" w:rsidR="0000738B" w:rsidRPr="00580607" w:rsidRDefault="00752AAC" w:rsidP="00B82150">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D306DDE" w14:textId="77777777" w:rsidTr="00B82150">
        <w:trPr>
          <w:trHeight w:val="1594"/>
        </w:trPr>
        <w:tc>
          <w:tcPr>
            <w:tcW w:w="10421" w:type="dxa"/>
            <w:tcBorders>
              <w:bottom w:val="single" w:sz="4" w:space="0" w:color="auto"/>
            </w:tcBorders>
            <w:shd w:val="clear" w:color="auto" w:fill="auto"/>
          </w:tcPr>
          <w:p w14:paraId="1C622BA1" w14:textId="47D56D98" w:rsidR="00784D0A" w:rsidRPr="002F16E1" w:rsidRDefault="007237E2" w:rsidP="009B71B0">
            <w:pPr>
              <w:spacing w:before="120" w:after="120"/>
              <w:rPr>
                <w:b/>
                <w:sz w:val="18"/>
                <w:szCs w:val="18"/>
              </w:rPr>
            </w:pPr>
            <w:r>
              <w:rPr>
                <w:sz w:val="18"/>
                <w:szCs w:val="18"/>
              </w:rPr>
              <w:lastRenderedPageBreak/>
              <w:t>This guideline gives the most concrete recommendations about when to initiate mobilization in the articles appraised for this CAT</w:t>
            </w:r>
            <w:proofErr w:type="gramStart"/>
            <w:r>
              <w:rPr>
                <w:sz w:val="18"/>
                <w:szCs w:val="18"/>
              </w:rPr>
              <w:t xml:space="preserve">.  </w:t>
            </w:r>
            <w:proofErr w:type="gramEnd"/>
            <w:r>
              <w:rPr>
                <w:sz w:val="18"/>
                <w:szCs w:val="18"/>
              </w:rPr>
              <w:t>This information is highly relevant to physical therapist practice and the treatment of the patient described in the clinical scenario</w:t>
            </w:r>
            <w:proofErr w:type="gramStart"/>
            <w:r>
              <w:rPr>
                <w:sz w:val="18"/>
                <w:szCs w:val="18"/>
              </w:rPr>
              <w:t>.</w:t>
            </w:r>
            <w:r w:rsidR="007372D3">
              <w:rPr>
                <w:sz w:val="18"/>
                <w:szCs w:val="18"/>
              </w:rPr>
              <w:t xml:space="preserve">  </w:t>
            </w:r>
            <w:proofErr w:type="gramEnd"/>
            <w:r w:rsidR="009B71B0">
              <w:rPr>
                <w:sz w:val="18"/>
                <w:szCs w:val="18"/>
              </w:rPr>
              <w:t>Participants in included studies had similar demographics to the patient in the scenario and treatment occurred in the hospital setting</w:t>
            </w:r>
            <w:proofErr w:type="gramStart"/>
            <w:r w:rsidR="009B71B0">
              <w:rPr>
                <w:sz w:val="18"/>
                <w:szCs w:val="18"/>
              </w:rPr>
              <w:t xml:space="preserve">.  </w:t>
            </w:r>
            <w:proofErr w:type="gramEnd"/>
            <w:r w:rsidR="007372D3">
              <w:rPr>
                <w:sz w:val="18"/>
                <w:szCs w:val="18"/>
              </w:rPr>
              <w:t>This guideline was developed to help physical therapists treat patients in the same population as the scenario and presents evidence compiled and appraised by clinicians who are experts in the field</w:t>
            </w:r>
            <w:proofErr w:type="gramStart"/>
            <w:r w:rsidR="007372D3">
              <w:rPr>
                <w:sz w:val="18"/>
                <w:szCs w:val="18"/>
              </w:rPr>
              <w:t xml:space="preserve">.  </w:t>
            </w:r>
            <w:proofErr w:type="gramEnd"/>
            <w:r w:rsidR="009B71B0">
              <w:rPr>
                <w:sz w:val="18"/>
                <w:szCs w:val="18"/>
              </w:rPr>
              <w:t>Recommendations to begin mobilization after appropriate anticoagulation are based on studies that support the finding that early ambulation does not cause an increase in adverse DVT-related events</w:t>
            </w:r>
            <w:proofErr w:type="gramStart"/>
            <w:r w:rsidR="00813B99">
              <w:rPr>
                <w:sz w:val="18"/>
                <w:szCs w:val="18"/>
              </w:rPr>
              <w:t xml:space="preserve">.  </w:t>
            </w:r>
            <w:proofErr w:type="gramEnd"/>
            <w:r w:rsidR="007372D3">
              <w:rPr>
                <w:sz w:val="18"/>
                <w:szCs w:val="18"/>
              </w:rPr>
              <w:t xml:space="preserve">The algorithm and flow map of when to mobilize patients with acute DVT </w:t>
            </w:r>
            <w:r w:rsidR="00784D0A">
              <w:rPr>
                <w:sz w:val="18"/>
                <w:szCs w:val="18"/>
              </w:rPr>
              <w:t xml:space="preserve">provides direct recommendations of when to begin early ambulation to minimize the adverse effects of bed rest in our patients without unduly increasing their risk of DVT related events. </w:t>
            </w:r>
          </w:p>
        </w:tc>
      </w:tr>
    </w:tbl>
    <w:p w14:paraId="45F3C832" w14:textId="77777777" w:rsidR="001D4F60" w:rsidRPr="001D4F60" w:rsidRDefault="001D4F60" w:rsidP="001D4F60">
      <w:pPr>
        <w:spacing w:before="240" w:after="240"/>
        <w:rPr>
          <w:b/>
          <w:sz w:val="18"/>
          <w:szCs w:val="18"/>
        </w:rPr>
      </w:pPr>
    </w:p>
    <w:p w14:paraId="34540B65" w14:textId="41F5A4E0"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1745E461"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10F3DEE1" w14:textId="77777777" w:rsidTr="002F16E1">
        <w:tc>
          <w:tcPr>
            <w:tcW w:w="10421" w:type="dxa"/>
            <w:shd w:val="clear" w:color="auto" w:fill="auto"/>
          </w:tcPr>
          <w:p w14:paraId="6F572A0A" w14:textId="1088B35B" w:rsidR="007E5125" w:rsidRDefault="00CA4B1A" w:rsidP="002F16E1">
            <w:pPr>
              <w:spacing w:before="120" w:after="120"/>
              <w:rPr>
                <w:sz w:val="18"/>
                <w:szCs w:val="18"/>
              </w:rPr>
            </w:pPr>
            <w:r>
              <w:rPr>
                <w:sz w:val="18"/>
                <w:szCs w:val="18"/>
              </w:rPr>
              <w:t>Overall, through appraisal of the best evidence available on the topic of mobilization in patients with acute DVT, it appears patients can begin ambulating early after therapeutic levels of anticoagulant have been achieved, without increased risk of developing a pulmonary embolism or progression of the current deep vein thrombosis</w:t>
            </w:r>
            <w:proofErr w:type="gramStart"/>
            <w:r>
              <w:rPr>
                <w:sz w:val="18"/>
                <w:szCs w:val="18"/>
              </w:rPr>
              <w:t xml:space="preserve">.  </w:t>
            </w:r>
            <w:proofErr w:type="gramEnd"/>
            <w:r>
              <w:rPr>
                <w:sz w:val="18"/>
                <w:szCs w:val="18"/>
              </w:rPr>
              <w:t>The first article appraised by Liu et al. was a well-designed systematic review and meta-analysis that was directly relevant to the clinical question as it investigated the incidence of several adverse DVT-related events in patients assigned to a bed rest or early ambulation treatment group</w:t>
            </w:r>
            <w:proofErr w:type="gramStart"/>
            <w:r>
              <w:rPr>
                <w:sz w:val="18"/>
                <w:szCs w:val="18"/>
              </w:rPr>
              <w:t xml:space="preserve">.  </w:t>
            </w:r>
            <w:proofErr w:type="gramEnd"/>
            <w:r>
              <w:rPr>
                <w:sz w:val="18"/>
                <w:szCs w:val="18"/>
              </w:rPr>
              <w:t xml:space="preserve">This review contained articles from a plethora of databases </w:t>
            </w:r>
            <w:r w:rsidR="00424FC6">
              <w:rPr>
                <w:sz w:val="18"/>
                <w:szCs w:val="18"/>
              </w:rPr>
              <w:t xml:space="preserve">and did not discriminate to research </w:t>
            </w:r>
            <w:r w:rsidR="00C8655F">
              <w:rPr>
                <w:sz w:val="18"/>
                <w:szCs w:val="18"/>
              </w:rPr>
              <w:t>published only</w:t>
            </w:r>
            <w:r w:rsidR="00424FC6">
              <w:rPr>
                <w:sz w:val="18"/>
                <w:szCs w:val="18"/>
              </w:rPr>
              <w:t xml:space="preserve"> in English</w:t>
            </w:r>
            <w:proofErr w:type="gramStart"/>
            <w:r w:rsidR="00424FC6">
              <w:rPr>
                <w:sz w:val="18"/>
                <w:szCs w:val="18"/>
              </w:rPr>
              <w:t xml:space="preserve">.  </w:t>
            </w:r>
            <w:proofErr w:type="gramEnd"/>
            <w:r w:rsidR="00424FC6">
              <w:rPr>
                <w:sz w:val="18"/>
                <w:szCs w:val="18"/>
              </w:rPr>
              <w:t>This along with their extensive investigation of publication bias leaves readers confident that the articles reviewed are representative of all the current literature on the topic</w:t>
            </w:r>
            <w:proofErr w:type="gramStart"/>
            <w:r w:rsidR="00424FC6">
              <w:rPr>
                <w:sz w:val="18"/>
                <w:szCs w:val="18"/>
              </w:rPr>
              <w:t xml:space="preserve">.  </w:t>
            </w:r>
            <w:proofErr w:type="gramEnd"/>
            <w:r w:rsidR="00424FC6">
              <w:rPr>
                <w:sz w:val="18"/>
                <w:szCs w:val="18"/>
              </w:rPr>
              <w:t>This review also did an excellent job of searching individual articles for bias and heterogeneity and their causes, to discuss the impact of these factors on the strength of the main findings</w:t>
            </w:r>
            <w:proofErr w:type="gramStart"/>
            <w:r w:rsidR="00424FC6">
              <w:rPr>
                <w:sz w:val="18"/>
                <w:szCs w:val="18"/>
              </w:rPr>
              <w:t xml:space="preserve">.  </w:t>
            </w:r>
            <w:proofErr w:type="gramEnd"/>
            <w:r w:rsidR="00424FC6">
              <w:rPr>
                <w:sz w:val="18"/>
                <w:szCs w:val="18"/>
              </w:rPr>
              <w:t>Subgroup and sensitivity analyses indicate that the heterogeneity present in the review articles did not influence the outcome of the meta-analysis and therefore results can be confidently interpreted and applied to the current clinical scenario and others</w:t>
            </w:r>
            <w:proofErr w:type="gramStart"/>
            <w:r w:rsidR="00424FC6">
              <w:rPr>
                <w:sz w:val="18"/>
                <w:szCs w:val="18"/>
              </w:rPr>
              <w:t xml:space="preserve">.  </w:t>
            </w:r>
            <w:proofErr w:type="gramEnd"/>
            <w:r w:rsidR="00424FC6">
              <w:rPr>
                <w:sz w:val="18"/>
                <w:szCs w:val="18"/>
              </w:rPr>
              <w:t xml:space="preserve">While results were unclear on whether early ambulation could reduce the likelihood of patients developing a PE or VTE-related mortality, the meta-analysis indicates there is no increase in </w:t>
            </w:r>
            <w:r w:rsidR="001B660E">
              <w:rPr>
                <w:sz w:val="18"/>
                <w:szCs w:val="18"/>
              </w:rPr>
              <w:t>adverse events in patients who begin ambulation before the third day after DVT diagnosis when compared to patients who are placed on bed rest for at least three days</w:t>
            </w:r>
            <w:proofErr w:type="gramStart"/>
            <w:r w:rsidR="001B660E">
              <w:rPr>
                <w:sz w:val="18"/>
                <w:szCs w:val="18"/>
              </w:rPr>
              <w:t xml:space="preserve">.  </w:t>
            </w:r>
            <w:proofErr w:type="gramEnd"/>
            <w:r w:rsidR="001B660E">
              <w:rPr>
                <w:sz w:val="18"/>
                <w:szCs w:val="18"/>
              </w:rPr>
              <w:t xml:space="preserve">The results of this meta-analysis leave a couple questions including the best exercise prescription for the early ambulation/mobilization group, whether the experimental intervention can </w:t>
            </w:r>
            <w:proofErr w:type="gramStart"/>
            <w:r w:rsidR="001B660E">
              <w:rPr>
                <w:sz w:val="18"/>
                <w:szCs w:val="18"/>
              </w:rPr>
              <w:t>actually reduce</w:t>
            </w:r>
            <w:proofErr w:type="gramEnd"/>
            <w:r w:rsidR="001B660E">
              <w:rPr>
                <w:sz w:val="18"/>
                <w:szCs w:val="18"/>
              </w:rPr>
              <w:t xml:space="preserve"> adverse events and how this intervention impacts other meaningful measures such as quality of life and long-term disability.  Future research should venture into these realms to further develop the support behind implementation of early ambulation in patients who have been diagnosed with an acute DVT.</w:t>
            </w:r>
          </w:p>
          <w:p w14:paraId="2E0B606B" w14:textId="4AC47699" w:rsidR="002B55DF" w:rsidRPr="007D35DE" w:rsidRDefault="001B660E" w:rsidP="002B55DF">
            <w:pPr>
              <w:spacing w:before="120" w:after="120"/>
              <w:rPr>
                <w:sz w:val="18"/>
                <w:szCs w:val="18"/>
              </w:rPr>
            </w:pPr>
            <w:r>
              <w:rPr>
                <w:sz w:val="18"/>
                <w:szCs w:val="18"/>
              </w:rPr>
              <w:t xml:space="preserve">The second article by </w:t>
            </w:r>
            <w:proofErr w:type="spellStart"/>
            <w:r>
              <w:rPr>
                <w:sz w:val="18"/>
                <w:szCs w:val="18"/>
              </w:rPr>
              <w:t>Hillegass</w:t>
            </w:r>
            <w:proofErr w:type="spellEnd"/>
            <w:r>
              <w:rPr>
                <w:sz w:val="18"/>
                <w:szCs w:val="18"/>
              </w:rPr>
              <w:t xml:space="preserve"> et al. is a high-quality clinical practice guideline with clear key action statements that directly </w:t>
            </w:r>
            <w:proofErr w:type="spellStart"/>
            <w:r>
              <w:rPr>
                <w:sz w:val="18"/>
                <w:szCs w:val="18"/>
              </w:rPr>
              <w:t>effect</w:t>
            </w:r>
            <w:proofErr w:type="spellEnd"/>
            <w:r>
              <w:rPr>
                <w:sz w:val="18"/>
                <w:szCs w:val="18"/>
              </w:rPr>
              <w:t xml:space="preserve"> physical therapist practice</w:t>
            </w:r>
            <w:proofErr w:type="gramStart"/>
            <w:r>
              <w:rPr>
                <w:sz w:val="18"/>
                <w:szCs w:val="18"/>
              </w:rPr>
              <w:t xml:space="preserve">.  </w:t>
            </w:r>
            <w:proofErr w:type="gramEnd"/>
            <w:r>
              <w:rPr>
                <w:sz w:val="18"/>
                <w:szCs w:val="18"/>
              </w:rPr>
              <w:t>Due to this aspect of applicability and the excellent design</w:t>
            </w:r>
            <w:r w:rsidR="00C07ED1">
              <w:rPr>
                <w:sz w:val="18"/>
                <w:szCs w:val="18"/>
              </w:rPr>
              <w:t xml:space="preserve"> and development of the guideline, algorithms and recommendations related to mobilization of patients with an acute DVT should be considered and implemented in cases such as the current clinical scenario</w:t>
            </w:r>
            <w:proofErr w:type="gramStart"/>
            <w:r w:rsidR="00C07ED1">
              <w:rPr>
                <w:sz w:val="18"/>
                <w:szCs w:val="18"/>
              </w:rPr>
              <w:t xml:space="preserve">.  </w:t>
            </w:r>
            <w:proofErr w:type="gramEnd"/>
            <w:r w:rsidR="00C07ED1">
              <w:rPr>
                <w:sz w:val="18"/>
                <w:szCs w:val="18"/>
              </w:rPr>
              <w:t>One of the strengths of this article is the development of an evidence-based decision tree to help physical therapists determine when it is appropriate to mobilize patients based on the type of anticoagulant prescribed and time since administration to assure peak therapeutic levels have been reached</w:t>
            </w:r>
            <w:proofErr w:type="gramStart"/>
            <w:r w:rsidR="00C07ED1">
              <w:rPr>
                <w:sz w:val="18"/>
                <w:szCs w:val="18"/>
              </w:rPr>
              <w:t xml:space="preserve">.  </w:t>
            </w:r>
            <w:proofErr w:type="gramEnd"/>
            <w:r w:rsidR="00C07ED1">
              <w:rPr>
                <w:sz w:val="18"/>
                <w:szCs w:val="18"/>
              </w:rPr>
              <w:t>A Grade A recommendation was provided stating physical therapists should use the algorithm to mobilize patients as soon as possible after therapeutic levels of anticoagulant were in systemic circulation</w:t>
            </w:r>
            <w:proofErr w:type="gramStart"/>
            <w:r w:rsidR="00C07ED1">
              <w:rPr>
                <w:sz w:val="18"/>
                <w:szCs w:val="18"/>
              </w:rPr>
              <w:t xml:space="preserve">.  </w:t>
            </w:r>
            <w:proofErr w:type="gramEnd"/>
            <w:r w:rsidR="00C07ED1">
              <w:rPr>
                <w:sz w:val="18"/>
                <w:szCs w:val="18"/>
              </w:rPr>
              <w:t xml:space="preserve">This recommendation is based on the synthesis of Level I evidence and therefore </w:t>
            </w:r>
            <w:r w:rsidR="008E281B">
              <w:rPr>
                <w:sz w:val="18"/>
                <w:szCs w:val="18"/>
              </w:rPr>
              <w:t>should be interpreted with confidence</w:t>
            </w:r>
            <w:proofErr w:type="gramStart"/>
            <w:r w:rsidR="008E281B">
              <w:rPr>
                <w:sz w:val="18"/>
                <w:szCs w:val="18"/>
              </w:rPr>
              <w:t>.</w:t>
            </w:r>
            <w:r w:rsidR="002B55DF">
              <w:rPr>
                <w:sz w:val="18"/>
                <w:szCs w:val="18"/>
              </w:rPr>
              <w:t xml:space="preserve">  </w:t>
            </w:r>
            <w:proofErr w:type="gramEnd"/>
            <w:r w:rsidR="002B55DF">
              <w:rPr>
                <w:sz w:val="18"/>
                <w:szCs w:val="18"/>
              </w:rPr>
              <w:t>Despite this CPG being published in 2016 with included articles published up to 2014, it is the best and most contemporary research</w:t>
            </w:r>
            <w:r w:rsidR="00D52791">
              <w:rPr>
                <w:sz w:val="18"/>
                <w:szCs w:val="18"/>
              </w:rPr>
              <w:t xml:space="preserve"> </w:t>
            </w:r>
            <w:r w:rsidR="002B55DF">
              <w:rPr>
                <w:sz w:val="18"/>
                <w:szCs w:val="18"/>
              </w:rPr>
              <w:t>available at this time</w:t>
            </w:r>
            <w:proofErr w:type="gramStart"/>
            <w:r w:rsidR="002B55DF">
              <w:rPr>
                <w:sz w:val="18"/>
                <w:szCs w:val="18"/>
              </w:rPr>
              <w:t xml:space="preserve">.  </w:t>
            </w:r>
            <w:proofErr w:type="gramEnd"/>
            <w:r w:rsidR="002B55DF">
              <w:rPr>
                <w:sz w:val="18"/>
                <w:szCs w:val="18"/>
              </w:rPr>
              <w:t>It would be advised that evidence guiding clinical practice be updated regularly to reflect novel research roughly every 5 years.</w:t>
            </w:r>
          </w:p>
          <w:p w14:paraId="26102CCC" w14:textId="7F01008E" w:rsidR="00E609EF" w:rsidRPr="007D35DE" w:rsidRDefault="008E281B" w:rsidP="002F16E1">
            <w:pPr>
              <w:spacing w:before="120" w:after="120"/>
              <w:rPr>
                <w:sz w:val="18"/>
                <w:szCs w:val="18"/>
              </w:rPr>
            </w:pPr>
            <w:r>
              <w:rPr>
                <w:sz w:val="18"/>
                <w:szCs w:val="18"/>
              </w:rPr>
              <w:t>Through a synthesis of evidence including the finding that patients who ambulate early are not at increased risk of adverse events and the evidence to support early ambulation after appropriate anticoagulation, current best practice should be to assist patients with acute DVT in mobilization after proper medical management has taken place</w:t>
            </w:r>
            <w:proofErr w:type="gramStart"/>
            <w:r>
              <w:rPr>
                <w:sz w:val="18"/>
                <w:szCs w:val="18"/>
              </w:rPr>
              <w:t xml:space="preserve">.  </w:t>
            </w:r>
            <w:proofErr w:type="gramEnd"/>
            <w:r w:rsidR="002B55DF">
              <w:rPr>
                <w:sz w:val="18"/>
                <w:szCs w:val="18"/>
              </w:rPr>
              <w:t xml:space="preserve">To directly address the clinical question at hand, this 60 </w:t>
            </w:r>
            <w:proofErr w:type="spellStart"/>
            <w:r w:rsidR="002B55DF">
              <w:rPr>
                <w:sz w:val="18"/>
                <w:szCs w:val="18"/>
              </w:rPr>
              <w:t>yo</w:t>
            </w:r>
            <w:proofErr w:type="spellEnd"/>
            <w:r w:rsidR="002B55DF">
              <w:rPr>
                <w:sz w:val="18"/>
                <w:szCs w:val="18"/>
              </w:rPr>
              <w:t xml:space="preserve"> woman with comorbidities should engage in early mobility after the physical therapist and interdisciplinary team are certain she has reached appropriate levels of anticoagulation</w:t>
            </w:r>
            <w:proofErr w:type="gramStart"/>
            <w:r w:rsidR="002B55DF">
              <w:rPr>
                <w:sz w:val="18"/>
                <w:szCs w:val="18"/>
              </w:rPr>
              <w:t xml:space="preserve">.  </w:t>
            </w:r>
            <w:proofErr w:type="gramEnd"/>
            <w:r w:rsidR="002B55DF">
              <w:rPr>
                <w:sz w:val="18"/>
                <w:szCs w:val="18"/>
              </w:rPr>
              <w:t xml:space="preserve">The patient can be informed with confidence that ambulation is just as safe as remaining in </w:t>
            </w:r>
            <w:proofErr w:type="gramStart"/>
            <w:r w:rsidR="002B55DF">
              <w:rPr>
                <w:sz w:val="18"/>
                <w:szCs w:val="18"/>
              </w:rPr>
              <w:t>bed, and</w:t>
            </w:r>
            <w:proofErr w:type="gramEnd"/>
            <w:r w:rsidR="002B55DF">
              <w:rPr>
                <w:sz w:val="18"/>
                <w:szCs w:val="18"/>
              </w:rPr>
              <w:t xml:space="preserve"> has potential benefits for their condition in the short and long term. </w:t>
            </w:r>
          </w:p>
          <w:p w14:paraId="55935A16" w14:textId="77777777" w:rsidR="00E609EF" w:rsidRPr="007D35DE" w:rsidRDefault="00E609EF" w:rsidP="002F16E1">
            <w:pPr>
              <w:spacing w:before="120" w:after="120"/>
              <w:rPr>
                <w:sz w:val="18"/>
                <w:szCs w:val="18"/>
              </w:rPr>
            </w:pPr>
          </w:p>
        </w:tc>
      </w:tr>
    </w:tbl>
    <w:p w14:paraId="76BA0BE4" w14:textId="77777777" w:rsidR="009E380F" w:rsidRDefault="009E380F" w:rsidP="001E1518">
      <w:pPr>
        <w:spacing w:before="120"/>
        <w:rPr>
          <w:b/>
          <w:sz w:val="18"/>
          <w:szCs w:val="18"/>
        </w:rPr>
      </w:pPr>
    </w:p>
    <w:p w14:paraId="5A6725D5"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2234DE5"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062D8DE6" w14:textId="77777777" w:rsidTr="002F16E1">
        <w:tc>
          <w:tcPr>
            <w:tcW w:w="10421" w:type="dxa"/>
            <w:shd w:val="clear" w:color="auto" w:fill="auto"/>
          </w:tcPr>
          <w:p w14:paraId="1CE77BCD" w14:textId="77777777" w:rsidR="00993179" w:rsidRPr="00993179" w:rsidRDefault="00AB09CD" w:rsidP="00993179">
            <w:pPr>
              <w:rPr>
                <w:color w:val="000000"/>
                <w:sz w:val="18"/>
                <w:szCs w:val="24"/>
              </w:rPr>
            </w:pPr>
            <w:hyperlink r:id="rId22" w:history="1">
              <w:r w:rsidR="00993179" w:rsidRPr="00993179">
                <w:rPr>
                  <w:rStyle w:val="Hyperlink"/>
                  <w:color w:val="000000"/>
                  <w:sz w:val="18"/>
                  <w:u w:val="none"/>
                </w:rPr>
                <w:t>Bibliography</w:t>
              </w:r>
            </w:hyperlink>
            <w:r w:rsidR="00993179" w:rsidRPr="00993179">
              <w:rPr>
                <w:color w:val="000000"/>
                <w:sz w:val="18"/>
              </w:rPr>
              <w:t xml:space="preserve"> </w:t>
            </w:r>
          </w:p>
          <w:p w14:paraId="77851BC5" w14:textId="77777777" w:rsidR="00993179" w:rsidRPr="00993179" w:rsidRDefault="00AB09CD" w:rsidP="00993179">
            <w:pPr>
              <w:pStyle w:val="NormalWeb"/>
              <w:spacing w:afterLines="100" w:after="240" w:line="180" w:lineRule="auto"/>
              <w:ind w:left="520" w:hanging="520"/>
              <w:rPr>
                <w:rFonts w:ascii="Verdana" w:hAnsi="Verdana"/>
                <w:color w:val="000000"/>
                <w:sz w:val="18"/>
              </w:rPr>
            </w:pPr>
            <w:hyperlink r:id="rId23" w:history="1">
              <w:r w:rsidR="00993179" w:rsidRPr="00993179">
                <w:rPr>
                  <w:rStyle w:val="csl-left-margin"/>
                  <w:rFonts w:ascii="Verdana" w:hAnsi="Verdana"/>
                  <w:color w:val="000000"/>
                  <w:sz w:val="18"/>
                </w:rPr>
                <w:t>1. 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right-inline"/>
                  <w:rFonts w:ascii="Verdana" w:hAnsi="Verdana"/>
                  <w:color w:val="000000"/>
                  <w:sz w:val="18"/>
                </w:rPr>
                <w:t xml:space="preserve">Liu Z, Tao X, Chen Y, Fan Z, Li Y. Bed rest versus early ambulation with standard anticoagulation in the management of deep vein thrombosis: a meta-analysis. </w:t>
              </w:r>
              <w:proofErr w:type="spellStart"/>
              <w:r w:rsidR="00993179" w:rsidRPr="00993179">
                <w:rPr>
                  <w:rStyle w:val="csl-right-inline"/>
                  <w:rFonts w:ascii="Verdana" w:hAnsi="Verdana"/>
                  <w:i/>
                  <w:iCs/>
                  <w:color w:val="000000"/>
                  <w:sz w:val="18"/>
                </w:rPr>
                <w:t>PLoS</w:t>
              </w:r>
              <w:proofErr w:type="spellEnd"/>
              <w:r w:rsidR="00993179" w:rsidRPr="00993179">
                <w:rPr>
                  <w:rStyle w:val="csl-right-inline"/>
                  <w:rFonts w:ascii="Verdana" w:hAnsi="Verdana"/>
                  <w:i/>
                  <w:iCs/>
                  <w:color w:val="000000"/>
                  <w:sz w:val="18"/>
                </w:rPr>
                <w:t xml:space="preserve"> ONE</w:t>
              </w:r>
              <w:r w:rsidR="00993179" w:rsidRPr="00993179">
                <w:rPr>
                  <w:rStyle w:val="csl-right-inline"/>
                  <w:rFonts w:ascii="Verdana" w:hAnsi="Verdana"/>
                  <w:color w:val="000000"/>
                  <w:sz w:val="18"/>
                </w:rPr>
                <w:t>. 2015;10(4</w:t>
              </w:r>
              <w:proofErr w:type="gramStart"/>
              <w:r w:rsidR="00993179" w:rsidRPr="00993179">
                <w:rPr>
                  <w:rStyle w:val="csl-right-inline"/>
                  <w:rFonts w:ascii="Verdana" w:hAnsi="Verdana"/>
                  <w:color w:val="000000"/>
                  <w:sz w:val="18"/>
                </w:rPr>
                <w:t>):e</w:t>
              </w:r>
              <w:proofErr w:type="gramEnd"/>
              <w:r w:rsidR="00993179" w:rsidRPr="00993179">
                <w:rPr>
                  <w:rStyle w:val="csl-right-inline"/>
                  <w:rFonts w:ascii="Verdana" w:hAnsi="Verdana"/>
                  <w:color w:val="000000"/>
                  <w:sz w:val="18"/>
                </w:rPr>
                <w:t xml:space="preserve">0121388. </w:t>
              </w:r>
              <w:proofErr w:type="gramStart"/>
              <w:r w:rsidR="00993179" w:rsidRPr="00993179">
                <w:rPr>
                  <w:rStyle w:val="csl-right-inline"/>
                  <w:rFonts w:ascii="Verdana" w:hAnsi="Verdana"/>
                  <w:color w:val="000000"/>
                  <w:sz w:val="18"/>
                </w:rPr>
                <w:t>doi:10.1371/journal.pone</w:t>
              </w:r>
              <w:proofErr w:type="gramEnd"/>
              <w:r w:rsidR="00993179" w:rsidRPr="00993179">
                <w:rPr>
                  <w:rStyle w:val="csl-right-inline"/>
                  <w:rFonts w:ascii="Verdana" w:hAnsi="Verdana"/>
                  <w:color w:val="000000"/>
                  <w:sz w:val="18"/>
                </w:rPr>
                <w:t>.0121388</w:t>
              </w:r>
            </w:hyperlink>
          </w:p>
          <w:p w14:paraId="48874C87" w14:textId="77777777" w:rsidR="00993179" w:rsidRPr="00993179" w:rsidRDefault="00AB09CD" w:rsidP="00993179">
            <w:pPr>
              <w:pStyle w:val="NormalWeb"/>
              <w:spacing w:afterLines="100" w:after="240" w:line="180" w:lineRule="auto"/>
              <w:ind w:left="520" w:hanging="520"/>
              <w:rPr>
                <w:rFonts w:ascii="Verdana" w:hAnsi="Verdana"/>
                <w:color w:val="000000"/>
                <w:sz w:val="18"/>
              </w:rPr>
            </w:pPr>
            <w:hyperlink r:id="rId24" w:history="1">
              <w:r w:rsidR="00993179" w:rsidRPr="00993179">
                <w:rPr>
                  <w:rStyle w:val="csl-left-margin"/>
                  <w:rFonts w:ascii="Verdana" w:hAnsi="Verdana"/>
                  <w:color w:val="000000"/>
                  <w:sz w:val="18"/>
                </w:rPr>
                <w:t>2. 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proofErr w:type="spellStart"/>
              <w:r w:rsidR="00993179" w:rsidRPr="00993179">
                <w:rPr>
                  <w:rStyle w:val="csl-right-inline"/>
                  <w:rFonts w:ascii="Verdana" w:hAnsi="Verdana"/>
                  <w:color w:val="000000"/>
                  <w:sz w:val="18"/>
                </w:rPr>
                <w:t>Hillegass</w:t>
              </w:r>
              <w:proofErr w:type="spellEnd"/>
              <w:r w:rsidR="00993179" w:rsidRPr="00993179">
                <w:rPr>
                  <w:rStyle w:val="csl-right-inline"/>
                  <w:rFonts w:ascii="Verdana" w:hAnsi="Verdana"/>
                  <w:color w:val="000000"/>
                  <w:sz w:val="18"/>
                </w:rPr>
                <w:t xml:space="preserve"> E, </w:t>
              </w:r>
              <w:proofErr w:type="spellStart"/>
              <w:r w:rsidR="00993179" w:rsidRPr="00993179">
                <w:rPr>
                  <w:rStyle w:val="csl-right-inline"/>
                  <w:rFonts w:ascii="Verdana" w:hAnsi="Verdana"/>
                  <w:color w:val="000000"/>
                  <w:sz w:val="18"/>
                </w:rPr>
                <w:t>Puthoff</w:t>
              </w:r>
              <w:proofErr w:type="spellEnd"/>
              <w:r w:rsidR="00993179" w:rsidRPr="00993179">
                <w:rPr>
                  <w:rStyle w:val="csl-right-inline"/>
                  <w:rFonts w:ascii="Verdana" w:hAnsi="Verdana"/>
                  <w:color w:val="000000"/>
                  <w:sz w:val="18"/>
                </w:rPr>
                <w:t xml:space="preserve"> M, </w:t>
              </w:r>
              <w:proofErr w:type="spellStart"/>
              <w:r w:rsidR="00993179" w:rsidRPr="00993179">
                <w:rPr>
                  <w:rStyle w:val="csl-right-inline"/>
                  <w:rFonts w:ascii="Verdana" w:hAnsi="Verdana"/>
                  <w:color w:val="000000"/>
                  <w:sz w:val="18"/>
                </w:rPr>
                <w:t>Frese</w:t>
              </w:r>
              <w:proofErr w:type="spellEnd"/>
              <w:r w:rsidR="00993179" w:rsidRPr="00993179">
                <w:rPr>
                  <w:rStyle w:val="csl-right-inline"/>
                  <w:rFonts w:ascii="Verdana" w:hAnsi="Verdana"/>
                  <w:color w:val="000000"/>
                  <w:sz w:val="18"/>
                </w:rPr>
                <w:t xml:space="preserve"> EM, et al. Role of Physical Therapists in the Management of Individuals at Risk for or Diagnosed </w:t>
              </w:r>
              <w:proofErr w:type="gramStart"/>
              <w:r w:rsidR="00993179" w:rsidRPr="00993179">
                <w:rPr>
                  <w:rStyle w:val="csl-right-inline"/>
                  <w:rFonts w:ascii="Verdana" w:hAnsi="Verdana"/>
                  <w:color w:val="000000"/>
                  <w:sz w:val="18"/>
                </w:rPr>
                <w:t>With</w:t>
              </w:r>
              <w:proofErr w:type="gramEnd"/>
              <w:r w:rsidR="00993179" w:rsidRPr="00993179">
                <w:rPr>
                  <w:rStyle w:val="csl-right-inline"/>
                  <w:rFonts w:ascii="Verdana" w:hAnsi="Verdana"/>
                  <w:color w:val="000000"/>
                  <w:sz w:val="18"/>
                </w:rPr>
                <w:t xml:space="preserve"> Venous Thromboembolism: Evidence-Based Clinical Practice Guideline. </w:t>
              </w:r>
              <w:r w:rsidR="00993179" w:rsidRPr="00993179">
                <w:rPr>
                  <w:rStyle w:val="csl-right-inline"/>
                  <w:rFonts w:ascii="Verdana" w:hAnsi="Verdana"/>
                  <w:i/>
                  <w:iCs/>
                  <w:color w:val="000000"/>
                  <w:sz w:val="18"/>
                </w:rPr>
                <w:t xml:space="preserve">Phys </w:t>
              </w:r>
              <w:proofErr w:type="spellStart"/>
              <w:r w:rsidR="00993179" w:rsidRPr="00993179">
                <w:rPr>
                  <w:rStyle w:val="csl-right-inline"/>
                  <w:rFonts w:ascii="Verdana" w:hAnsi="Verdana"/>
                  <w:i/>
                  <w:iCs/>
                  <w:color w:val="000000"/>
                  <w:sz w:val="18"/>
                </w:rPr>
                <w:t>Ther</w:t>
              </w:r>
              <w:proofErr w:type="spellEnd"/>
              <w:r w:rsidR="00993179" w:rsidRPr="00993179">
                <w:rPr>
                  <w:rStyle w:val="csl-right-inline"/>
                  <w:rFonts w:ascii="Verdana" w:hAnsi="Verdana"/>
                  <w:color w:val="000000"/>
                  <w:sz w:val="18"/>
                </w:rPr>
                <w:t>. 2016;96(2):143-166. doi:10.2522/ptj.20150264</w:t>
              </w:r>
            </w:hyperlink>
          </w:p>
          <w:p w14:paraId="098FA98B" w14:textId="77777777" w:rsidR="00993179" w:rsidRPr="00993179" w:rsidRDefault="00AB09CD" w:rsidP="00993179">
            <w:pPr>
              <w:pStyle w:val="NormalWeb"/>
              <w:spacing w:afterLines="100" w:after="240" w:line="180" w:lineRule="auto"/>
              <w:ind w:left="520" w:hanging="520"/>
              <w:rPr>
                <w:rFonts w:ascii="Verdana" w:hAnsi="Verdana"/>
                <w:color w:val="000000"/>
                <w:sz w:val="18"/>
              </w:rPr>
            </w:pPr>
            <w:hyperlink r:id="rId25" w:history="1">
              <w:r w:rsidR="00993179" w:rsidRPr="00993179">
                <w:rPr>
                  <w:rStyle w:val="csl-left-margin"/>
                  <w:rFonts w:ascii="Verdana" w:hAnsi="Verdana"/>
                  <w:color w:val="000000"/>
                  <w:sz w:val="18"/>
                </w:rPr>
                <w:t>3. 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proofErr w:type="spellStart"/>
              <w:r w:rsidR="00993179" w:rsidRPr="00993179">
                <w:rPr>
                  <w:rStyle w:val="csl-right-inline"/>
                  <w:rFonts w:ascii="Verdana" w:hAnsi="Verdana"/>
                  <w:color w:val="000000"/>
                  <w:sz w:val="18"/>
                </w:rPr>
                <w:t>Aissaoui</w:t>
              </w:r>
              <w:proofErr w:type="spellEnd"/>
              <w:r w:rsidR="00993179" w:rsidRPr="00993179">
                <w:rPr>
                  <w:rStyle w:val="csl-right-inline"/>
                  <w:rFonts w:ascii="Verdana" w:hAnsi="Verdana"/>
                  <w:color w:val="000000"/>
                  <w:sz w:val="18"/>
                </w:rPr>
                <w:t xml:space="preserve"> N, Martins E, </w:t>
              </w:r>
              <w:proofErr w:type="spellStart"/>
              <w:r w:rsidR="00993179" w:rsidRPr="00993179">
                <w:rPr>
                  <w:rStyle w:val="csl-right-inline"/>
                  <w:rFonts w:ascii="Verdana" w:hAnsi="Verdana"/>
                  <w:color w:val="000000"/>
                  <w:sz w:val="18"/>
                </w:rPr>
                <w:t>Mouly</w:t>
              </w:r>
              <w:proofErr w:type="spellEnd"/>
              <w:r w:rsidR="00993179" w:rsidRPr="00993179">
                <w:rPr>
                  <w:rStyle w:val="csl-right-inline"/>
                  <w:rFonts w:ascii="Verdana" w:hAnsi="Verdana"/>
                  <w:color w:val="000000"/>
                  <w:sz w:val="18"/>
                </w:rPr>
                <w:t xml:space="preserve"> S, Weber S, </w:t>
              </w:r>
              <w:proofErr w:type="spellStart"/>
              <w:r w:rsidR="00993179" w:rsidRPr="00993179">
                <w:rPr>
                  <w:rStyle w:val="csl-right-inline"/>
                  <w:rFonts w:ascii="Verdana" w:hAnsi="Verdana"/>
                  <w:color w:val="000000"/>
                  <w:sz w:val="18"/>
                </w:rPr>
                <w:t>Meune</w:t>
              </w:r>
              <w:proofErr w:type="spellEnd"/>
              <w:r w:rsidR="00993179" w:rsidRPr="00993179">
                <w:rPr>
                  <w:rStyle w:val="csl-right-inline"/>
                  <w:rFonts w:ascii="Verdana" w:hAnsi="Verdana"/>
                  <w:color w:val="000000"/>
                  <w:sz w:val="18"/>
                </w:rPr>
                <w:t xml:space="preserve"> C. A meta-analysis of bed rest versus early ambulation in the management of pulmonary embolism, deep vein thrombosis, or both. </w:t>
              </w:r>
              <w:r w:rsidR="00993179" w:rsidRPr="00993179">
                <w:rPr>
                  <w:rStyle w:val="csl-right-inline"/>
                  <w:rFonts w:ascii="Verdana" w:hAnsi="Verdana"/>
                  <w:i/>
                  <w:iCs/>
                  <w:color w:val="000000"/>
                  <w:sz w:val="18"/>
                </w:rPr>
                <w:t xml:space="preserve">Int J </w:t>
              </w:r>
              <w:proofErr w:type="spellStart"/>
              <w:r w:rsidR="00993179" w:rsidRPr="00993179">
                <w:rPr>
                  <w:rStyle w:val="csl-right-inline"/>
                  <w:rFonts w:ascii="Verdana" w:hAnsi="Verdana"/>
                  <w:i/>
                  <w:iCs/>
                  <w:color w:val="000000"/>
                  <w:sz w:val="18"/>
                </w:rPr>
                <w:t>Cardiol</w:t>
              </w:r>
              <w:proofErr w:type="spellEnd"/>
              <w:r w:rsidR="00993179" w:rsidRPr="00993179">
                <w:rPr>
                  <w:rStyle w:val="csl-right-inline"/>
                  <w:rFonts w:ascii="Verdana" w:hAnsi="Verdana"/>
                  <w:color w:val="000000"/>
                  <w:sz w:val="18"/>
                </w:rPr>
                <w:t xml:space="preserve">. 2009;137(1):37-41. </w:t>
              </w:r>
              <w:proofErr w:type="gramStart"/>
              <w:r w:rsidR="00993179" w:rsidRPr="00993179">
                <w:rPr>
                  <w:rStyle w:val="csl-right-inline"/>
                  <w:rFonts w:ascii="Verdana" w:hAnsi="Verdana"/>
                  <w:color w:val="000000"/>
                  <w:sz w:val="18"/>
                </w:rPr>
                <w:t>doi:10.1016/j.ijcard</w:t>
              </w:r>
              <w:proofErr w:type="gramEnd"/>
              <w:r w:rsidR="00993179" w:rsidRPr="00993179">
                <w:rPr>
                  <w:rStyle w:val="csl-right-inline"/>
                  <w:rFonts w:ascii="Verdana" w:hAnsi="Verdana"/>
                  <w:color w:val="000000"/>
                  <w:sz w:val="18"/>
                </w:rPr>
                <w:t>.2008.06.020</w:t>
              </w:r>
            </w:hyperlink>
          </w:p>
          <w:p w14:paraId="6767EC72" w14:textId="77777777" w:rsidR="00993179" w:rsidRPr="00993179" w:rsidRDefault="00AB09CD" w:rsidP="00993179">
            <w:pPr>
              <w:pStyle w:val="NormalWeb"/>
              <w:spacing w:afterLines="100" w:after="240" w:line="180" w:lineRule="auto"/>
              <w:ind w:left="520" w:hanging="520"/>
              <w:rPr>
                <w:rFonts w:ascii="Verdana" w:hAnsi="Verdana"/>
                <w:color w:val="000000"/>
                <w:sz w:val="18"/>
              </w:rPr>
            </w:pPr>
            <w:hyperlink r:id="rId26" w:history="1">
              <w:r w:rsidR="00993179" w:rsidRPr="00993179">
                <w:rPr>
                  <w:rStyle w:val="csl-left-margin"/>
                  <w:rFonts w:ascii="Verdana" w:hAnsi="Verdana"/>
                  <w:color w:val="000000"/>
                  <w:sz w:val="18"/>
                </w:rPr>
                <w:t>4. 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right-inline"/>
                  <w:rFonts w:ascii="Verdana" w:hAnsi="Verdana"/>
                  <w:color w:val="000000"/>
                  <w:sz w:val="18"/>
                </w:rPr>
                <w:t xml:space="preserve">Aldrich D, Hunt DP. When can the patient with deep venous thrombosis begin to ambulate? </w:t>
              </w:r>
              <w:r w:rsidR="00993179" w:rsidRPr="00993179">
                <w:rPr>
                  <w:rStyle w:val="csl-right-inline"/>
                  <w:rFonts w:ascii="Verdana" w:hAnsi="Verdana"/>
                  <w:i/>
                  <w:iCs/>
                  <w:color w:val="000000"/>
                  <w:sz w:val="18"/>
                </w:rPr>
                <w:t xml:space="preserve">Phys </w:t>
              </w:r>
              <w:proofErr w:type="spellStart"/>
              <w:r w:rsidR="00993179" w:rsidRPr="00993179">
                <w:rPr>
                  <w:rStyle w:val="csl-right-inline"/>
                  <w:rFonts w:ascii="Verdana" w:hAnsi="Verdana"/>
                  <w:i/>
                  <w:iCs/>
                  <w:color w:val="000000"/>
                  <w:sz w:val="18"/>
                </w:rPr>
                <w:t>Ther</w:t>
              </w:r>
              <w:proofErr w:type="spellEnd"/>
              <w:r w:rsidR="00993179" w:rsidRPr="00993179">
                <w:rPr>
                  <w:rStyle w:val="csl-right-inline"/>
                  <w:rFonts w:ascii="Verdana" w:hAnsi="Verdana"/>
                  <w:color w:val="000000"/>
                  <w:sz w:val="18"/>
                </w:rPr>
                <w:t>. 2004;84(3):268-273. doi:10.1093/</w:t>
              </w:r>
              <w:proofErr w:type="spellStart"/>
              <w:r w:rsidR="00993179" w:rsidRPr="00993179">
                <w:rPr>
                  <w:rStyle w:val="csl-right-inline"/>
                  <w:rFonts w:ascii="Verdana" w:hAnsi="Verdana"/>
                  <w:color w:val="000000"/>
                  <w:sz w:val="18"/>
                </w:rPr>
                <w:t>ptj</w:t>
              </w:r>
              <w:proofErr w:type="spellEnd"/>
              <w:r w:rsidR="00993179" w:rsidRPr="00993179">
                <w:rPr>
                  <w:rStyle w:val="csl-right-inline"/>
                  <w:rFonts w:ascii="Verdana" w:hAnsi="Verdana"/>
                  <w:color w:val="000000"/>
                  <w:sz w:val="18"/>
                </w:rPr>
                <w:t>/84.3.268</w:t>
              </w:r>
            </w:hyperlink>
          </w:p>
          <w:p w14:paraId="18E6BF09" w14:textId="77777777" w:rsidR="00993179" w:rsidRPr="00993179" w:rsidRDefault="00AB09CD" w:rsidP="00993179">
            <w:pPr>
              <w:pStyle w:val="NormalWeb"/>
              <w:spacing w:afterLines="100" w:after="240" w:line="180" w:lineRule="auto"/>
              <w:ind w:left="520" w:hanging="520"/>
              <w:rPr>
                <w:rFonts w:ascii="Verdana" w:hAnsi="Verdana"/>
                <w:color w:val="000000"/>
                <w:sz w:val="18"/>
              </w:rPr>
            </w:pPr>
            <w:hyperlink r:id="rId27" w:history="1">
              <w:r w:rsidR="00993179" w:rsidRPr="00993179">
                <w:rPr>
                  <w:rStyle w:val="csl-left-margin"/>
                  <w:rFonts w:ascii="Verdana" w:hAnsi="Verdana"/>
                  <w:color w:val="000000"/>
                  <w:sz w:val="18"/>
                </w:rPr>
                <w:t>5. 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right-inline"/>
                  <w:rFonts w:ascii="Verdana" w:hAnsi="Verdana"/>
                  <w:color w:val="000000"/>
                  <w:sz w:val="18"/>
                </w:rPr>
                <w:t xml:space="preserve">Anderson CM, </w:t>
              </w:r>
              <w:proofErr w:type="spellStart"/>
              <w:r w:rsidR="00993179" w:rsidRPr="00993179">
                <w:rPr>
                  <w:rStyle w:val="csl-right-inline"/>
                  <w:rFonts w:ascii="Verdana" w:hAnsi="Verdana"/>
                  <w:color w:val="000000"/>
                  <w:sz w:val="18"/>
                </w:rPr>
                <w:t>Overend</w:t>
              </w:r>
              <w:proofErr w:type="spellEnd"/>
              <w:r w:rsidR="00993179" w:rsidRPr="00993179">
                <w:rPr>
                  <w:rStyle w:val="csl-right-inline"/>
                  <w:rFonts w:ascii="Verdana" w:hAnsi="Verdana"/>
                  <w:color w:val="000000"/>
                  <w:sz w:val="18"/>
                </w:rPr>
                <w:t xml:space="preserve"> TJ, Godwin J, Sealy C, Sunderji A. Ambulation after deep vein thrombosis: a systematic review. </w:t>
              </w:r>
              <w:proofErr w:type="spellStart"/>
              <w:r w:rsidR="00993179" w:rsidRPr="00993179">
                <w:rPr>
                  <w:rStyle w:val="csl-right-inline"/>
                  <w:rFonts w:ascii="Verdana" w:hAnsi="Verdana"/>
                  <w:i/>
                  <w:iCs/>
                  <w:color w:val="000000"/>
                  <w:sz w:val="18"/>
                </w:rPr>
                <w:t>Physiother</w:t>
              </w:r>
              <w:proofErr w:type="spellEnd"/>
              <w:r w:rsidR="00993179" w:rsidRPr="00993179">
                <w:rPr>
                  <w:rStyle w:val="csl-right-inline"/>
                  <w:rFonts w:ascii="Verdana" w:hAnsi="Verdana"/>
                  <w:i/>
                  <w:iCs/>
                  <w:color w:val="000000"/>
                  <w:sz w:val="18"/>
                </w:rPr>
                <w:t xml:space="preserve"> Can</w:t>
              </w:r>
              <w:r w:rsidR="00993179" w:rsidRPr="00993179">
                <w:rPr>
                  <w:rStyle w:val="csl-right-inline"/>
                  <w:rFonts w:ascii="Verdana" w:hAnsi="Verdana"/>
                  <w:color w:val="000000"/>
                  <w:sz w:val="18"/>
                </w:rPr>
                <w:t>. 2009;61(3):133-140. doi:10.3138/physio.61.3.133</w:t>
              </w:r>
            </w:hyperlink>
          </w:p>
          <w:p w14:paraId="673B8C24" w14:textId="77777777" w:rsidR="00993179" w:rsidRPr="00993179" w:rsidRDefault="00AB09CD" w:rsidP="00993179">
            <w:pPr>
              <w:pStyle w:val="NormalWeb"/>
              <w:spacing w:afterLines="100" w:after="240" w:line="180" w:lineRule="auto"/>
              <w:ind w:left="520" w:hanging="520"/>
              <w:rPr>
                <w:rFonts w:ascii="Verdana" w:hAnsi="Verdana"/>
                <w:color w:val="000000"/>
                <w:sz w:val="18"/>
              </w:rPr>
            </w:pPr>
            <w:hyperlink r:id="rId28" w:history="1">
              <w:r w:rsidR="00993179" w:rsidRPr="00993179">
                <w:rPr>
                  <w:rStyle w:val="csl-left-margin"/>
                  <w:rFonts w:ascii="Verdana" w:hAnsi="Verdana"/>
                  <w:color w:val="000000"/>
                  <w:sz w:val="18"/>
                </w:rPr>
                <w:t>6. 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right-inline"/>
                  <w:rFonts w:ascii="Verdana" w:hAnsi="Verdana"/>
                  <w:color w:val="000000"/>
                  <w:sz w:val="18"/>
                </w:rPr>
                <w:t xml:space="preserve">Gay V, Hamilton R, </w:t>
              </w:r>
              <w:proofErr w:type="spellStart"/>
              <w:r w:rsidR="00993179" w:rsidRPr="00993179">
                <w:rPr>
                  <w:rStyle w:val="csl-right-inline"/>
                  <w:rFonts w:ascii="Verdana" w:hAnsi="Verdana"/>
                  <w:color w:val="000000"/>
                  <w:sz w:val="18"/>
                </w:rPr>
                <w:t>Heiskill</w:t>
              </w:r>
              <w:proofErr w:type="spellEnd"/>
              <w:r w:rsidR="00993179" w:rsidRPr="00993179">
                <w:rPr>
                  <w:rStyle w:val="csl-right-inline"/>
                  <w:rFonts w:ascii="Verdana" w:hAnsi="Verdana"/>
                  <w:color w:val="000000"/>
                  <w:sz w:val="18"/>
                </w:rPr>
                <w:t xml:space="preserve"> S, Sparks AM. Influence of Bedrest or Ambulation </w:t>
              </w:r>
              <w:proofErr w:type="gramStart"/>
              <w:r w:rsidR="00993179" w:rsidRPr="00993179">
                <w:rPr>
                  <w:rStyle w:val="csl-right-inline"/>
                  <w:rFonts w:ascii="Verdana" w:hAnsi="Verdana"/>
                  <w:color w:val="000000"/>
                  <w:sz w:val="18"/>
                </w:rPr>
                <w:t>In</w:t>
              </w:r>
              <w:proofErr w:type="gramEnd"/>
              <w:r w:rsidR="00993179" w:rsidRPr="00993179">
                <w:rPr>
                  <w:rStyle w:val="csl-right-inline"/>
                  <w:rFonts w:ascii="Verdana" w:hAnsi="Verdana"/>
                  <w:color w:val="000000"/>
                  <w:sz w:val="18"/>
                </w:rPr>
                <w:t xml:space="preserve"> the Clinical Treatment of Acute Deep Vein Thrombosis on Patient Outcomes: A Review and Synthesis Of the Literature. </w:t>
              </w:r>
              <w:proofErr w:type="spellStart"/>
              <w:r w:rsidR="00993179" w:rsidRPr="00993179">
                <w:rPr>
                  <w:rStyle w:val="csl-right-inline"/>
                  <w:rFonts w:ascii="Verdana" w:hAnsi="Verdana"/>
                  <w:i/>
                  <w:iCs/>
                  <w:color w:val="000000"/>
                  <w:sz w:val="18"/>
                </w:rPr>
                <w:t>Medsurg</w:t>
              </w:r>
              <w:proofErr w:type="spellEnd"/>
              <w:r w:rsidR="00993179" w:rsidRPr="00993179">
                <w:rPr>
                  <w:rStyle w:val="csl-right-inline"/>
                  <w:rFonts w:ascii="Verdana" w:hAnsi="Verdana"/>
                  <w:i/>
                  <w:iCs/>
                  <w:color w:val="000000"/>
                  <w:sz w:val="18"/>
                </w:rPr>
                <w:t xml:space="preserve"> </w:t>
              </w:r>
              <w:proofErr w:type="spellStart"/>
              <w:r w:rsidR="00993179" w:rsidRPr="00993179">
                <w:rPr>
                  <w:rStyle w:val="csl-right-inline"/>
                  <w:rFonts w:ascii="Verdana" w:hAnsi="Verdana"/>
                  <w:i/>
                  <w:iCs/>
                  <w:color w:val="000000"/>
                  <w:sz w:val="18"/>
                </w:rPr>
                <w:t>Nurs</w:t>
              </w:r>
              <w:proofErr w:type="spellEnd"/>
              <w:r w:rsidR="00993179" w:rsidRPr="00993179">
                <w:rPr>
                  <w:rStyle w:val="csl-right-inline"/>
                  <w:rFonts w:ascii="Verdana" w:hAnsi="Verdana"/>
                  <w:color w:val="000000"/>
                  <w:sz w:val="18"/>
                </w:rPr>
                <w:t>. Published online 2009.</w:t>
              </w:r>
            </w:hyperlink>
          </w:p>
          <w:p w14:paraId="727C330B" w14:textId="77777777" w:rsidR="00993179" w:rsidRPr="00993179" w:rsidRDefault="00AB09CD" w:rsidP="00993179">
            <w:pPr>
              <w:pStyle w:val="NormalWeb"/>
              <w:spacing w:afterLines="100" w:after="240" w:line="180" w:lineRule="auto"/>
              <w:ind w:left="520" w:hanging="520"/>
              <w:rPr>
                <w:rFonts w:ascii="Verdana" w:hAnsi="Verdana"/>
                <w:color w:val="000000"/>
                <w:sz w:val="18"/>
              </w:rPr>
            </w:pPr>
            <w:hyperlink r:id="rId29" w:history="1">
              <w:r w:rsidR="00993179" w:rsidRPr="00993179">
                <w:rPr>
                  <w:rStyle w:val="csl-left-margin"/>
                  <w:rFonts w:ascii="Verdana" w:hAnsi="Verdana"/>
                  <w:color w:val="000000"/>
                  <w:sz w:val="18"/>
                </w:rPr>
                <w:t>7. 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proofErr w:type="spellStart"/>
              <w:r w:rsidR="00993179" w:rsidRPr="00993179">
                <w:rPr>
                  <w:rStyle w:val="csl-right-inline"/>
                  <w:rFonts w:ascii="Verdana" w:hAnsi="Verdana"/>
                  <w:color w:val="000000"/>
                  <w:sz w:val="18"/>
                </w:rPr>
                <w:t>Manganaro</w:t>
              </w:r>
              <w:proofErr w:type="spellEnd"/>
              <w:r w:rsidR="00993179" w:rsidRPr="00993179">
                <w:rPr>
                  <w:rStyle w:val="csl-right-inline"/>
                  <w:rFonts w:ascii="Verdana" w:hAnsi="Verdana"/>
                  <w:color w:val="000000"/>
                  <w:sz w:val="18"/>
                </w:rPr>
                <w:t xml:space="preserve"> A, Ando G, </w:t>
              </w:r>
              <w:proofErr w:type="spellStart"/>
              <w:r w:rsidR="00993179" w:rsidRPr="00993179">
                <w:rPr>
                  <w:rStyle w:val="csl-right-inline"/>
                  <w:rFonts w:ascii="Verdana" w:hAnsi="Verdana"/>
                  <w:color w:val="000000"/>
                  <w:sz w:val="18"/>
                </w:rPr>
                <w:t>Lembo</w:t>
              </w:r>
              <w:proofErr w:type="spellEnd"/>
              <w:r w:rsidR="00993179" w:rsidRPr="00993179">
                <w:rPr>
                  <w:rStyle w:val="csl-right-inline"/>
                  <w:rFonts w:ascii="Verdana" w:hAnsi="Verdana"/>
                  <w:color w:val="000000"/>
                  <w:sz w:val="18"/>
                </w:rPr>
                <w:t xml:space="preserve"> D, </w:t>
              </w:r>
              <w:proofErr w:type="spellStart"/>
              <w:r w:rsidR="00993179" w:rsidRPr="00993179">
                <w:rPr>
                  <w:rStyle w:val="csl-right-inline"/>
                  <w:rFonts w:ascii="Verdana" w:hAnsi="Verdana"/>
                  <w:color w:val="000000"/>
                  <w:sz w:val="18"/>
                </w:rPr>
                <w:t>Sutera</w:t>
              </w:r>
              <w:proofErr w:type="spellEnd"/>
              <w:r w:rsidR="00993179" w:rsidRPr="00993179">
                <w:rPr>
                  <w:rStyle w:val="csl-right-inline"/>
                  <w:rFonts w:ascii="Verdana" w:hAnsi="Verdana"/>
                  <w:color w:val="000000"/>
                  <w:sz w:val="18"/>
                </w:rPr>
                <w:t xml:space="preserve"> </w:t>
              </w:r>
              <w:proofErr w:type="spellStart"/>
              <w:r w:rsidR="00993179" w:rsidRPr="00993179">
                <w:rPr>
                  <w:rStyle w:val="csl-right-inline"/>
                  <w:rFonts w:ascii="Verdana" w:hAnsi="Verdana"/>
                  <w:color w:val="000000"/>
                  <w:sz w:val="18"/>
                </w:rPr>
                <w:t>Sardo</w:t>
              </w:r>
              <w:proofErr w:type="spellEnd"/>
              <w:r w:rsidR="00993179" w:rsidRPr="00993179">
                <w:rPr>
                  <w:rStyle w:val="csl-right-inline"/>
                  <w:rFonts w:ascii="Verdana" w:hAnsi="Verdana"/>
                  <w:color w:val="000000"/>
                  <w:sz w:val="18"/>
                </w:rPr>
                <w:t xml:space="preserve"> L, Buda D. A retrospective analysis of hospitalized patients with documented deep-venous thrombosis and their risk of pulmonary embolism. </w:t>
              </w:r>
              <w:r w:rsidR="00993179" w:rsidRPr="00993179">
                <w:rPr>
                  <w:rStyle w:val="csl-right-inline"/>
                  <w:rFonts w:ascii="Verdana" w:hAnsi="Verdana"/>
                  <w:i/>
                  <w:iCs/>
                  <w:color w:val="000000"/>
                  <w:sz w:val="18"/>
                </w:rPr>
                <w:t>Angiology</w:t>
              </w:r>
              <w:r w:rsidR="00993179" w:rsidRPr="00993179">
                <w:rPr>
                  <w:rStyle w:val="csl-right-inline"/>
                  <w:rFonts w:ascii="Verdana" w:hAnsi="Verdana"/>
                  <w:color w:val="000000"/>
                  <w:sz w:val="18"/>
                </w:rPr>
                <w:t>. 2008;59(5):599-604. doi:10.1177/0003319707309655</w:t>
              </w:r>
            </w:hyperlink>
          </w:p>
          <w:p w14:paraId="21BF1167" w14:textId="77777777" w:rsidR="00993179" w:rsidRPr="00993179" w:rsidRDefault="00AB09CD" w:rsidP="00993179">
            <w:pPr>
              <w:pStyle w:val="NormalWeb"/>
              <w:spacing w:afterLines="100" w:after="240" w:line="180" w:lineRule="auto"/>
              <w:ind w:left="520" w:hanging="520"/>
              <w:rPr>
                <w:rFonts w:ascii="Verdana" w:hAnsi="Verdana"/>
                <w:color w:val="000000"/>
                <w:sz w:val="18"/>
              </w:rPr>
            </w:pPr>
            <w:hyperlink r:id="rId30" w:history="1">
              <w:r w:rsidR="00993179" w:rsidRPr="00993179">
                <w:rPr>
                  <w:rStyle w:val="csl-left-margin"/>
                  <w:rFonts w:ascii="Verdana" w:hAnsi="Verdana"/>
                  <w:color w:val="000000"/>
                  <w:sz w:val="18"/>
                </w:rPr>
                <w:t>8. 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proofErr w:type="spellStart"/>
              <w:r w:rsidR="00993179" w:rsidRPr="00993179">
                <w:rPr>
                  <w:rStyle w:val="csl-right-inline"/>
                  <w:rFonts w:ascii="Verdana" w:hAnsi="Verdana"/>
                  <w:color w:val="000000"/>
                  <w:sz w:val="18"/>
                </w:rPr>
                <w:t>Romera</w:t>
              </w:r>
              <w:proofErr w:type="spellEnd"/>
              <w:r w:rsidR="00993179" w:rsidRPr="00993179">
                <w:rPr>
                  <w:rStyle w:val="csl-right-inline"/>
                  <w:rFonts w:ascii="Verdana" w:hAnsi="Verdana"/>
                  <w:color w:val="000000"/>
                  <w:sz w:val="18"/>
                </w:rPr>
                <w:t xml:space="preserve">-Villegas A, </w:t>
              </w:r>
              <w:proofErr w:type="spellStart"/>
              <w:r w:rsidR="00993179" w:rsidRPr="00993179">
                <w:rPr>
                  <w:rStyle w:val="csl-right-inline"/>
                  <w:rFonts w:ascii="Verdana" w:hAnsi="Verdana"/>
                  <w:color w:val="000000"/>
                  <w:sz w:val="18"/>
                </w:rPr>
                <w:t>Cairols-Castellote</w:t>
              </w:r>
              <w:proofErr w:type="spellEnd"/>
              <w:r w:rsidR="00993179" w:rsidRPr="00993179">
                <w:rPr>
                  <w:rStyle w:val="csl-right-inline"/>
                  <w:rFonts w:ascii="Verdana" w:hAnsi="Verdana"/>
                  <w:color w:val="000000"/>
                  <w:sz w:val="18"/>
                </w:rPr>
                <w:t xml:space="preserve"> MA, Villa-Coll R, et al. Early </w:t>
              </w:r>
              <w:proofErr w:type="spellStart"/>
              <w:r w:rsidR="00993179" w:rsidRPr="00993179">
                <w:rPr>
                  <w:rStyle w:val="csl-right-inline"/>
                  <w:rFonts w:ascii="Verdana" w:hAnsi="Verdana"/>
                  <w:color w:val="000000"/>
                  <w:sz w:val="18"/>
                </w:rPr>
                <w:t>mobilisation</w:t>
              </w:r>
              <w:proofErr w:type="spellEnd"/>
              <w:r w:rsidR="00993179" w:rsidRPr="00993179">
                <w:rPr>
                  <w:rStyle w:val="csl-right-inline"/>
                  <w:rFonts w:ascii="Verdana" w:hAnsi="Verdana"/>
                  <w:color w:val="000000"/>
                  <w:sz w:val="18"/>
                </w:rPr>
                <w:t xml:space="preserve"> in patients with acute deep vein thrombosis does not increase the risk of symptomatic pulmonary embolism. </w:t>
              </w:r>
              <w:r w:rsidR="00993179" w:rsidRPr="00993179">
                <w:rPr>
                  <w:rStyle w:val="csl-right-inline"/>
                  <w:rFonts w:ascii="Verdana" w:hAnsi="Verdana"/>
                  <w:i/>
                  <w:iCs/>
                  <w:color w:val="000000"/>
                  <w:sz w:val="18"/>
                </w:rPr>
                <w:t xml:space="preserve">Int J </w:t>
              </w:r>
              <w:proofErr w:type="spellStart"/>
              <w:r w:rsidR="00993179" w:rsidRPr="00993179">
                <w:rPr>
                  <w:rStyle w:val="csl-right-inline"/>
                  <w:rFonts w:ascii="Verdana" w:hAnsi="Verdana"/>
                  <w:i/>
                  <w:iCs/>
                  <w:color w:val="000000"/>
                  <w:sz w:val="18"/>
                </w:rPr>
                <w:t>Angiol</w:t>
              </w:r>
              <w:proofErr w:type="spellEnd"/>
              <w:r w:rsidR="00993179" w:rsidRPr="00993179">
                <w:rPr>
                  <w:rStyle w:val="csl-right-inline"/>
                  <w:rFonts w:ascii="Verdana" w:hAnsi="Verdana"/>
                  <w:color w:val="000000"/>
                  <w:sz w:val="18"/>
                </w:rPr>
                <w:t>. Published online 2008.</w:t>
              </w:r>
            </w:hyperlink>
          </w:p>
          <w:p w14:paraId="3A0B5F2E" w14:textId="77777777" w:rsidR="00993179" w:rsidRPr="00993179" w:rsidRDefault="00AB09CD" w:rsidP="00993179">
            <w:pPr>
              <w:pStyle w:val="NormalWeb"/>
              <w:spacing w:afterLines="100" w:after="240" w:line="180" w:lineRule="auto"/>
              <w:ind w:left="520" w:hanging="520"/>
              <w:rPr>
                <w:rFonts w:ascii="Verdana" w:hAnsi="Verdana"/>
                <w:color w:val="000000"/>
                <w:sz w:val="18"/>
              </w:rPr>
            </w:pPr>
            <w:hyperlink r:id="rId31" w:history="1">
              <w:r w:rsidR="00993179" w:rsidRPr="00993179">
                <w:rPr>
                  <w:rStyle w:val="csl-left-margin"/>
                  <w:rFonts w:ascii="Verdana" w:hAnsi="Verdana"/>
                  <w:color w:val="000000"/>
                  <w:sz w:val="18"/>
                </w:rPr>
                <w:t>9. 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left-margin"/>
                  <w:rFonts w:ascii="Verdana" w:hAnsi="Verdana"/>
                  <w:color w:val="000000"/>
                  <w:sz w:val="18"/>
                </w:rPr>
                <w:t> </w:t>
              </w:r>
              <w:r w:rsidR="00993179" w:rsidRPr="00993179">
                <w:rPr>
                  <w:rStyle w:val="csl-right-inline"/>
                  <w:rFonts w:ascii="Verdana" w:hAnsi="Verdana"/>
                  <w:color w:val="000000"/>
                  <w:sz w:val="18"/>
                </w:rPr>
                <w:t xml:space="preserve">Shea BJ, Reeves BC, Wells G, et al. AMSTAR 2: a critical appraisal tool for systematic reviews that include </w:t>
              </w:r>
              <w:proofErr w:type="spellStart"/>
              <w:r w:rsidR="00993179" w:rsidRPr="00993179">
                <w:rPr>
                  <w:rStyle w:val="csl-right-inline"/>
                  <w:rFonts w:ascii="Verdana" w:hAnsi="Verdana"/>
                  <w:color w:val="000000"/>
                  <w:sz w:val="18"/>
                </w:rPr>
                <w:t>randomised</w:t>
              </w:r>
              <w:proofErr w:type="spellEnd"/>
              <w:r w:rsidR="00993179" w:rsidRPr="00993179">
                <w:rPr>
                  <w:rStyle w:val="csl-right-inline"/>
                  <w:rFonts w:ascii="Verdana" w:hAnsi="Verdana"/>
                  <w:color w:val="000000"/>
                  <w:sz w:val="18"/>
                </w:rPr>
                <w:t xml:space="preserve"> or non-</w:t>
              </w:r>
              <w:proofErr w:type="spellStart"/>
              <w:r w:rsidR="00993179" w:rsidRPr="00993179">
                <w:rPr>
                  <w:rStyle w:val="csl-right-inline"/>
                  <w:rFonts w:ascii="Verdana" w:hAnsi="Verdana"/>
                  <w:color w:val="000000"/>
                  <w:sz w:val="18"/>
                </w:rPr>
                <w:t>randomised</w:t>
              </w:r>
              <w:proofErr w:type="spellEnd"/>
              <w:r w:rsidR="00993179" w:rsidRPr="00993179">
                <w:rPr>
                  <w:rStyle w:val="csl-right-inline"/>
                  <w:rFonts w:ascii="Verdana" w:hAnsi="Verdana"/>
                  <w:color w:val="000000"/>
                  <w:sz w:val="18"/>
                </w:rPr>
                <w:t xml:space="preserve"> studies of healthcare interventions, or both. </w:t>
              </w:r>
              <w:r w:rsidR="00993179" w:rsidRPr="00993179">
                <w:rPr>
                  <w:rStyle w:val="csl-right-inline"/>
                  <w:rFonts w:ascii="Verdana" w:hAnsi="Verdana"/>
                  <w:i/>
                  <w:iCs/>
                  <w:color w:val="000000"/>
                  <w:sz w:val="18"/>
                </w:rPr>
                <w:t>BMJ</w:t>
              </w:r>
              <w:r w:rsidR="00993179" w:rsidRPr="00993179">
                <w:rPr>
                  <w:rStyle w:val="csl-right-inline"/>
                  <w:rFonts w:ascii="Verdana" w:hAnsi="Verdana"/>
                  <w:color w:val="000000"/>
                  <w:sz w:val="18"/>
                </w:rPr>
                <w:t>. 2017;</w:t>
              </w:r>
              <w:proofErr w:type="gramStart"/>
              <w:r w:rsidR="00993179" w:rsidRPr="00993179">
                <w:rPr>
                  <w:rStyle w:val="csl-right-inline"/>
                  <w:rFonts w:ascii="Verdana" w:hAnsi="Verdana"/>
                  <w:color w:val="000000"/>
                  <w:sz w:val="18"/>
                </w:rPr>
                <w:t>358:j</w:t>
              </w:r>
              <w:proofErr w:type="gramEnd"/>
              <w:r w:rsidR="00993179" w:rsidRPr="00993179">
                <w:rPr>
                  <w:rStyle w:val="csl-right-inline"/>
                  <w:rFonts w:ascii="Verdana" w:hAnsi="Verdana"/>
                  <w:color w:val="000000"/>
                  <w:sz w:val="18"/>
                </w:rPr>
                <w:t>4008. doi:10.1136/</w:t>
              </w:r>
              <w:proofErr w:type="gramStart"/>
              <w:r w:rsidR="00993179" w:rsidRPr="00993179">
                <w:rPr>
                  <w:rStyle w:val="csl-right-inline"/>
                  <w:rFonts w:ascii="Verdana" w:hAnsi="Verdana"/>
                  <w:color w:val="000000"/>
                  <w:sz w:val="18"/>
                </w:rPr>
                <w:t>bmj.j</w:t>
              </w:r>
              <w:proofErr w:type="gramEnd"/>
              <w:r w:rsidR="00993179" w:rsidRPr="00993179">
                <w:rPr>
                  <w:rStyle w:val="csl-right-inline"/>
                  <w:rFonts w:ascii="Verdana" w:hAnsi="Verdana"/>
                  <w:color w:val="000000"/>
                  <w:sz w:val="18"/>
                </w:rPr>
                <w:t>4008</w:t>
              </w:r>
            </w:hyperlink>
          </w:p>
          <w:p w14:paraId="614F3B7B" w14:textId="77777777" w:rsidR="00993179" w:rsidRPr="007D35DE" w:rsidRDefault="00AB09CD" w:rsidP="00993179">
            <w:pPr>
              <w:tabs>
                <w:tab w:val="left" w:pos="480"/>
              </w:tabs>
              <w:spacing w:afterLines="100" w:after="240" w:line="180" w:lineRule="auto"/>
              <w:ind w:left="520" w:hanging="520"/>
              <w:jc w:val="both"/>
              <w:rPr>
                <w:sz w:val="18"/>
                <w:szCs w:val="18"/>
              </w:rPr>
            </w:pPr>
            <w:hyperlink r:id="rId32" w:history="1">
              <w:r w:rsidR="00993179" w:rsidRPr="00993179">
                <w:rPr>
                  <w:rStyle w:val="csl-left-margin"/>
                  <w:color w:val="000000"/>
                  <w:sz w:val="18"/>
                </w:rPr>
                <w:t>10. </w:t>
              </w:r>
              <w:r w:rsidR="00993179" w:rsidRPr="00993179">
                <w:rPr>
                  <w:rStyle w:val="csl-left-margin"/>
                  <w:color w:val="000000"/>
                  <w:sz w:val="18"/>
                </w:rPr>
                <w:t> </w:t>
              </w:r>
              <w:r w:rsidR="00993179" w:rsidRPr="00993179">
                <w:rPr>
                  <w:rStyle w:val="csl-left-margin"/>
                  <w:color w:val="000000"/>
                  <w:sz w:val="18"/>
                </w:rPr>
                <w:t> </w:t>
              </w:r>
              <w:r w:rsidR="00993179" w:rsidRPr="00993179">
                <w:rPr>
                  <w:rStyle w:val="csl-right-inline"/>
                  <w:color w:val="000000"/>
                  <w:sz w:val="18"/>
                </w:rPr>
                <w:t xml:space="preserve">Brouwers MC, </w:t>
              </w:r>
              <w:proofErr w:type="spellStart"/>
              <w:r w:rsidR="00993179" w:rsidRPr="00993179">
                <w:rPr>
                  <w:rStyle w:val="csl-right-inline"/>
                  <w:color w:val="000000"/>
                  <w:sz w:val="18"/>
                </w:rPr>
                <w:t>Browman</w:t>
              </w:r>
              <w:proofErr w:type="spellEnd"/>
              <w:r w:rsidR="00993179" w:rsidRPr="00993179">
                <w:rPr>
                  <w:rStyle w:val="csl-right-inline"/>
                  <w:color w:val="000000"/>
                  <w:sz w:val="18"/>
                </w:rPr>
                <w:t xml:space="preserve"> GP, Burgers JS. Appraisal of Guidelines for Research and Evaluation II [Electronic version]. </w:t>
              </w:r>
              <w:r w:rsidR="00993179" w:rsidRPr="00993179">
                <w:rPr>
                  <w:rStyle w:val="csl-right-inline"/>
                  <w:i/>
                  <w:iCs/>
                  <w:color w:val="000000"/>
                  <w:sz w:val="18"/>
                </w:rPr>
                <w:t>AGREE Next Steps Consortium</w:t>
              </w:r>
              <w:r w:rsidR="00993179" w:rsidRPr="00993179">
                <w:rPr>
                  <w:rStyle w:val="csl-right-inline"/>
                  <w:color w:val="000000"/>
                  <w:sz w:val="18"/>
                </w:rPr>
                <w:t>. Published online 2017.</w:t>
              </w:r>
            </w:hyperlink>
            <w:r w:rsidR="00993179" w:rsidRPr="00993179">
              <w:rPr>
                <w:color w:val="000000"/>
                <w:sz w:val="18"/>
              </w:rPr>
              <w:t xml:space="preserve"> </w:t>
            </w:r>
          </w:p>
          <w:p w14:paraId="1B397440" w14:textId="77777777" w:rsidR="001E1518" w:rsidRPr="002F16E1" w:rsidRDefault="001E1518" w:rsidP="002F16E1">
            <w:pPr>
              <w:spacing w:before="120" w:after="120"/>
              <w:rPr>
                <w:sz w:val="18"/>
                <w:szCs w:val="18"/>
              </w:rPr>
            </w:pPr>
          </w:p>
        </w:tc>
      </w:tr>
    </w:tbl>
    <w:p w14:paraId="1CA97172" w14:textId="0556A471" w:rsidR="007D35DE" w:rsidRPr="007D35DE" w:rsidRDefault="00993179" w:rsidP="00993179">
      <w:pPr>
        <w:divId w:val="1020274010"/>
        <w:rPr>
          <w:sz w:val="18"/>
          <w:szCs w:val="18"/>
        </w:rPr>
      </w:pPr>
      <w:r>
        <w:rPr>
          <w:sz w:val="18"/>
          <w:szCs w:val="18"/>
        </w:rPr>
        <w:t xml:space="preserve"> </w:t>
      </w:r>
      <w:r w:rsidRPr="00993179">
        <w:rPr>
          <w:color w:val="000000"/>
          <w:sz w:val="18"/>
        </w:rPr>
        <w:br/>
      </w: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3C5"/>
    <w:multiLevelType w:val="hybridMultilevel"/>
    <w:tmpl w:val="1FE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53D82"/>
    <w:multiLevelType w:val="hybridMultilevel"/>
    <w:tmpl w:val="C03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706137C"/>
    <w:multiLevelType w:val="hybridMultilevel"/>
    <w:tmpl w:val="8492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3"/>
  </w:num>
  <w:num w:numId="6">
    <w:abstractNumId w:val="9"/>
  </w:num>
  <w:num w:numId="7">
    <w:abstractNumId w:val="1"/>
  </w:num>
  <w:num w:numId="8">
    <w:abstractNumId w:val="8"/>
  </w:num>
  <w:num w:numId="9">
    <w:abstractNumId w:val="14"/>
  </w:num>
  <w:num w:numId="10">
    <w:abstractNumId w:val="11"/>
  </w:num>
  <w:num w:numId="11">
    <w:abstractNumId w:val="6"/>
  </w:num>
  <w:num w:numId="12">
    <w:abstractNumId w:val="10"/>
  </w:num>
  <w:num w:numId="13">
    <w:abstractNumId w:val="10"/>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0CA4"/>
    <w:rsid w:val="00002816"/>
    <w:rsid w:val="00003D56"/>
    <w:rsid w:val="00004349"/>
    <w:rsid w:val="00005888"/>
    <w:rsid w:val="00006871"/>
    <w:rsid w:val="00006EC6"/>
    <w:rsid w:val="0000738B"/>
    <w:rsid w:val="0002168B"/>
    <w:rsid w:val="000221B2"/>
    <w:rsid w:val="0003216E"/>
    <w:rsid w:val="0003315F"/>
    <w:rsid w:val="00035307"/>
    <w:rsid w:val="00050375"/>
    <w:rsid w:val="00065734"/>
    <w:rsid w:val="000721FC"/>
    <w:rsid w:val="00076922"/>
    <w:rsid w:val="00077862"/>
    <w:rsid w:val="000810BA"/>
    <w:rsid w:val="00082CFF"/>
    <w:rsid w:val="000834FC"/>
    <w:rsid w:val="000839E0"/>
    <w:rsid w:val="00087E23"/>
    <w:rsid w:val="00094146"/>
    <w:rsid w:val="00094B7E"/>
    <w:rsid w:val="000A7312"/>
    <w:rsid w:val="000B1FB4"/>
    <w:rsid w:val="000B1FF5"/>
    <w:rsid w:val="000B3B7D"/>
    <w:rsid w:val="000B4919"/>
    <w:rsid w:val="000C1519"/>
    <w:rsid w:val="000C600B"/>
    <w:rsid w:val="000D40CD"/>
    <w:rsid w:val="000E0420"/>
    <w:rsid w:val="000E27FF"/>
    <w:rsid w:val="000F0E03"/>
    <w:rsid w:val="000F2902"/>
    <w:rsid w:val="000F3690"/>
    <w:rsid w:val="00101A23"/>
    <w:rsid w:val="00103F7B"/>
    <w:rsid w:val="001042F8"/>
    <w:rsid w:val="00106645"/>
    <w:rsid w:val="0011199B"/>
    <w:rsid w:val="00114F16"/>
    <w:rsid w:val="00115453"/>
    <w:rsid w:val="001225F5"/>
    <w:rsid w:val="00130520"/>
    <w:rsid w:val="00133195"/>
    <w:rsid w:val="00135B65"/>
    <w:rsid w:val="001403EC"/>
    <w:rsid w:val="00142348"/>
    <w:rsid w:val="00145AB2"/>
    <w:rsid w:val="00154ED5"/>
    <w:rsid w:val="00162F2E"/>
    <w:rsid w:val="00164811"/>
    <w:rsid w:val="001655BA"/>
    <w:rsid w:val="00167202"/>
    <w:rsid w:val="00175C2B"/>
    <w:rsid w:val="00184206"/>
    <w:rsid w:val="00192877"/>
    <w:rsid w:val="00192961"/>
    <w:rsid w:val="00195041"/>
    <w:rsid w:val="00196026"/>
    <w:rsid w:val="001960D2"/>
    <w:rsid w:val="001A1E39"/>
    <w:rsid w:val="001A3A66"/>
    <w:rsid w:val="001A40A0"/>
    <w:rsid w:val="001B660E"/>
    <w:rsid w:val="001B6B9B"/>
    <w:rsid w:val="001C5A94"/>
    <w:rsid w:val="001C6341"/>
    <w:rsid w:val="001C6AEF"/>
    <w:rsid w:val="001D2A0B"/>
    <w:rsid w:val="001D3ED3"/>
    <w:rsid w:val="001D4F60"/>
    <w:rsid w:val="001D5D4E"/>
    <w:rsid w:val="001D6903"/>
    <w:rsid w:val="001E1518"/>
    <w:rsid w:val="001E2169"/>
    <w:rsid w:val="001E5719"/>
    <w:rsid w:val="001F41BC"/>
    <w:rsid w:val="001F7D9A"/>
    <w:rsid w:val="00201832"/>
    <w:rsid w:val="00201F3F"/>
    <w:rsid w:val="002032B9"/>
    <w:rsid w:val="00205544"/>
    <w:rsid w:val="00206663"/>
    <w:rsid w:val="00212536"/>
    <w:rsid w:val="00215B15"/>
    <w:rsid w:val="00222B72"/>
    <w:rsid w:val="0023388F"/>
    <w:rsid w:val="00237E57"/>
    <w:rsid w:val="00240563"/>
    <w:rsid w:val="002558DB"/>
    <w:rsid w:val="00257007"/>
    <w:rsid w:val="002612AE"/>
    <w:rsid w:val="00265366"/>
    <w:rsid w:val="00271CEF"/>
    <w:rsid w:val="00273CC5"/>
    <w:rsid w:val="00276D67"/>
    <w:rsid w:val="0028056F"/>
    <w:rsid w:val="00281077"/>
    <w:rsid w:val="0028187A"/>
    <w:rsid w:val="00282449"/>
    <w:rsid w:val="00285C48"/>
    <w:rsid w:val="00293B41"/>
    <w:rsid w:val="002975D0"/>
    <w:rsid w:val="002977D9"/>
    <w:rsid w:val="002A202E"/>
    <w:rsid w:val="002A687A"/>
    <w:rsid w:val="002A69E0"/>
    <w:rsid w:val="002B55DF"/>
    <w:rsid w:val="002C0102"/>
    <w:rsid w:val="002D2D3F"/>
    <w:rsid w:val="002D5C47"/>
    <w:rsid w:val="002D6267"/>
    <w:rsid w:val="002E151C"/>
    <w:rsid w:val="002E3103"/>
    <w:rsid w:val="002E602B"/>
    <w:rsid w:val="002F16E1"/>
    <w:rsid w:val="00300998"/>
    <w:rsid w:val="003023C2"/>
    <w:rsid w:val="00311CD1"/>
    <w:rsid w:val="003152FA"/>
    <w:rsid w:val="00316189"/>
    <w:rsid w:val="003203C3"/>
    <w:rsid w:val="00320CAD"/>
    <w:rsid w:val="00326281"/>
    <w:rsid w:val="00332EB2"/>
    <w:rsid w:val="0033330C"/>
    <w:rsid w:val="00341C17"/>
    <w:rsid w:val="003475DE"/>
    <w:rsid w:val="00350995"/>
    <w:rsid w:val="00355000"/>
    <w:rsid w:val="00355D55"/>
    <w:rsid w:val="00356799"/>
    <w:rsid w:val="00363FEB"/>
    <w:rsid w:val="003647E9"/>
    <w:rsid w:val="00371C43"/>
    <w:rsid w:val="00380B69"/>
    <w:rsid w:val="00383E3A"/>
    <w:rsid w:val="0038646C"/>
    <w:rsid w:val="0038771C"/>
    <w:rsid w:val="003A0BC3"/>
    <w:rsid w:val="003A6741"/>
    <w:rsid w:val="003A7FB2"/>
    <w:rsid w:val="003B2324"/>
    <w:rsid w:val="003B5C0D"/>
    <w:rsid w:val="003B7197"/>
    <w:rsid w:val="003B7595"/>
    <w:rsid w:val="003C203E"/>
    <w:rsid w:val="003C3F01"/>
    <w:rsid w:val="003C4065"/>
    <w:rsid w:val="003C54B6"/>
    <w:rsid w:val="003D35F2"/>
    <w:rsid w:val="003D48E0"/>
    <w:rsid w:val="003F0ADD"/>
    <w:rsid w:val="003F2E81"/>
    <w:rsid w:val="003F32ED"/>
    <w:rsid w:val="003F6DB0"/>
    <w:rsid w:val="00400AAD"/>
    <w:rsid w:val="00400D14"/>
    <w:rsid w:val="004020B7"/>
    <w:rsid w:val="00403DDA"/>
    <w:rsid w:val="00407BFD"/>
    <w:rsid w:val="00414860"/>
    <w:rsid w:val="00415B87"/>
    <w:rsid w:val="00424ADF"/>
    <w:rsid w:val="00424FC6"/>
    <w:rsid w:val="0042604D"/>
    <w:rsid w:val="0042675E"/>
    <w:rsid w:val="00427524"/>
    <w:rsid w:val="00430880"/>
    <w:rsid w:val="00431D6E"/>
    <w:rsid w:val="00431F89"/>
    <w:rsid w:val="004341FB"/>
    <w:rsid w:val="00437839"/>
    <w:rsid w:val="004467A5"/>
    <w:rsid w:val="0045534B"/>
    <w:rsid w:val="004631B4"/>
    <w:rsid w:val="00466453"/>
    <w:rsid w:val="0047092A"/>
    <w:rsid w:val="00472923"/>
    <w:rsid w:val="00483B4E"/>
    <w:rsid w:val="00485876"/>
    <w:rsid w:val="00490D44"/>
    <w:rsid w:val="004927E7"/>
    <w:rsid w:val="00492B03"/>
    <w:rsid w:val="00496D0F"/>
    <w:rsid w:val="00497DB9"/>
    <w:rsid w:val="004A0EE3"/>
    <w:rsid w:val="004A1418"/>
    <w:rsid w:val="004A4CB8"/>
    <w:rsid w:val="004B2ACD"/>
    <w:rsid w:val="004B3CB2"/>
    <w:rsid w:val="004B7D98"/>
    <w:rsid w:val="004C0648"/>
    <w:rsid w:val="004D2674"/>
    <w:rsid w:val="004D46A8"/>
    <w:rsid w:val="004D73D0"/>
    <w:rsid w:val="004E5E95"/>
    <w:rsid w:val="004F05E4"/>
    <w:rsid w:val="004F59CB"/>
    <w:rsid w:val="004F629A"/>
    <w:rsid w:val="004F7128"/>
    <w:rsid w:val="005006DE"/>
    <w:rsid w:val="00503D25"/>
    <w:rsid w:val="005058E0"/>
    <w:rsid w:val="00507EC3"/>
    <w:rsid w:val="00516B29"/>
    <w:rsid w:val="005206A8"/>
    <w:rsid w:val="005218C4"/>
    <w:rsid w:val="005263ED"/>
    <w:rsid w:val="00530E5E"/>
    <w:rsid w:val="00531D85"/>
    <w:rsid w:val="00532D7D"/>
    <w:rsid w:val="0053436D"/>
    <w:rsid w:val="00534730"/>
    <w:rsid w:val="0053617F"/>
    <w:rsid w:val="00543D14"/>
    <w:rsid w:val="005458B8"/>
    <w:rsid w:val="005528C9"/>
    <w:rsid w:val="00552BD9"/>
    <w:rsid w:val="00554FFC"/>
    <w:rsid w:val="00560C22"/>
    <w:rsid w:val="00561B25"/>
    <w:rsid w:val="00572A4D"/>
    <w:rsid w:val="00573CEB"/>
    <w:rsid w:val="00574922"/>
    <w:rsid w:val="00575693"/>
    <w:rsid w:val="00586070"/>
    <w:rsid w:val="00590A83"/>
    <w:rsid w:val="00592E30"/>
    <w:rsid w:val="00593157"/>
    <w:rsid w:val="00594203"/>
    <w:rsid w:val="00594DDB"/>
    <w:rsid w:val="00597245"/>
    <w:rsid w:val="005A1289"/>
    <w:rsid w:val="005A148C"/>
    <w:rsid w:val="005A3AD4"/>
    <w:rsid w:val="005A40D7"/>
    <w:rsid w:val="005A6C2B"/>
    <w:rsid w:val="005B7AE2"/>
    <w:rsid w:val="005C11E0"/>
    <w:rsid w:val="005C54CC"/>
    <w:rsid w:val="005C6870"/>
    <w:rsid w:val="005D7E64"/>
    <w:rsid w:val="005F0EE4"/>
    <w:rsid w:val="005F736D"/>
    <w:rsid w:val="005F7821"/>
    <w:rsid w:val="00600583"/>
    <w:rsid w:val="00600DC9"/>
    <w:rsid w:val="006021A6"/>
    <w:rsid w:val="00605138"/>
    <w:rsid w:val="00607017"/>
    <w:rsid w:val="0060740C"/>
    <w:rsid w:val="006174AA"/>
    <w:rsid w:val="00622327"/>
    <w:rsid w:val="00624D85"/>
    <w:rsid w:val="00627BCF"/>
    <w:rsid w:val="006303EB"/>
    <w:rsid w:val="00632817"/>
    <w:rsid w:val="0063498E"/>
    <w:rsid w:val="00637684"/>
    <w:rsid w:val="0064237B"/>
    <w:rsid w:val="006447DE"/>
    <w:rsid w:val="00650D2D"/>
    <w:rsid w:val="00656740"/>
    <w:rsid w:val="00681012"/>
    <w:rsid w:val="0069090B"/>
    <w:rsid w:val="00693949"/>
    <w:rsid w:val="00697C16"/>
    <w:rsid w:val="006A0ACF"/>
    <w:rsid w:val="006A41F6"/>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237E2"/>
    <w:rsid w:val="00732901"/>
    <w:rsid w:val="007347B2"/>
    <w:rsid w:val="007372D3"/>
    <w:rsid w:val="007401CE"/>
    <w:rsid w:val="007402F6"/>
    <w:rsid w:val="007444A6"/>
    <w:rsid w:val="0074589E"/>
    <w:rsid w:val="0075053E"/>
    <w:rsid w:val="00752AAC"/>
    <w:rsid w:val="007534F1"/>
    <w:rsid w:val="007551A5"/>
    <w:rsid w:val="00765CAB"/>
    <w:rsid w:val="007708D3"/>
    <w:rsid w:val="0077316A"/>
    <w:rsid w:val="00775A78"/>
    <w:rsid w:val="00777E3F"/>
    <w:rsid w:val="00780624"/>
    <w:rsid w:val="00783D2E"/>
    <w:rsid w:val="00784D0A"/>
    <w:rsid w:val="00787012"/>
    <w:rsid w:val="00787853"/>
    <w:rsid w:val="00790896"/>
    <w:rsid w:val="00791304"/>
    <w:rsid w:val="007942EB"/>
    <w:rsid w:val="007969E7"/>
    <w:rsid w:val="00797818"/>
    <w:rsid w:val="007A3219"/>
    <w:rsid w:val="007A66F5"/>
    <w:rsid w:val="007A7454"/>
    <w:rsid w:val="007B42DA"/>
    <w:rsid w:val="007B78BC"/>
    <w:rsid w:val="007C4124"/>
    <w:rsid w:val="007C5669"/>
    <w:rsid w:val="007D23DF"/>
    <w:rsid w:val="007D35DE"/>
    <w:rsid w:val="007E4B3C"/>
    <w:rsid w:val="007E5125"/>
    <w:rsid w:val="007F26B9"/>
    <w:rsid w:val="00803C0C"/>
    <w:rsid w:val="00810BFD"/>
    <w:rsid w:val="00812C9E"/>
    <w:rsid w:val="00813B99"/>
    <w:rsid w:val="008178F8"/>
    <w:rsid w:val="008240D6"/>
    <w:rsid w:val="008262FD"/>
    <w:rsid w:val="00837A2B"/>
    <w:rsid w:val="00840FFF"/>
    <w:rsid w:val="00841FFB"/>
    <w:rsid w:val="00843002"/>
    <w:rsid w:val="00847429"/>
    <w:rsid w:val="008523E0"/>
    <w:rsid w:val="0086536D"/>
    <w:rsid w:val="008724B6"/>
    <w:rsid w:val="00872D60"/>
    <w:rsid w:val="008753FB"/>
    <w:rsid w:val="008756B2"/>
    <w:rsid w:val="00875B29"/>
    <w:rsid w:val="00883B17"/>
    <w:rsid w:val="0088540C"/>
    <w:rsid w:val="00892617"/>
    <w:rsid w:val="00892D15"/>
    <w:rsid w:val="008935D0"/>
    <w:rsid w:val="008975FD"/>
    <w:rsid w:val="00897A44"/>
    <w:rsid w:val="008A02AF"/>
    <w:rsid w:val="008A2ACB"/>
    <w:rsid w:val="008A4BFD"/>
    <w:rsid w:val="008A7220"/>
    <w:rsid w:val="008B031E"/>
    <w:rsid w:val="008B43B0"/>
    <w:rsid w:val="008B5180"/>
    <w:rsid w:val="008B626C"/>
    <w:rsid w:val="008C6D9D"/>
    <w:rsid w:val="008D1E76"/>
    <w:rsid w:val="008D1FE7"/>
    <w:rsid w:val="008D2D18"/>
    <w:rsid w:val="008D2E06"/>
    <w:rsid w:val="008D3703"/>
    <w:rsid w:val="008D47D4"/>
    <w:rsid w:val="008D5FA9"/>
    <w:rsid w:val="008E1901"/>
    <w:rsid w:val="008E281B"/>
    <w:rsid w:val="008E5E81"/>
    <w:rsid w:val="008E5E9B"/>
    <w:rsid w:val="008E7E99"/>
    <w:rsid w:val="009017F2"/>
    <w:rsid w:val="00902046"/>
    <w:rsid w:val="00905A35"/>
    <w:rsid w:val="00907825"/>
    <w:rsid w:val="00910288"/>
    <w:rsid w:val="009253CD"/>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1668"/>
    <w:rsid w:val="00993179"/>
    <w:rsid w:val="00997BE9"/>
    <w:rsid w:val="009A001F"/>
    <w:rsid w:val="009A0156"/>
    <w:rsid w:val="009A25A5"/>
    <w:rsid w:val="009A38BC"/>
    <w:rsid w:val="009A4B9F"/>
    <w:rsid w:val="009A6B36"/>
    <w:rsid w:val="009A767D"/>
    <w:rsid w:val="009A7AB8"/>
    <w:rsid w:val="009B571A"/>
    <w:rsid w:val="009B71B0"/>
    <w:rsid w:val="009C4E3F"/>
    <w:rsid w:val="009D19FF"/>
    <w:rsid w:val="009E3323"/>
    <w:rsid w:val="009E380F"/>
    <w:rsid w:val="009E4936"/>
    <w:rsid w:val="009F03A4"/>
    <w:rsid w:val="009F46C3"/>
    <w:rsid w:val="00A02E80"/>
    <w:rsid w:val="00A067EC"/>
    <w:rsid w:val="00A07396"/>
    <w:rsid w:val="00A1120A"/>
    <w:rsid w:val="00A16ED8"/>
    <w:rsid w:val="00A17FA8"/>
    <w:rsid w:val="00A21339"/>
    <w:rsid w:val="00A22537"/>
    <w:rsid w:val="00A30701"/>
    <w:rsid w:val="00A36D14"/>
    <w:rsid w:val="00A3784B"/>
    <w:rsid w:val="00A4097C"/>
    <w:rsid w:val="00A40BD4"/>
    <w:rsid w:val="00A41623"/>
    <w:rsid w:val="00A429BF"/>
    <w:rsid w:val="00A44302"/>
    <w:rsid w:val="00A44E0E"/>
    <w:rsid w:val="00A468B8"/>
    <w:rsid w:val="00A50AD3"/>
    <w:rsid w:val="00A52F86"/>
    <w:rsid w:val="00A6517D"/>
    <w:rsid w:val="00A661B5"/>
    <w:rsid w:val="00A66A42"/>
    <w:rsid w:val="00A67342"/>
    <w:rsid w:val="00A73BD3"/>
    <w:rsid w:val="00A74B91"/>
    <w:rsid w:val="00A81CAE"/>
    <w:rsid w:val="00A85A4F"/>
    <w:rsid w:val="00AB09CD"/>
    <w:rsid w:val="00AB6399"/>
    <w:rsid w:val="00AB73A2"/>
    <w:rsid w:val="00AC60B4"/>
    <w:rsid w:val="00AD0562"/>
    <w:rsid w:val="00AD19E0"/>
    <w:rsid w:val="00AD737D"/>
    <w:rsid w:val="00AE6927"/>
    <w:rsid w:val="00AF1174"/>
    <w:rsid w:val="00AF3534"/>
    <w:rsid w:val="00AF4340"/>
    <w:rsid w:val="00B02090"/>
    <w:rsid w:val="00B10F4A"/>
    <w:rsid w:val="00B11111"/>
    <w:rsid w:val="00B14987"/>
    <w:rsid w:val="00B14A86"/>
    <w:rsid w:val="00B21203"/>
    <w:rsid w:val="00B23394"/>
    <w:rsid w:val="00B31D37"/>
    <w:rsid w:val="00B37BDE"/>
    <w:rsid w:val="00B40974"/>
    <w:rsid w:val="00B463C1"/>
    <w:rsid w:val="00B51318"/>
    <w:rsid w:val="00B51599"/>
    <w:rsid w:val="00B526F2"/>
    <w:rsid w:val="00B53425"/>
    <w:rsid w:val="00B567C8"/>
    <w:rsid w:val="00B60682"/>
    <w:rsid w:val="00B631A9"/>
    <w:rsid w:val="00B64A00"/>
    <w:rsid w:val="00B70AC5"/>
    <w:rsid w:val="00B75AAB"/>
    <w:rsid w:val="00BA0623"/>
    <w:rsid w:val="00BA37B7"/>
    <w:rsid w:val="00BA3C17"/>
    <w:rsid w:val="00BB0D07"/>
    <w:rsid w:val="00BC193D"/>
    <w:rsid w:val="00BC4591"/>
    <w:rsid w:val="00BD6E44"/>
    <w:rsid w:val="00BE5198"/>
    <w:rsid w:val="00BF1CC7"/>
    <w:rsid w:val="00BF55F1"/>
    <w:rsid w:val="00BF7C80"/>
    <w:rsid w:val="00C05D7D"/>
    <w:rsid w:val="00C07ED1"/>
    <w:rsid w:val="00C10D33"/>
    <w:rsid w:val="00C13717"/>
    <w:rsid w:val="00C137FD"/>
    <w:rsid w:val="00C1515F"/>
    <w:rsid w:val="00C342AF"/>
    <w:rsid w:val="00C3742B"/>
    <w:rsid w:val="00C42D9D"/>
    <w:rsid w:val="00C43B4A"/>
    <w:rsid w:val="00C549B7"/>
    <w:rsid w:val="00C5651E"/>
    <w:rsid w:val="00C56E84"/>
    <w:rsid w:val="00C64E38"/>
    <w:rsid w:val="00C70165"/>
    <w:rsid w:val="00C737F6"/>
    <w:rsid w:val="00C76224"/>
    <w:rsid w:val="00C819B9"/>
    <w:rsid w:val="00C827D8"/>
    <w:rsid w:val="00C8655F"/>
    <w:rsid w:val="00C93350"/>
    <w:rsid w:val="00C93616"/>
    <w:rsid w:val="00CA4B1A"/>
    <w:rsid w:val="00CA5482"/>
    <w:rsid w:val="00CA67D5"/>
    <w:rsid w:val="00CA754D"/>
    <w:rsid w:val="00CA78BC"/>
    <w:rsid w:val="00CC3ABD"/>
    <w:rsid w:val="00CC7420"/>
    <w:rsid w:val="00CD09A5"/>
    <w:rsid w:val="00CD1E4F"/>
    <w:rsid w:val="00CD45EB"/>
    <w:rsid w:val="00CD6EF0"/>
    <w:rsid w:val="00CD793A"/>
    <w:rsid w:val="00CE1F4F"/>
    <w:rsid w:val="00CE771C"/>
    <w:rsid w:val="00CF0D51"/>
    <w:rsid w:val="00CF39C9"/>
    <w:rsid w:val="00CF7618"/>
    <w:rsid w:val="00D003ED"/>
    <w:rsid w:val="00D018FF"/>
    <w:rsid w:val="00D02DE8"/>
    <w:rsid w:val="00D0731A"/>
    <w:rsid w:val="00D15597"/>
    <w:rsid w:val="00D21BA6"/>
    <w:rsid w:val="00D30B77"/>
    <w:rsid w:val="00D310F1"/>
    <w:rsid w:val="00D3156F"/>
    <w:rsid w:val="00D33BE8"/>
    <w:rsid w:val="00D352AA"/>
    <w:rsid w:val="00D35EC9"/>
    <w:rsid w:val="00D36F6D"/>
    <w:rsid w:val="00D37EE2"/>
    <w:rsid w:val="00D42F92"/>
    <w:rsid w:val="00D472CD"/>
    <w:rsid w:val="00D5036F"/>
    <w:rsid w:val="00D50DDA"/>
    <w:rsid w:val="00D52791"/>
    <w:rsid w:val="00D66665"/>
    <w:rsid w:val="00D670AD"/>
    <w:rsid w:val="00D67174"/>
    <w:rsid w:val="00D67A5F"/>
    <w:rsid w:val="00D70084"/>
    <w:rsid w:val="00D76272"/>
    <w:rsid w:val="00D772E8"/>
    <w:rsid w:val="00D80921"/>
    <w:rsid w:val="00D94142"/>
    <w:rsid w:val="00DB2787"/>
    <w:rsid w:val="00DB5D35"/>
    <w:rsid w:val="00DB6D18"/>
    <w:rsid w:val="00DC45EB"/>
    <w:rsid w:val="00DE59DD"/>
    <w:rsid w:val="00DE6D44"/>
    <w:rsid w:val="00DF1CAF"/>
    <w:rsid w:val="00DF7D7C"/>
    <w:rsid w:val="00E01C8D"/>
    <w:rsid w:val="00E021E8"/>
    <w:rsid w:val="00E12F45"/>
    <w:rsid w:val="00E15E18"/>
    <w:rsid w:val="00E17AC2"/>
    <w:rsid w:val="00E238A2"/>
    <w:rsid w:val="00E24D14"/>
    <w:rsid w:val="00E367F5"/>
    <w:rsid w:val="00E36C3D"/>
    <w:rsid w:val="00E41AB3"/>
    <w:rsid w:val="00E449B7"/>
    <w:rsid w:val="00E45289"/>
    <w:rsid w:val="00E532B7"/>
    <w:rsid w:val="00E609EF"/>
    <w:rsid w:val="00E74A12"/>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04D9"/>
    <w:rsid w:val="00ED3BAD"/>
    <w:rsid w:val="00ED7D41"/>
    <w:rsid w:val="00EE2DCC"/>
    <w:rsid w:val="00EE69E6"/>
    <w:rsid w:val="00EF445E"/>
    <w:rsid w:val="00F035DA"/>
    <w:rsid w:val="00F035FA"/>
    <w:rsid w:val="00F04245"/>
    <w:rsid w:val="00F13CD2"/>
    <w:rsid w:val="00F1497C"/>
    <w:rsid w:val="00F208B8"/>
    <w:rsid w:val="00F3202E"/>
    <w:rsid w:val="00F342FA"/>
    <w:rsid w:val="00F36422"/>
    <w:rsid w:val="00F42BFA"/>
    <w:rsid w:val="00F4613A"/>
    <w:rsid w:val="00F56725"/>
    <w:rsid w:val="00F57BCC"/>
    <w:rsid w:val="00F668DC"/>
    <w:rsid w:val="00F764C1"/>
    <w:rsid w:val="00F7750C"/>
    <w:rsid w:val="00F81BE7"/>
    <w:rsid w:val="00F8547C"/>
    <w:rsid w:val="00F87769"/>
    <w:rsid w:val="00F92A2F"/>
    <w:rsid w:val="00F971DC"/>
    <w:rsid w:val="00FA146D"/>
    <w:rsid w:val="00FA31BE"/>
    <w:rsid w:val="00FA433B"/>
    <w:rsid w:val="00FA5CEE"/>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72"/>
    <w:qFormat/>
    <w:rsid w:val="00BC193D"/>
    <w:pPr>
      <w:ind w:left="720"/>
      <w:contextualSpacing/>
    </w:pPr>
  </w:style>
  <w:style w:type="character" w:styleId="Hyperlink">
    <w:name w:val="Hyperlink"/>
    <w:basedOn w:val="DefaultParagraphFont"/>
    <w:uiPriority w:val="99"/>
    <w:semiHidden/>
    <w:unhideWhenUsed/>
    <w:rsid w:val="00993179"/>
    <w:rPr>
      <w:color w:val="0000FF"/>
      <w:u w:val="single"/>
    </w:rPr>
  </w:style>
  <w:style w:type="paragraph" w:styleId="NormalWeb">
    <w:name w:val="Normal (Web)"/>
    <w:basedOn w:val="Normal"/>
    <w:uiPriority w:val="99"/>
    <w:semiHidden/>
    <w:unhideWhenUsed/>
    <w:rsid w:val="00993179"/>
    <w:pPr>
      <w:spacing w:before="100" w:beforeAutospacing="1" w:after="100" w:afterAutospacing="1"/>
    </w:pPr>
    <w:rPr>
      <w:rFonts w:ascii="Times New Roman" w:eastAsiaTheme="minorEastAsia" w:hAnsi="Times New Roman"/>
      <w:sz w:val="24"/>
      <w:szCs w:val="24"/>
      <w:lang w:val="en-US"/>
    </w:rPr>
  </w:style>
  <w:style w:type="character" w:customStyle="1" w:styleId="csl-left-margin">
    <w:name w:val="csl-left-margin"/>
    <w:basedOn w:val="DefaultParagraphFont"/>
    <w:rsid w:val="00993179"/>
  </w:style>
  <w:style w:type="character" w:customStyle="1" w:styleId="csl-right-inline">
    <w:name w:val="csl-right-inline"/>
    <w:basedOn w:val="DefaultParagraphFont"/>
    <w:rsid w:val="0099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047">
      <w:bodyDiv w:val="1"/>
      <w:marLeft w:val="0"/>
      <w:marRight w:val="0"/>
      <w:marTop w:val="0"/>
      <w:marBottom w:val="0"/>
      <w:divBdr>
        <w:top w:val="none" w:sz="0" w:space="0" w:color="auto"/>
        <w:left w:val="none" w:sz="0" w:space="0" w:color="auto"/>
        <w:bottom w:val="none" w:sz="0" w:space="0" w:color="auto"/>
        <w:right w:val="none" w:sz="0" w:space="0" w:color="auto"/>
      </w:divBdr>
    </w:div>
    <w:div w:id="97601944">
      <w:bodyDiv w:val="1"/>
      <w:marLeft w:val="0"/>
      <w:marRight w:val="0"/>
      <w:marTop w:val="0"/>
      <w:marBottom w:val="0"/>
      <w:divBdr>
        <w:top w:val="none" w:sz="0" w:space="0" w:color="auto"/>
        <w:left w:val="none" w:sz="0" w:space="0" w:color="auto"/>
        <w:bottom w:val="none" w:sz="0" w:space="0" w:color="auto"/>
        <w:right w:val="none" w:sz="0" w:space="0" w:color="auto"/>
      </w:divBdr>
    </w:div>
    <w:div w:id="119541071">
      <w:bodyDiv w:val="1"/>
      <w:marLeft w:val="0"/>
      <w:marRight w:val="0"/>
      <w:marTop w:val="0"/>
      <w:marBottom w:val="0"/>
      <w:divBdr>
        <w:top w:val="none" w:sz="0" w:space="0" w:color="auto"/>
        <w:left w:val="none" w:sz="0" w:space="0" w:color="auto"/>
        <w:bottom w:val="none" w:sz="0" w:space="0" w:color="auto"/>
        <w:right w:val="none" w:sz="0" w:space="0" w:color="auto"/>
      </w:divBdr>
    </w:div>
    <w:div w:id="193227089">
      <w:bodyDiv w:val="1"/>
      <w:marLeft w:val="0"/>
      <w:marRight w:val="0"/>
      <w:marTop w:val="0"/>
      <w:marBottom w:val="0"/>
      <w:divBdr>
        <w:top w:val="none" w:sz="0" w:space="0" w:color="auto"/>
        <w:left w:val="none" w:sz="0" w:space="0" w:color="auto"/>
        <w:bottom w:val="none" w:sz="0" w:space="0" w:color="auto"/>
        <w:right w:val="none" w:sz="0" w:space="0" w:color="auto"/>
      </w:divBdr>
    </w:div>
    <w:div w:id="194923298">
      <w:bodyDiv w:val="1"/>
      <w:marLeft w:val="0"/>
      <w:marRight w:val="0"/>
      <w:marTop w:val="0"/>
      <w:marBottom w:val="0"/>
      <w:divBdr>
        <w:top w:val="none" w:sz="0" w:space="0" w:color="auto"/>
        <w:left w:val="none" w:sz="0" w:space="0" w:color="auto"/>
        <w:bottom w:val="none" w:sz="0" w:space="0" w:color="auto"/>
        <w:right w:val="none" w:sz="0" w:space="0" w:color="auto"/>
      </w:divBdr>
    </w:div>
    <w:div w:id="200169845">
      <w:bodyDiv w:val="1"/>
      <w:marLeft w:val="0"/>
      <w:marRight w:val="0"/>
      <w:marTop w:val="0"/>
      <w:marBottom w:val="0"/>
      <w:divBdr>
        <w:top w:val="none" w:sz="0" w:space="0" w:color="auto"/>
        <w:left w:val="none" w:sz="0" w:space="0" w:color="auto"/>
        <w:bottom w:val="none" w:sz="0" w:space="0" w:color="auto"/>
        <w:right w:val="none" w:sz="0" w:space="0" w:color="auto"/>
      </w:divBdr>
    </w:div>
    <w:div w:id="259602718">
      <w:bodyDiv w:val="1"/>
      <w:marLeft w:val="0"/>
      <w:marRight w:val="0"/>
      <w:marTop w:val="0"/>
      <w:marBottom w:val="0"/>
      <w:divBdr>
        <w:top w:val="none" w:sz="0" w:space="0" w:color="auto"/>
        <w:left w:val="none" w:sz="0" w:space="0" w:color="auto"/>
        <w:bottom w:val="none" w:sz="0" w:space="0" w:color="auto"/>
        <w:right w:val="none" w:sz="0" w:space="0" w:color="auto"/>
      </w:divBdr>
    </w:div>
    <w:div w:id="277491578">
      <w:bodyDiv w:val="1"/>
      <w:marLeft w:val="0"/>
      <w:marRight w:val="0"/>
      <w:marTop w:val="0"/>
      <w:marBottom w:val="0"/>
      <w:divBdr>
        <w:top w:val="none" w:sz="0" w:space="0" w:color="auto"/>
        <w:left w:val="none" w:sz="0" w:space="0" w:color="auto"/>
        <w:bottom w:val="none" w:sz="0" w:space="0" w:color="auto"/>
        <w:right w:val="none" w:sz="0" w:space="0" w:color="auto"/>
      </w:divBdr>
    </w:div>
    <w:div w:id="307634928">
      <w:bodyDiv w:val="1"/>
      <w:marLeft w:val="0"/>
      <w:marRight w:val="0"/>
      <w:marTop w:val="0"/>
      <w:marBottom w:val="0"/>
      <w:divBdr>
        <w:top w:val="none" w:sz="0" w:space="0" w:color="auto"/>
        <w:left w:val="none" w:sz="0" w:space="0" w:color="auto"/>
        <w:bottom w:val="none" w:sz="0" w:space="0" w:color="auto"/>
        <w:right w:val="none" w:sz="0" w:space="0" w:color="auto"/>
      </w:divBdr>
    </w:div>
    <w:div w:id="394469196">
      <w:bodyDiv w:val="1"/>
      <w:marLeft w:val="0"/>
      <w:marRight w:val="0"/>
      <w:marTop w:val="0"/>
      <w:marBottom w:val="0"/>
      <w:divBdr>
        <w:top w:val="none" w:sz="0" w:space="0" w:color="auto"/>
        <w:left w:val="none" w:sz="0" w:space="0" w:color="auto"/>
        <w:bottom w:val="none" w:sz="0" w:space="0" w:color="auto"/>
        <w:right w:val="none" w:sz="0" w:space="0" w:color="auto"/>
      </w:divBdr>
    </w:div>
    <w:div w:id="399596459">
      <w:bodyDiv w:val="1"/>
      <w:marLeft w:val="0"/>
      <w:marRight w:val="0"/>
      <w:marTop w:val="0"/>
      <w:marBottom w:val="0"/>
      <w:divBdr>
        <w:top w:val="none" w:sz="0" w:space="0" w:color="auto"/>
        <w:left w:val="none" w:sz="0" w:space="0" w:color="auto"/>
        <w:bottom w:val="none" w:sz="0" w:space="0" w:color="auto"/>
        <w:right w:val="none" w:sz="0" w:space="0" w:color="auto"/>
      </w:divBdr>
    </w:div>
    <w:div w:id="521554665">
      <w:bodyDiv w:val="1"/>
      <w:marLeft w:val="0"/>
      <w:marRight w:val="0"/>
      <w:marTop w:val="0"/>
      <w:marBottom w:val="0"/>
      <w:divBdr>
        <w:top w:val="none" w:sz="0" w:space="0" w:color="auto"/>
        <w:left w:val="none" w:sz="0" w:space="0" w:color="auto"/>
        <w:bottom w:val="none" w:sz="0" w:space="0" w:color="auto"/>
        <w:right w:val="none" w:sz="0" w:space="0" w:color="auto"/>
      </w:divBdr>
    </w:div>
    <w:div w:id="532420699">
      <w:bodyDiv w:val="1"/>
      <w:marLeft w:val="0"/>
      <w:marRight w:val="0"/>
      <w:marTop w:val="0"/>
      <w:marBottom w:val="0"/>
      <w:divBdr>
        <w:top w:val="none" w:sz="0" w:space="0" w:color="auto"/>
        <w:left w:val="none" w:sz="0" w:space="0" w:color="auto"/>
        <w:bottom w:val="none" w:sz="0" w:space="0" w:color="auto"/>
        <w:right w:val="none" w:sz="0" w:space="0" w:color="auto"/>
      </w:divBdr>
    </w:div>
    <w:div w:id="591471535">
      <w:bodyDiv w:val="1"/>
      <w:marLeft w:val="0"/>
      <w:marRight w:val="0"/>
      <w:marTop w:val="0"/>
      <w:marBottom w:val="0"/>
      <w:divBdr>
        <w:top w:val="none" w:sz="0" w:space="0" w:color="auto"/>
        <w:left w:val="none" w:sz="0" w:space="0" w:color="auto"/>
        <w:bottom w:val="none" w:sz="0" w:space="0" w:color="auto"/>
        <w:right w:val="none" w:sz="0" w:space="0" w:color="auto"/>
      </w:divBdr>
    </w:div>
    <w:div w:id="609513615">
      <w:bodyDiv w:val="1"/>
      <w:marLeft w:val="0"/>
      <w:marRight w:val="0"/>
      <w:marTop w:val="0"/>
      <w:marBottom w:val="0"/>
      <w:divBdr>
        <w:top w:val="none" w:sz="0" w:space="0" w:color="auto"/>
        <w:left w:val="none" w:sz="0" w:space="0" w:color="auto"/>
        <w:bottom w:val="none" w:sz="0" w:space="0" w:color="auto"/>
        <w:right w:val="none" w:sz="0" w:space="0" w:color="auto"/>
      </w:divBdr>
    </w:div>
    <w:div w:id="651107736">
      <w:bodyDiv w:val="1"/>
      <w:marLeft w:val="0"/>
      <w:marRight w:val="0"/>
      <w:marTop w:val="0"/>
      <w:marBottom w:val="0"/>
      <w:divBdr>
        <w:top w:val="none" w:sz="0" w:space="0" w:color="auto"/>
        <w:left w:val="none" w:sz="0" w:space="0" w:color="auto"/>
        <w:bottom w:val="none" w:sz="0" w:space="0" w:color="auto"/>
        <w:right w:val="none" w:sz="0" w:space="0" w:color="auto"/>
      </w:divBdr>
    </w:div>
    <w:div w:id="713621649">
      <w:bodyDiv w:val="1"/>
      <w:marLeft w:val="0"/>
      <w:marRight w:val="0"/>
      <w:marTop w:val="0"/>
      <w:marBottom w:val="0"/>
      <w:divBdr>
        <w:top w:val="none" w:sz="0" w:space="0" w:color="auto"/>
        <w:left w:val="none" w:sz="0" w:space="0" w:color="auto"/>
        <w:bottom w:val="none" w:sz="0" w:space="0" w:color="auto"/>
        <w:right w:val="none" w:sz="0" w:space="0" w:color="auto"/>
      </w:divBdr>
    </w:div>
    <w:div w:id="824585752">
      <w:bodyDiv w:val="1"/>
      <w:marLeft w:val="0"/>
      <w:marRight w:val="0"/>
      <w:marTop w:val="0"/>
      <w:marBottom w:val="0"/>
      <w:divBdr>
        <w:top w:val="none" w:sz="0" w:space="0" w:color="auto"/>
        <w:left w:val="none" w:sz="0" w:space="0" w:color="auto"/>
        <w:bottom w:val="none" w:sz="0" w:space="0" w:color="auto"/>
        <w:right w:val="none" w:sz="0" w:space="0" w:color="auto"/>
      </w:divBdr>
    </w:div>
    <w:div w:id="876818631">
      <w:bodyDiv w:val="1"/>
      <w:marLeft w:val="0"/>
      <w:marRight w:val="0"/>
      <w:marTop w:val="0"/>
      <w:marBottom w:val="0"/>
      <w:divBdr>
        <w:top w:val="none" w:sz="0" w:space="0" w:color="auto"/>
        <w:left w:val="none" w:sz="0" w:space="0" w:color="auto"/>
        <w:bottom w:val="none" w:sz="0" w:space="0" w:color="auto"/>
        <w:right w:val="none" w:sz="0" w:space="0" w:color="auto"/>
      </w:divBdr>
    </w:div>
    <w:div w:id="912005089">
      <w:bodyDiv w:val="1"/>
      <w:marLeft w:val="0"/>
      <w:marRight w:val="0"/>
      <w:marTop w:val="0"/>
      <w:marBottom w:val="0"/>
      <w:divBdr>
        <w:top w:val="none" w:sz="0" w:space="0" w:color="auto"/>
        <w:left w:val="none" w:sz="0" w:space="0" w:color="auto"/>
        <w:bottom w:val="none" w:sz="0" w:space="0" w:color="auto"/>
        <w:right w:val="none" w:sz="0" w:space="0" w:color="auto"/>
      </w:divBdr>
    </w:div>
    <w:div w:id="998390067">
      <w:bodyDiv w:val="1"/>
      <w:marLeft w:val="0"/>
      <w:marRight w:val="0"/>
      <w:marTop w:val="0"/>
      <w:marBottom w:val="0"/>
      <w:divBdr>
        <w:top w:val="none" w:sz="0" w:space="0" w:color="auto"/>
        <w:left w:val="none" w:sz="0" w:space="0" w:color="auto"/>
        <w:bottom w:val="none" w:sz="0" w:space="0" w:color="auto"/>
        <w:right w:val="none" w:sz="0" w:space="0" w:color="auto"/>
      </w:divBdr>
    </w:div>
    <w:div w:id="1020274010">
      <w:bodyDiv w:val="1"/>
      <w:marLeft w:val="0"/>
      <w:marRight w:val="0"/>
      <w:marTop w:val="0"/>
      <w:marBottom w:val="0"/>
      <w:divBdr>
        <w:top w:val="none" w:sz="0" w:space="0" w:color="auto"/>
        <w:left w:val="none" w:sz="0" w:space="0" w:color="auto"/>
        <w:bottom w:val="none" w:sz="0" w:space="0" w:color="auto"/>
        <w:right w:val="none" w:sz="0" w:space="0" w:color="auto"/>
      </w:divBdr>
    </w:div>
    <w:div w:id="1085147009">
      <w:bodyDiv w:val="1"/>
      <w:marLeft w:val="0"/>
      <w:marRight w:val="0"/>
      <w:marTop w:val="0"/>
      <w:marBottom w:val="0"/>
      <w:divBdr>
        <w:top w:val="none" w:sz="0" w:space="0" w:color="auto"/>
        <w:left w:val="none" w:sz="0" w:space="0" w:color="auto"/>
        <w:bottom w:val="none" w:sz="0" w:space="0" w:color="auto"/>
        <w:right w:val="none" w:sz="0" w:space="0" w:color="auto"/>
      </w:divBdr>
    </w:div>
    <w:div w:id="1264922363">
      <w:bodyDiv w:val="1"/>
      <w:marLeft w:val="0"/>
      <w:marRight w:val="0"/>
      <w:marTop w:val="0"/>
      <w:marBottom w:val="0"/>
      <w:divBdr>
        <w:top w:val="none" w:sz="0" w:space="0" w:color="auto"/>
        <w:left w:val="none" w:sz="0" w:space="0" w:color="auto"/>
        <w:bottom w:val="none" w:sz="0" w:space="0" w:color="auto"/>
        <w:right w:val="none" w:sz="0" w:space="0" w:color="auto"/>
      </w:divBdr>
    </w:div>
    <w:div w:id="1308702287">
      <w:bodyDiv w:val="1"/>
      <w:marLeft w:val="0"/>
      <w:marRight w:val="0"/>
      <w:marTop w:val="0"/>
      <w:marBottom w:val="0"/>
      <w:divBdr>
        <w:top w:val="none" w:sz="0" w:space="0" w:color="auto"/>
        <w:left w:val="none" w:sz="0" w:space="0" w:color="auto"/>
        <w:bottom w:val="none" w:sz="0" w:space="0" w:color="auto"/>
        <w:right w:val="none" w:sz="0" w:space="0" w:color="auto"/>
      </w:divBdr>
    </w:div>
    <w:div w:id="1361009661">
      <w:bodyDiv w:val="1"/>
      <w:marLeft w:val="0"/>
      <w:marRight w:val="0"/>
      <w:marTop w:val="0"/>
      <w:marBottom w:val="0"/>
      <w:divBdr>
        <w:top w:val="none" w:sz="0" w:space="0" w:color="auto"/>
        <w:left w:val="none" w:sz="0" w:space="0" w:color="auto"/>
        <w:bottom w:val="none" w:sz="0" w:space="0" w:color="auto"/>
        <w:right w:val="none" w:sz="0" w:space="0" w:color="auto"/>
      </w:divBdr>
    </w:div>
    <w:div w:id="1363243812">
      <w:bodyDiv w:val="1"/>
      <w:marLeft w:val="0"/>
      <w:marRight w:val="0"/>
      <w:marTop w:val="0"/>
      <w:marBottom w:val="0"/>
      <w:divBdr>
        <w:top w:val="none" w:sz="0" w:space="0" w:color="auto"/>
        <w:left w:val="none" w:sz="0" w:space="0" w:color="auto"/>
        <w:bottom w:val="none" w:sz="0" w:space="0" w:color="auto"/>
        <w:right w:val="none" w:sz="0" w:space="0" w:color="auto"/>
      </w:divBdr>
    </w:div>
    <w:div w:id="1401755588">
      <w:bodyDiv w:val="1"/>
      <w:marLeft w:val="0"/>
      <w:marRight w:val="0"/>
      <w:marTop w:val="0"/>
      <w:marBottom w:val="0"/>
      <w:divBdr>
        <w:top w:val="none" w:sz="0" w:space="0" w:color="auto"/>
        <w:left w:val="none" w:sz="0" w:space="0" w:color="auto"/>
        <w:bottom w:val="none" w:sz="0" w:space="0" w:color="auto"/>
        <w:right w:val="none" w:sz="0" w:space="0" w:color="auto"/>
      </w:divBdr>
    </w:div>
    <w:div w:id="1403912921">
      <w:bodyDiv w:val="1"/>
      <w:marLeft w:val="0"/>
      <w:marRight w:val="0"/>
      <w:marTop w:val="0"/>
      <w:marBottom w:val="0"/>
      <w:divBdr>
        <w:top w:val="none" w:sz="0" w:space="0" w:color="auto"/>
        <w:left w:val="none" w:sz="0" w:space="0" w:color="auto"/>
        <w:bottom w:val="none" w:sz="0" w:space="0" w:color="auto"/>
        <w:right w:val="none" w:sz="0" w:space="0" w:color="auto"/>
      </w:divBdr>
    </w:div>
    <w:div w:id="1496341524">
      <w:bodyDiv w:val="1"/>
      <w:marLeft w:val="0"/>
      <w:marRight w:val="0"/>
      <w:marTop w:val="0"/>
      <w:marBottom w:val="0"/>
      <w:divBdr>
        <w:top w:val="none" w:sz="0" w:space="0" w:color="auto"/>
        <w:left w:val="none" w:sz="0" w:space="0" w:color="auto"/>
        <w:bottom w:val="none" w:sz="0" w:space="0" w:color="auto"/>
        <w:right w:val="none" w:sz="0" w:space="0" w:color="auto"/>
      </w:divBdr>
    </w:div>
    <w:div w:id="1589652528">
      <w:bodyDiv w:val="1"/>
      <w:marLeft w:val="0"/>
      <w:marRight w:val="0"/>
      <w:marTop w:val="0"/>
      <w:marBottom w:val="0"/>
      <w:divBdr>
        <w:top w:val="none" w:sz="0" w:space="0" w:color="auto"/>
        <w:left w:val="none" w:sz="0" w:space="0" w:color="auto"/>
        <w:bottom w:val="none" w:sz="0" w:space="0" w:color="auto"/>
        <w:right w:val="none" w:sz="0" w:space="0" w:color="auto"/>
      </w:divBdr>
    </w:div>
    <w:div w:id="1618946586">
      <w:bodyDiv w:val="1"/>
      <w:marLeft w:val="0"/>
      <w:marRight w:val="0"/>
      <w:marTop w:val="0"/>
      <w:marBottom w:val="0"/>
      <w:divBdr>
        <w:top w:val="none" w:sz="0" w:space="0" w:color="auto"/>
        <w:left w:val="none" w:sz="0" w:space="0" w:color="auto"/>
        <w:bottom w:val="none" w:sz="0" w:space="0" w:color="auto"/>
        <w:right w:val="none" w:sz="0" w:space="0" w:color="auto"/>
      </w:divBdr>
    </w:div>
    <w:div w:id="1638099485">
      <w:bodyDiv w:val="1"/>
      <w:marLeft w:val="0"/>
      <w:marRight w:val="0"/>
      <w:marTop w:val="0"/>
      <w:marBottom w:val="0"/>
      <w:divBdr>
        <w:top w:val="none" w:sz="0" w:space="0" w:color="auto"/>
        <w:left w:val="none" w:sz="0" w:space="0" w:color="auto"/>
        <w:bottom w:val="none" w:sz="0" w:space="0" w:color="auto"/>
        <w:right w:val="none" w:sz="0" w:space="0" w:color="auto"/>
      </w:divBdr>
    </w:div>
    <w:div w:id="1639070974">
      <w:bodyDiv w:val="1"/>
      <w:marLeft w:val="0"/>
      <w:marRight w:val="0"/>
      <w:marTop w:val="0"/>
      <w:marBottom w:val="0"/>
      <w:divBdr>
        <w:top w:val="none" w:sz="0" w:space="0" w:color="auto"/>
        <w:left w:val="none" w:sz="0" w:space="0" w:color="auto"/>
        <w:bottom w:val="none" w:sz="0" w:space="0" w:color="auto"/>
        <w:right w:val="none" w:sz="0" w:space="0" w:color="auto"/>
      </w:divBdr>
    </w:div>
    <w:div w:id="1643777564">
      <w:bodyDiv w:val="1"/>
      <w:marLeft w:val="0"/>
      <w:marRight w:val="0"/>
      <w:marTop w:val="0"/>
      <w:marBottom w:val="0"/>
      <w:divBdr>
        <w:top w:val="none" w:sz="0" w:space="0" w:color="auto"/>
        <w:left w:val="none" w:sz="0" w:space="0" w:color="auto"/>
        <w:bottom w:val="none" w:sz="0" w:space="0" w:color="auto"/>
        <w:right w:val="none" w:sz="0" w:space="0" w:color="auto"/>
      </w:divBdr>
    </w:div>
    <w:div w:id="1669283490">
      <w:bodyDiv w:val="1"/>
      <w:marLeft w:val="0"/>
      <w:marRight w:val="0"/>
      <w:marTop w:val="0"/>
      <w:marBottom w:val="0"/>
      <w:divBdr>
        <w:top w:val="none" w:sz="0" w:space="0" w:color="auto"/>
        <w:left w:val="none" w:sz="0" w:space="0" w:color="auto"/>
        <w:bottom w:val="none" w:sz="0" w:space="0" w:color="auto"/>
        <w:right w:val="none" w:sz="0" w:space="0" w:color="auto"/>
      </w:divBdr>
    </w:div>
    <w:div w:id="1671982626">
      <w:bodyDiv w:val="1"/>
      <w:marLeft w:val="0"/>
      <w:marRight w:val="0"/>
      <w:marTop w:val="0"/>
      <w:marBottom w:val="0"/>
      <w:divBdr>
        <w:top w:val="none" w:sz="0" w:space="0" w:color="auto"/>
        <w:left w:val="none" w:sz="0" w:space="0" w:color="auto"/>
        <w:bottom w:val="none" w:sz="0" w:space="0" w:color="auto"/>
        <w:right w:val="none" w:sz="0" w:space="0" w:color="auto"/>
      </w:divBdr>
    </w:div>
    <w:div w:id="1764759029">
      <w:bodyDiv w:val="1"/>
      <w:marLeft w:val="0"/>
      <w:marRight w:val="0"/>
      <w:marTop w:val="0"/>
      <w:marBottom w:val="0"/>
      <w:divBdr>
        <w:top w:val="none" w:sz="0" w:space="0" w:color="auto"/>
        <w:left w:val="none" w:sz="0" w:space="0" w:color="auto"/>
        <w:bottom w:val="none" w:sz="0" w:space="0" w:color="auto"/>
        <w:right w:val="none" w:sz="0" w:space="0" w:color="auto"/>
      </w:divBdr>
    </w:div>
    <w:div w:id="1780102742">
      <w:bodyDiv w:val="1"/>
      <w:marLeft w:val="0"/>
      <w:marRight w:val="0"/>
      <w:marTop w:val="0"/>
      <w:marBottom w:val="0"/>
      <w:divBdr>
        <w:top w:val="none" w:sz="0" w:space="0" w:color="auto"/>
        <w:left w:val="none" w:sz="0" w:space="0" w:color="auto"/>
        <w:bottom w:val="none" w:sz="0" w:space="0" w:color="auto"/>
        <w:right w:val="none" w:sz="0" w:space="0" w:color="auto"/>
      </w:divBdr>
    </w:div>
    <w:div w:id="1839152629">
      <w:bodyDiv w:val="1"/>
      <w:marLeft w:val="0"/>
      <w:marRight w:val="0"/>
      <w:marTop w:val="0"/>
      <w:marBottom w:val="0"/>
      <w:divBdr>
        <w:top w:val="none" w:sz="0" w:space="0" w:color="auto"/>
        <w:left w:val="none" w:sz="0" w:space="0" w:color="auto"/>
        <w:bottom w:val="none" w:sz="0" w:space="0" w:color="auto"/>
        <w:right w:val="none" w:sz="0" w:space="0" w:color="auto"/>
      </w:divBdr>
    </w:div>
    <w:div w:id="1880436348">
      <w:bodyDiv w:val="1"/>
      <w:marLeft w:val="0"/>
      <w:marRight w:val="0"/>
      <w:marTop w:val="0"/>
      <w:marBottom w:val="0"/>
      <w:divBdr>
        <w:top w:val="none" w:sz="0" w:space="0" w:color="auto"/>
        <w:left w:val="none" w:sz="0" w:space="0" w:color="auto"/>
        <w:bottom w:val="none" w:sz="0" w:space="0" w:color="auto"/>
        <w:right w:val="none" w:sz="0" w:space="0" w:color="auto"/>
      </w:divBdr>
    </w:div>
    <w:div w:id="1916935569">
      <w:bodyDiv w:val="1"/>
      <w:marLeft w:val="0"/>
      <w:marRight w:val="0"/>
      <w:marTop w:val="0"/>
      <w:marBottom w:val="0"/>
      <w:divBdr>
        <w:top w:val="none" w:sz="0" w:space="0" w:color="auto"/>
        <w:left w:val="none" w:sz="0" w:space="0" w:color="auto"/>
        <w:bottom w:val="none" w:sz="0" w:space="0" w:color="auto"/>
        <w:right w:val="none" w:sz="0" w:space="0" w:color="auto"/>
      </w:divBdr>
    </w:div>
    <w:div w:id="1954942016">
      <w:bodyDiv w:val="1"/>
      <w:marLeft w:val="0"/>
      <w:marRight w:val="0"/>
      <w:marTop w:val="0"/>
      <w:marBottom w:val="0"/>
      <w:divBdr>
        <w:top w:val="none" w:sz="0" w:space="0" w:color="auto"/>
        <w:left w:val="none" w:sz="0" w:space="0" w:color="auto"/>
        <w:bottom w:val="none" w:sz="0" w:space="0" w:color="auto"/>
        <w:right w:val="none" w:sz="0" w:space="0" w:color="auto"/>
      </w:divBdr>
    </w:div>
    <w:div w:id="1993829833">
      <w:bodyDiv w:val="1"/>
      <w:marLeft w:val="0"/>
      <w:marRight w:val="0"/>
      <w:marTop w:val="0"/>
      <w:marBottom w:val="0"/>
      <w:divBdr>
        <w:top w:val="none" w:sz="0" w:space="0" w:color="auto"/>
        <w:left w:val="none" w:sz="0" w:space="0" w:color="auto"/>
        <w:bottom w:val="none" w:sz="0" w:space="0" w:color="auto"/>
        <w:right w:val="none" w:sz="0" w:space="0" w:color="auto"/>
      </w:divBdr>
    </w:div>
    <w:div w:id="19984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iwheel.com/work/citation?ids=11706841&amp;pre=&amp;suf=&amp;sa=0" TargetMode="External"/><Relationship Id="rId18" Type="http://schemas.openxmlformats.org/officeDocument/2006/relationships/hyperlink" Target="https://sciwheel.com/work/citation?ids=11706841&amp;pre=&amp;suf=&amp;sa=0" TargetMode="External"/><Relationship Id="rId26" Type="http://schemas.openxmlformats.org/officeDocument/2006/relationships/hyperlink" Target="https://sciwheel.com/work/bibliography/11706572" TargetMode="External"/><Relationship Id="rId3" Type="http://schemas.openxmlformats.org/officeDocument/2006/relationships/settings" Target="settings.xml"/><Relationship Id="rId21" Type="http://schemas.openxmlformats.org/officeDocument/2006/relationships/hyperlink" Target="https://sciwheel.com/work/citation?ids=11847277&amp;pre=&amp;suf=&amp;sa=0" TargetMode="External"/><Relationship Id="rId34" Type="http://schemas.openxmlformats.org/officeDocument/2006/relationships/theme" Target="theme/theme1.xml"/><Relationship Id="rId7" Type="http://schemas.openxmlformats.org/officeDocument/2006/relationships/hyperlink" Target="https://sciwheel.com/work/citation?ids=4300067&amp;pre=&amp;suf=&amp;sa=0" TargetMode="External"/><Relationship Id="rId12" Type="http://schemas.openxmlformats.org/officeDocument/2006/relationships/hyperlink" Target="https://sciwheel.com/work/citation?ids=4300067&amp;pre=&amp;suf=&amp;sa=0" TargetMode="External"/><Relationship Id="rId17" Type="http://schemas.openxmlformats.org/officeDocument/2006/relationships/hyperlink" Target="https://sciwheel.com/work/citation?ids=4300067&amp;pre=&amp;suf=&amp;sa=0" TargetMode="External"/><Relationship Id="rId25" Type="http://schemas.openxmlformats.org/officeDocument/2006/relationships/hyperlink" Target="https://sciwheel.com/work/bibliography/1170656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iwheel.com/work/citation?ids=11706841&amp;pre=&amp;suf=&amp;sa=0" TargetMode="External"/><Relationship Id="rId20" Type="http://schemas.openxmlformats.org/officeDocument/2006/relationships/hyperlink" Target="https://sciwheel.com/work/citation?ids=4300067&amp;pre=&amp;suf=&amp;sa=0" TargetMode="External"/><Relationship Id="rId29" Type="http://schemas.openxmlformats.org/officeDocument/2006/relationships/hyperlink" Target="https://sciwheel.com/work/bibliography/7941054" TargetMode="External"/><Relationship Id="rId1" Type="http://schemas.openxmlformats.org/officeDocument/2006/relationships/numbering" Target="numbering.xml"/><Relationship Id="rId6" Type="http://schemas.openxmlformats.org/officeDocument/2006/relationships/hyperlink" Target="https://sciwheel.com/work/citation?ids=11706841&amp;pre=&amp;suf=&amp;sa=0" TargetMode="External"/><Relationship Id="rId11" Type="http://schemas.openxmlformats.org/officeDocument/2006/relationships/hyperlink" Target="https://sciwheel.com/work/citation?ids=11706592&amp;pre=&amp;suf=&amp;sa=0" TargetMode="External"/><Relationship Id="rId24" Type="http://schemas.openxmlformats.org/officeDocument/2006/relationships/hyperlink" Target="https://sciwheel.com/work/bibliography/4300067" TargetMode="External"/><Relationship Id="rId32" Type="http://schemas.openxmlformats.org/officeDocument/2006/relationships/hyperlink" Target="https://sciwheel.com/work/bibliography/11847277" TargetMode="External"/><Relationship Id="rId5" Type="http://schemas.openxmlformats.org/officeDocument/2006/relationships/hyperlink" Target="https://sciwheel.com/work/citation?ids=11706841&amp;pre=&amp;suf=&amp;sa=0" TargetMode="External"/><Relationship Id="rId15" Type="http://schemas.openxmlformats.org/officeDocument/2006/relationships/hyperlink" Target="https://sciwheel.com/work/citation?ids=11707039&amp;pre=&amp;suf=&amp;sa=0" TargetMode="External"/><Relationship Id="rId23" Type="http://schemas.openxmlformats.org/officeDocument/2006/relationships/hyperlink" Target="https://sciwheel.com/work/bibliography/11706841" TargetMode="External"/><Relationship Id="rId28" Type="http://schemas.openxmlformats.org/officeDocument/2006/relationships/hyperlink" Target="https://sciwheel.com/work/bibliography/11706592" TargetMode="External"/><Relationship Id="rId10" Type="http://schemas.openxmlformats.org/officeDocument/2006/relationships/hyperlink" Target="https://sciwheel.com/work/citation?ids=11706579&amp;pre=&amp;suf=&amp;sa=0" TargetMode="External"/><Relationship Id="rId19" Type="http://schemas.openxmlformats.org/officeDocument/2006/relationships/hyperlink" Target="https://sciwheel.com/work/citation?ids=4704447&amp;pre=&amp;suf=&amp;sa=0" TargetMode="External"/><Relationship Id="rId31" Type="http://schemas.openxmlformats.org/officeDocument/2006/relationships/hyperlink" Target="https://sciwheel.com/work/bibliography/4704447" TargetMode="External"/><Relationship Id="rId4" Type="http://schemas.openxmlformats.org/officeDocument/2006/relationships/webSettings" Target="webSettings.xml"/><Relationship Id="rId9" Type="http://schemas.openxmlformats.org/officeDocument/2006/relationships/hyperlink" Target="https://sciwheel.com/work/citation?ids=11706572&amp;pre=&amp;suf=&amp;sa=0" TargetMode="External"/><Relationship Id="rId14" Type="http://schemas.openxmlformats.org/officeDocument/2006/relationships/hyperlink" Target="https://sciwheel.com/work/citation?ids=7941054&amp;pre=&amp;suf=&amp;sa=0" TargetMode="External"/><Relationship Id="rId22" Type="http://schemas.openxmlformats.org/officeDocument/2006/relationships/hyperlink" Target="https://sciwheel.com/work/bibliography?atCursor=false" TargetMode="External"/><Relationship Id="rId27" Type="http://schemas.openxmlformats.org/officeDocument/2006/relationships/hyperlink" Target="https://sciwheel.com/work/bibliography/11706579" TargetMode="External"/><Relationship Id="rId30" Type="http://schemas.openxmlformats.org/officeDocument/2006/relationships/hyperlink" Target="https://sciwheel.com/work/bibliography/11707039" TargetMode="External"/><Relationship Id="rId8" Type="http://schemas.openxmlformats.org/officeDocument/2006/relationships/hyperlink" Target="https://sciwheel.com/work/citation?ids=11706566&amp;pre=&amp;suf=&amp;s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798444-DF5F-4C4C-BC5F-25C1B15525A7}">
  <we:reference id="wa200002534" version="1.0.0.0" store="en-US" storeType="OMEX"/>
  <we:alternateReferences>
    <we:reference id="WA200002534" version="1.0.0.0" store="" storeType="OMEX"/>
  </we:alternateReferences>
  <we:properties>
    <we:property name="sciwheel-csl-items" value="[{&quot;title&quot;:&quot;Bed rest versus early ambulation with standard anticoagulation in the management of deep vein thrombosis: a meta-analysis.&quot;,&quot;page&quot;:&quot;e0121388&quot;,&quot;volume&quot;:&quot;10&quot;,&quot;issue&quot;:&quot;4&quot;,&quot;journalAbbreviation&quot;:&quot;PLoS ONE&quot;,&quot;id&quot;:&quot;11706841&quot;,&quot;type&quot;:&quot;article-journal&quot;,&quot;container-title&quot;:&quot;Plos One&quot;,&quot;container-title-short&quot;:&quot;PLoS ONE&quot;,&quot;author&quot;:[{&quot;family&quot;:&quot;Liu&quot;,&quot;given&quot;:&quot;Zhenlei&quot;},{&quot;family&quot;:&quot;Tao&quot;,&quot;given&quot;:&quot;Xixi&quot;},{&quot;family&quot;:&quot;Chen&quot;,&quot;given&quot;:&quot;Yuexin&quot;},{&quot;family&quot;:&quot;Fan&quot;,&quot;given&quot;:&quot;Zhongjie&quot;},{&quot;family&quot;:&quot;Li&quot;,&quot;given&quot;:&quot;Yongjun&quot;}],&quot;issued&quot;:{&quot;date-parts&quot;:[[&quot;2015&quot;,&quot;4&quot;,&quot;10&quot;]]},&quot;DOI&quot;:&quot;10.1371/journal.pone.0121388&quot;,&quot;PMID&quot;:&quot;25860350&quot;,&quot;PMCID&quot;:&quot;PMC4393252&quot;,&quot;citation-label&quot;:&quot;11706841&quot;},{&quot;title&quot;:&quot;Role of Physical Therapists in the Management of Individuals at Risk for or Diagnosed With Venous Thromboembolism: Evidence-Based Clinical Practice Guideline.&quot;,&quot;page&quot;:&quot;143-166&quot;,&quot;volume&quot;:&quot;96&quot;,&quot;issue&quot;:&quot;2&quot;,&quot;journalAbbreviation&quot;:&quot;Phys. Ther.&quot;,&quot;id&quot;:&quot;4300067&quot;,&quot;type&quot;:&quot;article-journal&quot;,&quot;container-title&quot;:&quot;Physical Therapy&quot;,&quot;container-title-short&quot;:&quot;Phys. Ther.&quot;,&quot;author&quot;:[{&quot;family&quot;:&quot;Hillegass&quot;,&quot;given&quot;:&quot;Ellen&quot;},{&quot;family&quot;:&quot;Puthoff&quot;,&quot;given&quot;:&quot;Michael&quot;},{&quot;family&quot;:&quot;Frese&quot;,&quot;given&quot;:&quot;Ethel M&quot;},{&quot;family&quot;:&quot;Thigpen&quot;,&quot;given&quot;:&quot;Mary&quot;},{&quot;family&quot;:&quot;Sobush&quot;,&quot;given&quot;:&quot;Dennis C&quot;},{&quot;family&quot;:&quot;Auten&quot;,&quot;given&quot;:&quot;Beth&quot;},{&quot;family&quot;:&quot;Guideline Development Group&quot;}],&quot;issued&quot;:{&quot;date-parts&quot;:[[&quot;2016&quot;,&quot;2&quot;]]},&quot;DOI&quot;:&quot;10.2522/ptj.20150264&quot;,&quot;PMID&quot;:&quot;26515263&quot;,&quot;citation-label&quot;:&quot;4300067&quot;},{&quot;title&quot;:&quot;A meta-analysis of bed rest versus early ambulation in the management of pulmonary embolism, deep vein thrombosis, or both.&quot;,&quot;page&quot;:&quot;37-41&quot;,&quot;volume&quot;:&quot;137&quot;,&quot;issue&quot;:&quot;1&quot;,&quot;journalAbbreviation&quot;:&quot;Int. J. Cardiol.&quot;,&quot;id&quot;:&quot;11706566&quot;,&quot;type&quot;:&quot;article-journal&quot;,&quot;container-title&quot;:&quot;International Journal of Cardiology&quot;,&quot;container-title-short&quot;:&quot;Int. J. Cardiol.&quot;,&quot;author&quot;:[{&quot;family&quot;:&quot;Aissaoui&quot;,&quot;given&quot;:&quot;Nadia&quot;},{&quot;family&quot;:&quot;Martins&quot;,&quot;given&quot;:&quot;Edith&quot;},{&quot;family&quot;:&quot;Mouly&quot;,&quot;given&quot;:&quot;Stéphane&quot;},{&quot;family&quot;:&quot;Weber&quot;,&quot;given&quot;:&quot;Simon&quot;},{&quot;family&quot;:&quot;Meune&quot;,&quot;given&quot;:&quot;Christophe&quot;}],&quot;issued&quot;:{&quot;date-parts&quot;:[[&quot;2009&quot;,&quot;9&quot;,&quot;11&quot;]]},&quot;DOI&quot;:&quot;10.1016/j.ijcard.2008.06.020&quot;,&quot;PMID&quot;:&quot;18691773&quot;,&quot;citation-label&quot;:&quot;11706566&quot;},{&quot;title&quot;:&quot;When can the patient with deep venous thrombosis begin to ambulate?&quot;,&quot;page&quot;:&quot;268-273&quot;,&quot;volume&quot;:&quot;84&quot;,&quot;issue&quot;:&quot;3&quot;,&quot;journalAbbreviation&quot;:&quot;Phys. Ther.&quot;,&quot;id&quot;:&quot;11706572&quot;,&quot;type&quot;:&quot;article-journal&quot;,&quot;container-title&quot;:&quot;Physical Therapy&quot;,&quot;container-title-short&quot;:&quot;Phys. Ther.&quot;,&quot;author&quot;:[{&quot;family&quot;:&quot;Aldrich&quot;,&quot;given&quot;:&quot;Dana&quot;},{&quot;family&quot;:&quot;Hunt&quot;,&quot;given&quot;:&quot;Daniel P&quot;}],&quot;issued&quot;:{&quot;date-parts&quot;:[[&quot;2004&quot;,&quot;3&quot;]]},&quot;DOI&quot;:&quot;10.1093/ptj/84.3.268&quot;,&quot;PMID&quot;:&quot;14984299&quot;,&quot;citation-label&quot;:&quot;11706572&quot;},{&quot;title&quot;:&quot;Ambulation after deep vein thrombosis: a systematic review.&quot;,&quot;page&quot;:&quot;133-140&quot;,&quot;volume&quot;:&quot;61&quot;,&quot;issue&quot;:&quot;3&quot;,&quot;journalAbbreviation&quot;:&quot;Physiother. Can.&quot;,&quot;id&quot;:&quot;11706579&quot;,&quot;type&quot;:&quot;article-journal&quot;,&quot;container-title&quot;:&quot;Physiotherapy Canada. Physiotherapie Canada&quot;,&quot;container-title-short&quot;:&quot;Physiother. Can.&quot;,&quot;author&quot;:[{&quot;family&quot;:&quot;Anderson&quot;,&quot;given&quot;:&quot;Cathy M&quot;},{&quot;family&quot;:&quot;Overend&quot;,&quot;given&quot;:&quot;Tom J&quot;},{&quot;family&quot;:&quot;Godwin&quot;,&quot;given&quot;:&quot;Julie&quot;},{&quot;family&quot;:&quot;Sealy&quot;,&quot;given&quot;:&quot;Christina&quot;},{&quot;family&quot;:&quot;Sunderji&quot;,&quot;given&quot;:&quot;Aisha&quot;}],&quot;issued&quot;:{&quot;date-parts&quot;:[[&quot;2009&quot;,&quot;7&quot;,&quot;16&quot;]]},&quot;DOI&quot;:&quot;10.3138/physio.61.3.133&quot;,&quot;PMID&quot;:&quot;20514175&quot;,&quot;PMCID&quot;:&quot;PMC2787576&quot;,&quot;citation-label&quot;:&quot;11706579&quot;},{&quot;title&quot;:&quot;Influence of Bedrest or Ambulation In the Clinical Treatment of Acute Deep Vein Thrombosis on Patient Outcomes: A Review and Synthesis Of the Literature&quot;,&quot;journalAbbreviation&quot;:&quot;Medsurg Nurs&quot;,&quot;id&quot;:&quot;11706592&quot;,&quot;type&quot;:&quot;article-journal&quot;,&quot;container-title&quot;:&quot;Medsurg nursing : official journal of the Academy of Medical-Surgical Nurses&quot;,&quot;container-title-short&quot;:&quot;Medsurg Nurs&quot;,&quot;author&quot;:[{&quot;family&quot;:&quot;Gay&quot;,&quot;given&quot;:&quot;Victoria&quot;},{&quot;family&quot;:&quot;Hamilton&quot;,&quot;given&quot;:&quot;Rhonda&quot;},{&quot;family&quot;:&quot;Heiskill&quot;,&quot;given&quot;:&quot;Susan&quot;},{&quot;family&quot;:&quot;Sparks&quot;,&quot;given&quot;:&quot;Amy M.&quot;}],&quot;issued&quot;:{&quot;date-parts&quot;:[[&quot;2009&quot;]]},&quot;citation-label&quot;:&quot;11706592&quot;},{&quot;title&quot;:&quot;A retrospective analysis of hospitalized patients with documented deep-venous thrombosis and their risk of pulmonary embolism.&quot;,&quot;page&quot;:&quot;599-604&quot;,&quot;volume&quot;:&quot;59&quot;,&quot;issue&quot;:&quot;5&quot;,&quot;journalAbbreviation&quot;:&quot;Angiology&quot;,&quot;id&quot;:&quot;7941054&quot;,&quot;type&quot;:&quot;article-journal&quot;,&quot;container-title&quot;:&quot;Angiology&quot;,&quot;container-title-short&quot;:&quot;Angiology&quot;,&quot;author&quot;:[{&quot;family&quot;:&quot;Manganaro&quot;,&quot;given&quot;:&quot;Agatino&quot;},{&quot;family&quot;:&quot;Ando&quot;,&quot;given&quot;:&quot;Giuseppe&quot;},{&quot;family&quot;:&quot;Lembo&quot;,&quot;given&quot;:&quot;Daniela&quot;},{&quot;family&quot;:&quot;Sutera Sardo&quot;,&quot;given&quot;:&quot;Luciano&quot;},{&quot;family&quot;:&quot;Buda&quot;,&quot;given&quot;:&quot;Domenico&quot;}],&quot;issued&quot;:{&quot;date-parts&quot;:[[&quot;2008&quot;,&quot;11&quot;]]},&quot;DOI&quot;:&quot;10.1177/0003319707309655&quot;,&quot;PMID&quot;:&quot;18388030&quot;,&quot;citation-label&quot;:&quot;7941054&quot;},{&quot;title&quot;:&quot;Early mobilisation in patients with acute deep vein thrombosis does not increase the risk of symptomatic pulmonary embolism&quot;,&quot;journalAbbreviation&quot;:&quot;Int J Angiol&quot;,&quot;id&quot;:&quot;11707039&quot;,&quot;type&quot;:&quot;article-journal&quot;,&quot;container-title&quot;:&quot;The International journal of angiology : official publication of the International College of Angiology, Inc&quot;,&quot;container-title-short&quot;:&quot;Int J Angiol&quot;,&quot;author&quot;:[{&quot;family&quot;:&quot;Romera-Villegas&quot;,&quot;given&quot;:&quot;A&quot;},{&quot;family&quot;:&quot;Cairols-Castellote&quot;,&quot;given&quot;:&quot;M A&quot;},{&quot;family&quot;:&quot;Villa-Coll&quot;,&quot;given&quot;:&quot;R&quot;},{&quot;family&quot;:&quot;Perez-Piqueras Gomez&quot;,&quot;given&quot;:&quot;A&quot;},{&quot;family&quot;:&quot;Marti-Mestre&quot;,&quot;given&quot;:&quot;X&quot;},{&quot;family&quot;:&quot;Bonell-Pascual&quot;,&quot;given&quot;:&quot;A&quot;},{&quot;family&quot;:&quot;Lapiedra-Mur&quot;,&quot;given&quot;:&quot;O&quot;}],&quot;issued&quot;:{&quot;date-parts&quot;:[[&quot;2008&quot;]]},&quot;citation-label&quot;:&quot;11707039&quot;},{&quot;title&quot;:&quot;AMSTAR 2: a critical appraisal tool for systematic reviews that include randomised or non-randomised studies of healthcare interventions, or both.&quot;,&quot;page&quot;:&quot;j4008&quot;,&quot;volume&quot;:&quot;358&quot;,&quot;journalAbbreviation&quot;:&quot;BMJ&quot;,&quot;id&quot;:&quot;4704447&quot;,&quot;type&quot;:&quot;article-journal&quot;,&quot;container-title&quot;:&quot;BMJ (Clinical Research Ed.)&quot;,&quot;container-title-short&quot;:&quot;BMJ&quot;,&quot;author&quot;:[{&quot;family&quot;:&quot;Shea&quot;,&quot;given&quot;:&quot;Beverley J&quot;},{&quot;family&quot;:&quot;Reeves&quot;,&quot;given&quot;:&quot;Barnaby C&quot;},{&quot;family&quot;:&quot;Wells&quot;,&quot;given&quot;:&quot;George&quot;},{&quot;family&quot;:&quot;Thuku&quot;,&quot;given&quot;:&quot;Micere&quot;},{&quot;family&quot;:&quot;Hamel&quot;,&quot;given&quot;:&quot;Candyce&quot;},{&quot;family&quot;:&quot;Moran&quot;,&quot;given&quot;:&quot;Julian&quot;},{&quot;family&quot;:&quot;Moher&quot;,&quot;given&quot;:&quot;David&quot;},{&quot;family&quot;:&quot;Tugwell&quot;,&quot;given&quot;:&quot;Peter&quot;},{&quot;family&quot;:&quot;Welch&quot;,&quot;given&quot;:&quot;Vivian&quot;},{&quot;family&quot;:&quot;Kristjansson&quot;,&quot;given&quot;:&quot;Elizabeth&quot;},{&quot;family&quot;:&quot;Henry&quot;,&quot;given&quot;:&quot;David A&quot;}],&quot;issued&quot;:{&quot;date-parts&quot;:[[&quot;2017&quot;,&quot;9&quot;,&quot;21&quot;]]},&quot;DOI&quot;:&quot;10.1136/bmj.j4008&quot;,&quot;PMID&quot;:&quot;28935701&quot;,&quot;PMCID&quot;:&quot;PMC5833365&quot;,&quot;citation-label&quot;:&quot;4704447&quot;},{&quot;title&quot;:&quot;Appraisal of Guidelines for Research and Evaluation II [Electronic version]&quot;,&quot;id&quot;:&quot;11847277&quot;,&quot;type&quot;:&quot;article-journal&quot;,&quot;container-title&quot;:&quot;AGREE Next Steps Consortium&quot;,&quot;author&quot;:[{&quot;family&quot;:&quot;Brouwers&quot;,&quot;given&quot;:&quot;Melissa C.&quot;},{&quot;family&quot;:&quot;Browman&quot;,&quot;given&quot;:&quot;G P&quot;},{&quot;family&quot;:&quot;Burgers&quot;,&quot;given&quot;:&quot;J S&quot;}],&quot;issued&quot;:{&quot;date-parts&quot;:[[&quot;2017&quot;]]},&quot;citation-label&quot;:&quot;11847277&quot;}]"/>
    <we:property name="sciwheel-selectedStyle" value="{&quot;id&quot;:&quot;american-medical-association&quot;,&quot;name&quot;:&quot;American Medical Association&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1736</TotalTime>
  <Pages>13</Pages>
  <Words>7062</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William Balard</cp:lastModifiedBy>
  <cp:revision>31</cp:revision>
  <dcterms:created xsi:type="dcterms:W3CDTF">2021-10-25T18:39:00Z</dcterms:created>
  <dcterms:modified xsi:type="dcterms:W3CDTF">2021-11-23T13:32:00Z</dcterms:modified>
</cp:coreProperties>
</file>