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14:paraId="4E26AE74" w14:textId="77777777" w:rsidTr="002F16E1">
        <w:tc>
          <w:tcPr>
            <w:tcW w:w="10421" w:type="dxa"/>
            <w:shd w:val="clear" w:color="auto" w:fill="auto"/>
          </w:tcPr>
          <w:p w14:paraId="7EF312D7" w14:textId="77777777" w:rsidR="005263ED" w:rsidRPr="002F16E1" w:rsidRDefault="00196026" w:rsidP="002F16E1">
            <w:pPr>
              <w:jc w:val="center"/>
              <w:rPr>
                <w:b/>
                <w:sz w:val="18"/>
                <w:szCs w:val="18"/>
              </w:rPr>
            </w:pPr>
            <w:r w:rsidRPr="002F16E1">
              <w:rPr>
                <w:b/>
                <w:sz w:val="18"/>
                <w:szCs w:val="18"/>
              </w:rPr>
              <w:t>CRITICALLY APPRAISED TOPIC</w:t>
            </w:r>
          </w:p>
        </w:tc>
      </w:tr>
    </w:tbl>
    <w:p w14:paraId="3CFF64CB"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72678D30" w14:textId="77777777" w:rsidTr="002F16E1">
        <w:tc>
          <w:tcPr>
            <w:tcW w:w="10421" w:type="dxa"/>
            <w:shd w:val="clear" w:color="auto" w:fill="auto"/>
          </w:tcPr>
          <w:p w14:paraId="2CCA929E" w14:textId="67D88645" w:rsidR="008B5180" w:rsidRPr="002F16E1" w:rsidRDefault="00BB3130" w:rsidP="002F16E1">
            <w:pPr>
              <w:spacing w:before="120" w:after="120"/>
              <w:rPr>
                <w:sz w:val="16"/>
                <w:szCs w:val="16"/>
              </w:rPr>
            </w:pPr>
            <w:r w:rsidRPr="0082281A">
              <w:rPr>
                <w:sz w:val="18"/>
                <w:szCs w:val="18"/>
              </w:rPr>
              <w:t>In a patient with a musculoskeletal injury</w:t>
            </w:r>
            <w:r>
              <w:rPr>
                <w:sz w:val="18"/>
                <w:szCs w:val="18"/>
              </w:rPr>
              <w:t xml:space="preserve"> presenting to </w:t>
            </w:r>
            <w:r w:rsidR="00077B5C">
              <w:rPr>
                <w:sz w:val="18"/>
                <w:szCs w:val="18"/>
              </w:rPr>
              <w:t xml:space="preserve">an </w:t>
            </w:r>
            <w:r>
              <w:rPr>
                <w:sz w:val="18"/>
                <w:szCs w:val="18"/>
              </w:rPr>
              <w:t xml:space="preserve">outpatient </w:t>
            </w:r>
            <w:r w:rsidR="00077B5C">
              <w:rPr>
                <w:sz w:val="18"/>
                <w:szCs w:val="18"/>
              </w:rPr>
              <w:t xml:space="preserve">orthopedic </w:t>
            </w:r>
            <w:r>
              <w:rPr>
                <w:sz w:val="18"/>
                <w:szCs w:val="18"/>
              </w:rPr>
              <w:t>setting</w:t>
            </w:r>
            <w:r w:rsidR="005B50FD">
              <w:rPr>
                <w:sz w:val="18"/>
                <w:szCs w:val="18"/>
              </w:rPr>
              <w:t>(P)</w:t>
            </w:r>
            <w:r w:rsidRPr="0082281A">
              <w:rPr>
                <w:sz w:val="18"/>
                <w:szCs w:val="18"/>
              </w:rPr>
              <w:t>, how do physical therapists</w:t>
            </w:r>
            <w:r w:rsidR="005B50FD">
              <w:rPr>
                <w:sz w:val="18"/>
                <w:szCs w:val="18"/>
              </w:rPr>
              <w:t>(I)</w:t>
            </w:r>
            <w:r w:rsidR="0036765B">
              <w:rPr>
                <w:sz w:val="18"/>
                <w:szCs w:val="18"/>
              </w:rPr>
              <w:t xml:space="preserve"> </w:t>
            </w:r>
            <w:r w:rsidRPr="0082281A">
              <w:rPr>
                <w:sz w:val="18"/>
                <w:szCs w:val="18"/>
              </w:rPr>
              <w:t>and medical doctors</w:t>
            </w:r>
            <w:r w:rsidR="005B50FD">
              <w:rPr>
                <w:sz w:val="18"/>
                <w:szCs w:val="18"/>
              </w:rPr>
              <w:t>(C)</w:t>
            </w:r>
            <w:r w:rsidRPr="0082281A">
              <w:rPr>
                <w:sz w:val="18"/>
                <w:szCs w:val="18"/>
              </w:rPr>
              <w:t xml:space="preserve"> compare in diagnostic accuracy and treatment</w:t>
            </w:r>
            <w:r w:rsidR="005B50FD">
              <w:rPr>
                <w:sz w:val="18"/>
                <w:szCs w:val="18"/>
              </w:rPr>
              <w:t>(O)</w:t>
            </w:r>
            <w:r w:rsidRPr="0082281A">
              <w:rPr>
                <w:sz w:val="18"/>
                <w:szCs w:val="18"/>
              </w:rPr>
              <w:t>?</w:t>
            </w:r>
          </w:p>
        </w:tc>
      </w:tr>
    </w:tbl>
    <w:p w14:paraId="09A069D2" w14:textId="77777777" w:rsidR="00554FFC" w:rsidRDefault="00554FFC" w:rsidP="00077862">
      <w:pPr>
        <w:spacing w:before="120" w:after="120"/>
        <w:rPr>
          <w:b/>
          <w:sz w:val="18"/>
          <w:szCs w:val="18"/>
        </w:rPr>
      </w:pPr>
    </w:p>
    <w:p w14:paraId="6A0848AC"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676"/>
        <w:gridCol w:w="1093"/>
        <w:gridCol w:w="2547"/>
      </w:tblGrid>
      <w:tr w:rsidR="003A6741" w:rsidRPr="002F16E1" w14:paraId="40727090" w14:textId="77777777" w:rsidTr="002F16E1">
        <w:tc>
          <w:tcPr>
            <w:tcW w:w="1908" w:type="dxa"/>
            <w:shd w:val="clear" w:color="auto" w:fill="auto"/>
          </w:tcPr>
          <w:p w14:paraId="5AD8CED7"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4A83FE93" w14:textId="6C55314D" w:rsidR="003A6741" w:rsidRPr="002F16E1" w:rsidRDefault="00BB3130" w:rsidP="002F16E1">
            <w:pPr>
              <w:spacing w:before="120" w:after="120"/>
              <w:rPr>
                <w:sz w:val="18"/>
                <w:szCs w:val="18"/>
              </w:rPr>
            </w:pPr>
            <w:r>
              <w:rPr>
                <w:sz w:val="18"/>
                <w:szCs w:val="18"/>
              </w:rPr>
              <w:t>Krista Rosenquest</w:t>
            </w:r>
          </w:p>
        </w:tc>
        <w:tc>
          <w:tcPr>
            <w:tcW w:w="1107" w:type="dxa"/>
            <w:shd w:val="clear" w:color="auto" w:fill="auto"/>
          </w:tcPr>
          <w:p w14:paraId="44CA1988"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18423EDD" w14:textId="7E117C27" w:rsidR="003A6741" w:rsidRPr="002F16E1" w:rsidRDefault="00142789" w:rsidP="002F16E1">
            <w:pPr>
              <w:spacing w:before="120" w:after="120"/>
              <w:rPr>
                <w:sz w:val="18"/>
                <w:szCs w:val="18"/>
              </w:rPr>
            </w:pPr>
            <w:r>
              <w:rPr>
                <w:sz w:val="18"/>
                <w:szCs w:val="18"/>
              </w:rPr>
              <w:t>12/2/20</w:t>
            </w:r>
          </w:p>
        </w:tc>
      </w:tr>
      <w:tr w:rsidR="008B031E" w:rsidRPr="002F16E1" w14:paraId="2A5DFD87" w14:textId="77777777" w:rsidTr="002F16E1">
        <w:tc>
          <w:tcPr>
            <w:tcW w:w="1908" w:type="dxa"/>
            <w:shd w:val="clear" w:color="auto" w:fill="auto"/>
          </w:tcPr>
          <w:p w14:paraId="01551AB5"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38EE55CA" w14:textId="3C491DA1" w:rsidR="008B031E" w:rsidRPr="002F16E1" w:rsidRDefault="00BB3130" w:rsidP="002F16E1">
            <w:pPr>
              <w:spacing w:before="120" w:after="120"/>
              <w:rPr>
                <w:sz w:val="18"/>
                <w:szCs w:val="18"/>
              </w:rPr>
            </w:pPr>
            <w:r>
              <w:rPr>
                <w:sz w:val="18"/>
                <w:szCs w:val="18"/>
              </w:rPr>
              <w:t>Krista_Rosenquest@med.unc.edu</w:t>
            </w:r>
          </w:p>
        </w:tc>
      </w:tr>
    </w:tbl>
    <w:p w14:paraId="72D3EC7F" w14:textId="77777777" w:rsidR="00554FFC" w:rsidRDefault="00554FFC" w:rsidP="00A66A42">
      <w:pPr>
        <w:spacing w:before="120" w:after="120"/>
        <w:rPr>
          <w:b/>
          <w:sz w:val="18"/>
          <w:szCs w:val="18"/>
        </w:rPr>
      </w:pPr>
    </w:p>
    <w:p w14:paraId="4724B6C7"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3597F558" w14:textId="77777777" w:rsidTr="002F16E1">
        <w:tc>
          <w:tcPr>
            <w:tcW w:w="10421" w:type="dxa"/>
            <w:shd w:val="clear" w:color="auto" w:fill="auto"/>
          </w:tcPr>
          <w:p w14:paraId="62962861" w14:textId="02CDDA85" w:rsidR="00A66A42" w:rsidRPr="00105958" w:rsidRDefault="00105958" w:rsidP="002F16E1">
            <w:pPr>
              <w:spacing w:before="120" w:after="120"/>
              <w:rPr>
                <w:bCs/>
                <w:sz w:val="18"/>
                <w:szCs w:val="18"/>
              </w:rPr>
            </w:pPr>
            <w:r>
              <w:rPr>
                <w:bCs/>
                <w:sz w:val="18"/>
                <w:szCs w:val="18"/>
              </w:rPr>
              <w:t>The patient is a 25-year-old active male runner with right hip and anterior-medial groin pain</w:t>
            </w:r>
            <w:r w:rsidR="00824F08">
              <w:rPr>
                <w:bCs/>
                <w:sz w:val="18"/>
                <w:szCs w:val="18"/>
              </w:rPr>
              <w:t xml:space="preserve"> living in Durham, NC</w:t>
            </w:r>
            <w:r>
              <w:rPr>
                <w:bCs/>
                <w:sz w:val="18"/>
                <w:szCs w:val="18"/>
              </w:rPr>
              <w:t>.  The pain began about 8 weeks ago. Initially the pain was b</w:t>
            </w:r>
            <w:r w:rsidR="005B50FD">
              <w:rPr>
                <w:bCs/>
                <w:sz w:val="18"/>
                <w:szCs w:val="18"/>
              </w:rPr>
              <w:t>r</w:t>
            </w:r>
            <w:r>
              <w:rPr>
                <w:bCs/>
                <w:sz w:val="18"/>
                <w:szCs w:val="18"/>
              </w:rPr>
              <w:t xml:space="preserve">ought on by exercise, but over the </w:t>
            </w:r>
            <w:r w:rsidR="005B50FD">
              <w:rPr>
                <w:bCs/>
                <w:sz w:val="18"/>
                <w:szCs w:val="18"/>
              </w:rPr>
              <w:t xml:space="preserve">past </w:t>
            </w:r>
            <w:r>
              <w:rPr>
                <w:bCs/>
                <w:sz w:val="18"/>
                <w:szCs w:val="18"/>
              </w:rPr>
              <w:t>3 weeks the pain has become constant, limit</w:t>
            </w:r>
            <w:r w:rsidR="005B50FD">
              <w:rPr>
                <w:bCs/>
                <w:sz w:val="18"/>
                <w:szCs w:val="18"/>
              </w:rPr>
              <w:t>ing</w:t>
            </w:r>
            <w:r>
              <w:rPr>
                <w:bCs/>
                <w:sz w:val="18"/>
                <w:szCs w:val="18"/>
              </w:rPr>
              <w:t xml:space="preserve"> all recreation activities and limiting sitting tolerance to less than 30 minutes. The patient’s goal is to return to h</w:t>
            </w:r>
            <w:r w:rsidR="005B50FD">
              <w:rPr>
                <w:bCs/>
                <w:sz w:val="18"/>
                <w:szCs w:val="18"/>
              </w:rPr>
              <w:t>is</w:t>
            </w:r>
            <w:r>
              <w:rPr>
                <w:bCs/>
                <w:sz w:val="18"/>
                <w:szCs w:val="18"/>
              </w:rPr>
              <w:t xml:space="preserve"> prior level of function, including running, regular walks, and sitting for work without limitation.  Will </w:t>
            </w:r>
            <w:r w:rsidR="005B50FD">
              <w:rPr>
                <w:bCs/>
                <w:sz w:val="18"/>
                <w:szCs w:val="18"/>
              </w:rPr>
              <w:t>a</w:t>
            </w:r>
            <w:r>
              <w:rPr>
                <w:bCs/>
                <w:sz w:val="18"/>
                <w:szCs w:val="18"/>
              </w:rPr>
              <w:t xml:space="preserve"> medical doctor or physical therapist give a more accurate diagnosis of the patient’s condition?  Will the medical doctor’s and physical therapist’s treatment plan differ? </w:t>
            </w:r>
            <w:r w:rsidR="00AA2030">
              <w:rPr>
                <w:bCs/>
                <w:sz w:val="18"/>
                <w:szCs w:val="18"/>
              </w:rPr>
              <w:t xml:space="preserve">Will the diagnostic accuracy and treatment of this patient be adequate if she sees a PT </w:t>
            </w:r>
            <w:r w:rsidR="00EA623E">
              <w:rPr>
                <w:bCs/>
                <w:sz w:val="18"/>
                <w:szCs w:val="18"/>
              </w:rPr>
              <w:t xml:space="preserve">via </w:t>
            </w:r>
            <w:r w:rsidR="00AA2030">
              <w:rPr>
                <w:bCs/>
                <w:sz w:val="18"/>
                <w:szCs w:val="18"/>
              </w:rPr>
              <w:t xml:space="preserve">direct access?  </w:t>
            </w:r>
          </w:p>
        </w:tc>
      </w:tr>
    </w:tbl>
    <w:p w14:paraId="21ABFE39" w14:textId="77777777" w:rsidR="00554FFC" w:rsidRDefault="00554FFC" w:rsidP="00A66A42">
      <w:pPr>
        <w:spacing w:before="120"/>
        <w:rPr>
          <w:b/>
          <w:sz w:val="18"/>
          <w:szCs w:val="18"/>
        </w:rPr>
      </w:pPr>
    </w:p>
    <w:p w14:paraId="5E448E99" w14:textId="77777777" w:rsidR="00A66A42" w:rsidRPr="00A66A42" w:rsidRDefault="00A66A42" w:rsidP="00A66A42">
      <w:pPr>
        <w:spacing w:before="120"/>
        <w:rPr>
          <w:b/>
          <w:sz w:val="18"/>
          <w:szCs w:val="18"/>
        </w:rPr>
      </w:pPr>
      <w:r w:rsidRPr="00A66A42">
        <w:rPr>
          <w:b/>
          <w:sz w:val="18"/>
          <w:szCs w:val="18"/>
        </w:rPr>
        <w:t>SUMMARY OF SEARCH</w:t>
      </w:r>
    </w:p>
    <w:p w14:paraId="071F5EC6"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1A5C6A93" w14:textId="77777777" w:rsidTr="002F16E1">
        <w:tc>
          <w:tcPr>
            <w:tcW w:w="10421" w:type="dxa"/>
            <w:shd w:val="clear" w:color="auto" w:fill="auto"/>
          </w:tcPr>
          <w:p w14:paraId="59838794" w14:textId="5728F06F" w:rsidR="00A66A42" w:rsidRDefault="00B31B8C" w:rsidP="002F16E1">
            <w:pPr>
              <w:spacing w:before="120" w:after="120"/>
              <w:rPr>
                <w:sz w:val="18"/>
                <w:szCs w:val="18"/>
              </w:rPr>
            </w:pPr>
            <w:r>
              <w:rPr>
                <w:sz w:val="18"/>
                <w:szCs w:val="18"/>
              </w:rPr>
              <w:t xml:space="preserve">Comparing medical doctors’ </w:t>
            </w:r>
            <w:r w:rsidR="00131621">
              <w:rPr>
                <w:sz w:val="18"/>
                <w:szCs w:val="18"/>
              </w:rPr>
              <w:t>and</w:t>
            </w:r>
            <w:r>
              <w:rPr>
                <w:sz w:val="18"/>
                <w:szCs w:val="18"/>
              </w:rPr>
              <w:t xml:space="preserve"> direct access physical therapists’ diagnoses and treatment strategies of musculoskeletal conditions is a novel topic in the research world, especially when specifically considering hip musculoskeletal disorders.  Because of the novelty of this subject, the clinical question was broadened to all musculoskeletal conditions presenting </w:t>
            </w:r>
            <w:r w:rsidR="0036765B">
              <w:rPr>
                <w:sz w:val="18"/>
                <w:szCs w:val="18"/>
              </w:rPr>
              <w:t xml:space="preserve">to </w:t>
            </w:r>
            <w:r>
              <w:rPr>
                <w:sz w:val="18"/>
                <w:szCs w:val="18"/>
              </w:rPr>
              <w:t>an outpatient orthopedic setting.  After this adjustment was made, 8 studies were found with some clinical relevance.</w:t>
            </w:r>
          </w:p>
          <w:p w14:paraId="4A01085F" w14:textId="5650ADD4" w:rsidR="00B31B8C" w:rsidRDefault="00B31B8C" w:rsidP="002F16E1">
            <w:pPr>
              <w:spacing w:before="120" w:after="120"/>
              <w:rPr>
                <w:sz w:val="18"/>
                <w:szCs w:val="18"/>
              </w:rPr>
            </w:pPr>
            <w:r>
              <w:rPr>
                <w:sz w:val="18"/>
                <w:szCs w:val="18"/>
              </w:rPr>
              <w:t>Key Findings</w:t>
            </w:r>
          </w:p>
          <w:p w14:paraId="70297634" w14:textId="4567A83E" w:rsidR="00B31B8C" w:rsidRDefault="00B31B8C" w:rsidP="00B31B8C">
            <w:pPr>
              <w:pStyle w:val="ListParagraph"/>
              <w:numPr>
                <w:ilvl w:val="0"/>
                <w:numId w:val="15"/>
              </w:numPr>
              <w:spacing w:before="120" w:after="120"/>
              <w:rPr>
                <w:sz w:val="18"/>
                <w:szCs w:val="18"/>
              </w:rPr>
            </w:pPr>
            <w:r>
              <w:rPr>
                <w:sz w:val="18"/>
                <w:szCs w:val="18"/>
              </w:rPr>
              <w:t>Clinical diagnostic accuracy of musculoskeletal injuries made by US army physical therapists (PT) and orthopaedic surgeons (OS) is significantly greater than non-orthopaedic providers, with no significant differen</w:t>
            </w:r>
            <w:r w:rsidR="002F78A2">
              <w:rPr>
                <w:sz w:val="18"/>
                <w:szCs w:val="18"/>
              </w:rPr>
              <w:t>ce</w:t>
            </w:r>
            <w:r>
              <w:rPr>
                <w:sz w:val="18"/>
                <w:szCs w:val="18"/>
              </w:rPr>
              <w:t xml:space="preserve"> between PTs and OSs.</w:t>
            </w:r>
            <w:r>
              <w:rPr>
                <w:sz w:val="18"/>
                <w:szCs w:val="18"/>
                <w:vertAlign w:val="superscript"/>
              </w:rPr>
              <w:t>1</w:t>
            </w:r>
          </w:p>
          <w:p w14:paraId="42A3247F" w14:textId="045F3E00" w:rsidR="00B31B8C" w:rsidRDefault="00B31B8C" w:rsidP="00B31B8C">
            <w:pPr>
              <w:pStyle w:val="ListParagraph"/>
              <w:numPr>
                <w:ilvl w:val="0"/>
                <w:numId w:val="15"/>
              </w:numPr>
              <w:spacing w:before="120" w:after="120"/>
              <w:rPr>
                <w:sz w:val="18"/>
                <w:szCs w:val="18"/>
              </w:rPr>
            </w:pPr>
            <w:r>
              <w:rPr>
                <w:sz w:val="18"/>
                <w:szCs w:val="18"/>
              </w:rPr>
              <w:t>Compared to US military family practice physicians, US military PTs utilize medication and imaging significantly less and have a significantly higher return to duty rates.</w:t>
            </w:r>
            <w:r>
              <w:rPr>
                <w:sz w:val="18"/>
                <w:szCs w:val="18"/>
                <w:vertAlign w:val="superscript"/>
              </w:rPr>
              <w:t>2</w:t>
            </w:r>
          </w:p>
          <w:p w14:paraId="05AB7286" w14:textId="0C762BD8" w:rsidR="00B31B8C" w:rsidRDefault="00B31B8C" w:rsidP="00B31B8C">
            <w:pPr>
              <w:pStyle w:val="ListParagraph"/>
              <w:numPr>
                <w:ilvl w:val="0"/>
                <w:numId w:val="15"/>
              </w:numPr>
              <w:spacing w:before="120" w:after="120"/>
              <w:rPr>
                <w:sz w:val="18"/>
                <w:szCs w:val="18"/>
              </w:rPr>
            </w:pPr>
            <w:r>
              <w:rPr>
                <w:sz w:val="18"/>
                <w:szCs w:val="18"/>
              </w:rPr>
              <w:t>Concordance of physiotherapists and orthopedic surgeons on common shoulder primary diagnoses and triage recommendations is high.</w:t>
            </w:r>
            <w:r>
              <w:rPr>
                <w:sz w:val="18"/>
                <w:szCs w:val="18"/>
                <w:vertAlign w:val="superscript"/>
              </w:rPr>
              <w:t>3</w:t>
            </w:r>
            <w:r>
              <w:rPr>
                <w:sz w:val="18"/>
                <w:szCs w:val="18"/>
              </w:rPr>
              <w:t xml:space="preserve"> </w:t>
            </w:r>
          </w:p>
          <w:p w14:paraId="7156646C" w14:textId="30582B33" w:rsidR="00B31B8C" w:rsidRDefault="00B31B8C" w:rsidP="00B31B8C">
            <w:pPr>
              <w:pStyle w:val="ListParagraph"/>
              <w:numPr>
                <w:ilvl w:val="0"/>
                <w:numId w:val="15"/>
              </w:numPr>
              <w:spacing w:before="120" w:after="120"/>
              <w:rPr>
                <w:sz w:val="18"/>
                <w:szCs w:val="18"/>
              </w:rPr>
            </w:pPr>
            <w:r>
              <w:rPr>
                <w:sz w:val="18"/>
                <w:szCs w:val="18"/>
              </w:rPr>
              <w:t>A multidisciplinary model of care involving physiotherapists as the initial consultant for musculoskeletal disorders can support higher quality orthopaedic care.</w:t>
            </w:r>
            <w:r>
              <w:rPr>
                <w:sz w:val="18"/>
                <w:szCs w:val="18"/>
                <w:vertAlign w:val="superscript"/>
              </w:rPr>
              <w:t>4,5</w:t>
            </w:r>
          </w:p>
          <w:p w14:paraId="6D266DF4" w14:textId="74615262" w:rsidR="00B31B8C" w:rsidRDefault="00B31B8C" w:rsidP="00B31B8C">
            <w:pPr>
              <w:pStyle w:val="ListParagraph"/>
              <w:numPr>
                <w:ilvl w:val="0"/>
                <w:numId w:val="15"/>
              </w:numPr>
              <w:spacing w:before="120" w:after="120"/>
              <w:rPr>
                <w:sz w:val="18"/>
                <w:szCs w:val="18"/>
              </w:rPr>
            </w:pPr>
            <w:r>
              <w:rPr>
                <w:sz w:val="18"/>
                <w:szCs w:val="18"/>
              </w:rPr>
              <w:t>Concordance of physiotherapists and speciality physicians on diagnostic agreement and surgical triage of common knee disorders is high.</w:t>
            </w:r>
            <w:r>
              <w:rPr>
                <w:sz w:val="18"/>
                <w:szCs w:val="18"/>
                <w:vertAlign w:val="superscript"/>
              </w:rPr>
              <w:t>5</w:t>
            </w:r>
          </w:p>
          <w:p w14:paraId="0099764F" w14:textId="5C8BA201" w:rsidR="00A66A42" w:rsidRPr="00131621" w:rsidRDefault="00B31B8C" w:rsidP="002F16E1">
            <w:pPr>
              <w:pStyle w:val="ListParagraph"/>
              <w:numPr>
                <w:ilvl w:val="0"/>
                <w:numId w:val="15"/>
              </w:numPr>
              <w:spacing w:before="120" w:after="120"/>
              <w:rPr>
                <w:sz w:val="18"/>
                <w:szCs w:val="18"/>
              </w:rPr>
            </w:pPr>
            <w:r>
              <w:rPr>
                <w:sz w:val="18"/>
                <w:szCs w:val="18"/>
              </w:rPr>
              <w:t>A musculoskeletal exam conducted by a physiotherapist without us</w:t>
            </w:r>
            <w:r w:rsidR="002E25E5">
              <w:rPr>
                <w:sz w:val="18"/>
                <w:szCs w:val="18"/>
              </w:rPr>
              <w:t>ing</w:t>
            </w:r>
            <w:r>
              <w:rPr>
                <w:sz w:val="18"/>
                <w:szCs w:val="18"/>
              </w:rPr>
              <w:t xml:space="preserve"> imaging may be adequate in diagnosing or ruling out common knee disorders.</w:t>
            </w:r>
            <w:r>
              <w:rPr>
                <w:sz w:val="18"/>
                <w:szCs w:val="18"/>
                <w:vertAlign w:val="superscript"/>
              </w:rPr>
              <w:t>5</w:t>
            </w:r>
          </w:p>
        </w:tc>
      </w:tr>
    </w:tbl>
    <w:p w14:paraId="667153E1"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6C90F4B1" w14:textId="77777777" w:rsidTr="002F16E1">
        <w:tc>
          <w:tcPr>
            <w:tcW w:w="10421" w:type="dxa"/>
            <w:shd w:val="clear" w:color="auto" w:fill="auto"/>
          </w:tcPr>
          <w:p w14:paraId="5B2D1BD1" w14:textId="0E7F2DB2" w:rsidR="00637684" w:rsidRPr="002F16E1" w:rsidRDefault="00131621" w:rsidP="002F16E1">
            <w:pPr>
              <w:spacing w:before="120" w:after="120"/>
              <w:rPr>
                <w:sz w:val="18"/>
                <w:szCs w:val="18"/>
              </w:rPr>
            </w:pPr>
            <w:r>
              <w:rPr>
                <w:sz w:val="18"/>
                <w:szCs w:val="18"/>
              </w:rPr>
              <w:t>Though more research is needed in civilian populations in the US, evidence suggests PTs and medical doctors agree on diagnosis and treatment choices for musculoskeletal injuries.  If PTs are accessed initially, treatment may be more efficient and avoid unnecessary use of imaging and medications.  Additionally, this could alleviate demand and decrease wait times o</w:t>
            </w:r>
            <w:r w:rsidR="0036765B">
              <w:rPr>
                <w:sz w:val="18"/>
                <w:szCs w:val="18"/>
              </w:rPr>
              <w:t>f</w:t>
            </w:r>
            <w:r>
              <w:rPr>
                <w:sz w:val="18"/>
                <w:szCs w:val="18"/>
              </w:rPr>
              <w:t xml:space="preserve"> orthopedic and primary care physicians, improving the quality of the </w:t>
            </w:r>
            <w:r w:rsidR="0036765B">
              <w:rPr>
                <w:sz w:val="18"/>
                <w:szCs w:val="18"/>
              </w:rPr>
              <w:t>patient care</w:t>
            </w:r>
            <w:r>
              <w:rPr>
                <w:sz w:val="18"/>
                <w:szCs w:val="18"/>
              </w:rPr>
              <w:t>.</w:t>
            </w:r>
          </w:p>
        </w:tc>
      </w:tr>
    </w:tbl>
    <w:p w14:paraId="10082D5B"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0D54C0E1" w14:textId="77777777" w:rsidTr="002F16E1">
        <w:tc>
          <w:tcPr>
            <w:tcW w:w="10421" w:type="dxa"/>
            <w:shd w:val="clear" w:color="auto" w:fill="E6E6E6"/>
          </w:tcPr>
          <w:p w14:paraId="24C0A3B3"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77829B8"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27E5313E"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844"/>
        <w:gridCol w:w="2342"/>
        <w:gridCol w:w="2509"/>
      </w:tblGrid>
      <w:tr w:rsidR="00554FFC" w:rsidRPr="002F16E1" w14:paraId="4DA7C79E" w14:textId="77777777" w:rsidTr="009E380F">
        <w:tc>
          <w:tcPr>
            <w:tcW w:w="10908" w:type="dxa"/>
            <w:gridSpan w:val="4"/>
            <w:shd w:val="clear" w:color="auto" w:fill="E6E6E6"/>
          </w:tcPr>
          <w:p w14:paraId="1E9ED03F"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4CF1660F" w14:textId="77777777" w:rsidTr="009E380F">
        <w:tc>
          <w:tcPr>
            <w:tcW w:w="2628" w:type="dxa"/>
            <w:tcBorders>
              <w:right w:val="single" w:sz="8" w:space="0" w:color="auto"/>
            </w:tcBorders>
            <w:shd w:val="clear" w:color="auto" w:fill="auto"/>
          </w:tcPr>
          <w:p w14:paraId="38A1E439"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35BD20CB"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339FED87"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19682F75"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5364E68F" w14:textId="77777777" w:rsidTr="009E380F">
        <w:tc>
          <w:tcPr>
            <w:tcW w:w="2628" w:type="dxa"/>
            <w:tcBorders>
              <w:right w:val="single" w:sz="8" w:space="0" w:color="auto"/>
            </w:tcBorders>
            <w:shd w:val="clear" w:color="auto" w:fill="auto"/>
          </w:tcPr>
          <w:p w14:paraId="63E51D05" w14:textId="7E8B1D08" w:rsidR="00554FFC" w:rsidRPr="002F16E1" w:rsidRDefault="00105958" w:rsidP="009E380F">
            <w:pPr>
              <w:spacing w:before="120" w:after="120"/>
              <w:rPr>
                <w:rFonts w:ascii="Arial" w:hAnsi="Arial"/>
              </w:rPr>
            </w:pPr>
            <w:r>
              <w:rPr>
                <w:sz w:val="18"/>
                <w:szCs w:val="18"/>
              </w:rPr>
              <w:t>“</w:t>
            </w:r>
            <w:r w:rsidRPr="00BB3130">
              <w:rPr>
                <w:sz w:val="18"/>
                <w:szCs w:val="18"/>
              </w:rPr>
              <w:t>Musculoskeletal”</w:t>
            </w:r>
          </w:p>
        </w:tc>
        <w:tc>
          <w:tcPr>
            <w:tcW w:w="3060" w:type="dxa"/>
            <w:tcBorders>
              <w:left w:val="single" w:sz="8" w:space="0" w:color="auto"/>
            </w:tcBorders>
            <w:shd w:val="clear" w:color="auto" w:fill="auto"/>
          </w:tcPr>
          <w:p w14:paraId="67974545" w14:textId="0BC4A9D9" w:rsidR="00554FFC" w:rsidRPr="002F16E1" w:rsidRDefault="00105958" w:rsidP="009E380F">
            <w:pPr>
              <w:spacing w:before="120" w:after="120"/>
              <w:rPr>
                <w:rFonts w:ascii="Arial" w:hAnsi="Arial"/>
              </w:rPr>
            </w:pPr>
            <w:r w:rsidRPr="00BB3130">
              <w:rPr>
                <w:sz w:val="18"/>
                <w:szCs w:val="18"/>
              </w:rPr>
              <w:t xml:space="preserve">“Physical </w:t>
            </w:r>
            <w:proofErr w:type="spellStart"/>
            <w:r w:rsidRPr="00BB3130">
              <w:rPr>
                <w:sz w:val="18"/>
                <w:szCs w:val="18"/>
              </w:rPr>
              <w:t>Therap</w:t>
            </w:r>
            <w:proofErr w:type="spellEnd"/>
            <w:r w:rsidRPr="00BB3130">
              <w:rPr>
                <w:sz w:val="18"/>
                <w:szCs w:val="18"/>
              </w:rPr>
              <w:t xml:space="preserve">*,” </w:t>
            </w:r>
            <w:r>
              <w:rPr>
                <w:sz w:val="18"/>
                <w:szCs w:val="18"/>
              </w:rPr>
              <w:t>“</w:t>
            </w:r>
            <w:proofErr w:type="spellStart"/>
            <w:r w:rsidRPr="00BB3130">
              <w:rPr>
                <w:sz w:val="18"/>
                <w:szCs w:val="18"/>
              </w:rPr>
              <w:t>Physiotherap</w:t>
            </w:r>
            <w:proofErr w:type="spellEnd"/>
            <w:r w:rsidRPr="00BB3130">
              <w:rPr>
                <w:sz w:val="18"/>
                <w:szCs w:val="18"/>
              </w:rPr>
              <w:t>*</w:t>
            </w:r>
            <w:r>
              <w:rPr>
                <w:sz w:val="18"/>
                <w:szCs w:val="18"/>
              </w:rPr>
              <w:t>”</w:t>
            </w:r>
          </w:p>
        </w:tc>
        <w:tc>
          <w:tcPr>
            <w:tcW w:w="2493" w:type="dxa"/>
            <w:tcBorders>
              <w:left w:val="single" w:sz="8" w:space="0" w:color="auto"/>
            </w:tcBorders>
            <w:shd w:val="clear" w:color="auto" w:fill="auto"/>
          </w:tcPr>
          <w:p w14:paraId="31495CF5" w14:textId="23B5F606" w:rsidR="00554FFC" w:rsidRPr="002F16E1" w:rsidRDefault="00105958" w:rsidP="009E380F">
            <w:pPr>
              <w:spacing w:before="120" w:after="120"/>
              <w:rPr>
                <w:rFonts w:ascii="Arial" w:hAnsi="Arial"/>
              </w:rPr>
            </w:pPr>
            <w:proofErr w:type="gramStart"/>
            <w:r w:rsidRPr="00BB3130">
              <w:rPr>
                <w:sz w:val="18"/>
                <w:szCs w:val="18"/>
              </w:rPr>
              <w:t>”Orthopedic</w:t>
            </w:r>
            <w:proofErr w:type="gramEnd"/>
            <w:r w:rsidRPr="00BB3130">
              <w:rPr>
                <w:sz w:val="18"/>
                <w:szCs w:val="18"/>
              </w:rPr>
              <w:t xml:space="preserve"> Surgeon OR orthopaedic surgeon,” “Orthopedics OR orthopaedics,” “Primary Health Care,” “Physician”</w:t>
            </w:r>
          </w:p>
        </w:tc>
        <w:tc>
          <w:tcPr>
            <w:tcW w:w="2727" w:type="dxa"/>
            <w:tcBorders>
              <w:left w:val="single" w:sz="8" w:space="0" w:color="auto"/>
            </w:tcBorders>
            <w:shd w:val="clear" w:color="auto" w:fill="auto"/>
          </w:tcPr>
          <w:p w14:paraId="667FE444" w14:textId="04C210FD" w:rsidR="00554FFC" w:rsidRPr="002F16E1" w:rsidRDefault="00105958" w:rsidP="009E380F">
            <w:pPr>
              <w:spacing w:before="120" w:after="120"/>
              <w:rPr>
                <w:rFonts w:ascii="Arial" w:hAnsi="Arial"/>
              </w:rPr>
            </w:pPr>
            <w:r w:rsidRPr="00BB3130">
              <w:rPr>
                <w:sz w:val="18"/>
                <w:szCs w:val="18"/>
              </w:rPr>
              <w:t>“</w:t>
            </w:r>
            <w:proofErr w:type="spellStart"/>
            <w:r w:rsidRPr="00BB3130">
              <w:rPr>
                <w:sz w:val="18"/>
                <w:szCs w:val="18"/>
              </w:rPr>
              <w:t>Diagnos</w:t>
            </w:r>
            <w:proofErr w:type="spellEnd"/>
            <w:r w:rsidRPr="00BB3130">
              <w:rPr>
                <w:sz w:val="18"/>
                <w:szCs w:val="18"/>
              </w:rPr>
              <w:t>*,” “Accuracy,” “Reliability,” “Validity”</w:t>
            </w:r>
          </w:p>
        </w:tc>
      </w:tr>
    </w:tbl>
    <w:p w14:paraId="60EDDE54" w14:textId="77777777" w:rsidR="00554FFC" w:rsidRDefault="00554FFC" w:rsidP="00554FFC"/>
    <w:p w14:paraId="20772950"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1678B204"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02D97E33" w14:textId="7DF7211D" w:rsidR="00BB3130" w:rsidRDefault="00105958" w:rsidP="00554FFC">
      <w:pPr>
        <w:spacing w:before="120" w:after="120"/>
        <w:rPr>
          <w:sz w:val="18"/>
          <w:szCs w:val="18"/>
        </w:rPr>
      </w:pPr>
      <w:r w:rsidRPr="00105958">
        <w:rPr>
          <w:sz w:val="18"/>
          <w:szCs w:val="18"/>
        </w:rPr>
        <w:t xml:space="preserve">Initially I searched the follow terms [(“Musculoskeletal”) AND (“Physical </w:t>
      </w:r>
      <w:proofErr w:type="spellStart"/>
      <w:r w:rsidRPr="00105958">
        <w:rPr>
          <w:sz w:val="18"/>
          <w:szCs w:val="18"/>
        </w:rPr>
        <w:t>Therap</w:t>
      </w:r>
      <w:proofErr w:type="spellEnd"/>
      <w:r w:rsidRPr="00105958">
        <w:rPr>
          <w:sz w:val="18"/>
          <w:szCs w:val="18"/>
        </w:rPr>
        <w:t>*” OR “</w:t>
      </w:r>
      <w:proofErr w:type="spellStart"/>
      <w:r w:rsidRPr="00105958">
        <w:rPr>
          <w:sz w:val="18"/>
          <w:szCs w:val="18"/>
        </w:rPr>
        <w:t>Physiotherap</w:t>
      </w:r>
      <w:proofErr w:type="spellEnd"/>
      <w:r w:rsidRPr="00105958">
        <w:rPr>
          <w:sz w:val="18"/>
          <w:szCs w:val="18"/>
        </w:rPr>
        <w:t>*”) AND (“Orthopedic Surgeon” OR “orthopaedic surgeon” OR “Orthopedics OR orthopaedics” OR “Primary Health Care” OR “Physician”) AND (“</w:t>
      </w:r>
      <w:proofErr w:type="spellStart"/>
      <w:r w:rsidRPr="00105958">
        <w:rPr>
          <w:sz w:val="18"/>
          <w:szCs w:val="18"/>
        </w:rPr>
        <w:t>Diagnos</w:t>
      </w:r>
      <w:proofErr w:type="spellEnd"/>
      <w:r w:rsidRPr="00105958">
        <w:rPr>
          <w:sz w:val="18"/>
          <w:szCs w:val="18"/>
        </w:rPr>
        <w:t>*” OR “Accuracy” OR “Reliability” OR “Validity.”] This method did not find relevant articles thus I needed to switch my search strategy.  Instead of searching terms, I used articles I had already identified as relevant to my PICO.</w:t>
      </w:r>
      <w:r w:rsidR="00AA2030">
        <w:rPr>
          <w:sz w:val="18"/>
          <w:szCs w:val="18"/>
        </w:rPr>
        <w:t xml:space="preserve">  </w:t>
      </w:r>
      <w:r w:rsidR="00AA2030" w:rsidRPr="007B7DF1">
        <w:rPr>
          <w:sz w:val="18"/>
          <w:szCs w:val="18"/>
        </w:rPr>
        <w:t xml:space="preserve">I used the “related articles” function to browse similar </w:t>
      </w:r>
      <w:r w:rsidR="00AA2030" w:rsidRPr="007B7DF1">
        <w:rPr>
          <w:color w:val="000000" w:themeColor="text1"/>
          <w:sz w:val="18"/>
          <w:szCs w:val="18"/>
        </w:rPr>
        <w:t>articles</w:t>
      </w:r>
      <w:r w:rsidR="00C84D16" w:rsidRPr="007B7DF1">
        <w:rPr>
          <w:color w:val="000000" w:themeColor="text1"/>
          <w:sz w:val="18"/>
          <w:szCs w:val="18"/>
        </w:rPr>
        <w:t xml:space="preserve"> </w:t>
      </w:r>
      <w:r w:rsidR="007B7DF1" w:rsidRPr="007B7DF1">
        <w:rPr>
          <w:color w:val="000000" w:themeColor="text1"/>
          <w:sz w:val="18"/>
          <w:szCs w:val="18"/>
        </w:rPr>
        <w:t xml:space="preserve">to </w:t>
      </w:r>
      <w:r w:rsidR="00AA2030" w:rsidRPr="007B7DF1">
        <w:rPr>
          <w:i/>
          <w:iCs/>
          <w:sz w:val="18"/>
          <w:szCs w:val="18"/>
        </w:rPr>
        <w:t>Diagnostic and treatment concordance between a physiotherapist and an orthopedic surgeon—a pilot study by Aiken and McColl</w:t>
      </w:r>
      <w:r w:rsidR="00AA2030" w:rsidRPr="007B7DF1">
        <w:rPr>
          <w:sz w:val="18"/>
          <w:szCs w:val="18"/>
        </w:rPr>
        <w:t xml:space="preserve"> on Pubmed.</w:t>
      </w:r>
      <w:r w:rsidR="0036765B" w:rsidRPr="007B7DF1">
        <w:rPr>
          <w:sz w:val="18"/>
          <w:szCs w:val="18"/>
          <w:vertAlign w:val="superscript"/>
        </w:rPr>
        <w:t>8</w:t>
      </w:r>
      <w:r w:rsidR="00AA2030" w:rsidRPr="007B7DF1">
        <w:rPr>
          <w:sz w:val="18"/>
          <w:szCs w:val="18"/>
        </w:rPr>
        <w:t xml:space="preserve">  On Web of Science</w:t>
      </w:r>
      <w:r w:rsidR="00AA2030">
        <w:rPr>
          <w:sz w:val="18"/>
          <w:szCs w:val="18"/>
        </w:rPr>
        <w:t xml:space="preserve">, I found articles that cited </w:t>
      </w:r>
      <w:r w:rsidR="00AA2030" w:rsidRPr="00AA2030">
        <w:rPr>
          <w:rFonts w:cs="Arial"/>
          <w:i/>
          <w:iCs/>
          <w:color w:val="000000"/>
          <w:sz w:val="18"/>
          <w:szCs w:val="18"/>
          <w:shd w:val="clear" w:color="auto" w:fill="FFFFFF"/>
          <w:lang w:val="en-US"/>
        </w:rPr>
        <w:t xml:space="preserve">Clinical diagnostic accuracy and magnetic resonance imaging of patients referred by physical therapists, </w:t>
      </w:r>
      <w:proofErr w:type="spellStart"/>
      <w:r w:rsidR="00AA2030" w:rsidRPr="00AA2030">
        <w:rPr>
          <w:rFonts w:cs="Arial"/>
          <w:i/>
          <w:iCs/>
          <w:color w:val="000000"/>
          <w:sz w:val="18"/>
          <w:szCs w:val="18"/>
          <w:shd w:val="clear" w:color="auto" w:fill="FFFFFF"/>
          <w:lang w:val="en-US"/>
        </w:rPr>
        <w:t>orthopaedic</w:t>
      </w:r>
      <w:proofErr w:type="spellEnd"/>
      <w:r w:rsidR="00AA2030" w:rsidRPr="00AA2030">
        <w:rPr>
          <w:rFonts w:cs="Arial"/>
          <w:i/>
          <w:iCs/>
          <w:color w:val="000000"/>
          <w:sz w:val="18"/>
          <w:szCs w:val="18"/>
          <w:shd w:val="clear" w:color="auto" w:fill="FFFFFF"/>
          <w:lang w:val="en-US"/>
        </w:rPr>
        <w:t xml:space="preserve"> surgeons, and </w:t>
      </w:r>
      <w:proofErr w:type="spellStart"/>
      <w:r w:rsidR="00AA2030" w:rsidRPr="00AA2030">
        <w:rPr>
          <w:rFonts w:cs="Arial"/>
          <w:i/>
          <w:iCs/>
          <w:color w:val="000000"/>
          <w:sz w:val="18"/>
          <w:szCs w:val="18"/>
          <w:shd w:val="clear" w:color="auto" w:fill="FFFFFF"/>
          <w:lang w:val="en-US"/>
        </w:rPr>
        <w:t>nonorthopaedic</w:t>
      </w:r>
      <w:proofErr w:type="spellEnd"/>
      <w:r w:rsidR="00AA2030" w:rsidRPr="00AA2030">
        <w:rPr>
          <w:rFonts w:cs="Arial"/>
          <w:i/>
          <w:iCs/>
          <w:color w:val="000000"/>
          <w:sz w:val="18"/>
          <w:szCs w:val="18"/>
          <w:shd w:val="clear" w:color="auto" w:fill="FFFFFF"/>
          <w:lang w:val="en-US"/>
        </w:rPr>
        <w:t xml:space="preserve"> providers by Moore et al</w:t>
      </w:r>
      <w:r w:rsidR="0036765B">
        <w:rPr>
          <w:rFonts w:cs="Arial"/>
          <w:i/>
          <w:iCs/>
          <w:color w:val="000000"/>
          <w:sz w:val="18"/>
          <w:szCs w:val="18"/>
          <w:shd w:val="clear" w:color="auto" w:fill="FFFFFF"/>
          <w:lang w:val="en-US"/>
        </w:rPr>
        <w:t>.</w:t>
      </w:r>
      <w:r w:rsidR="0036765B">
        <w:rPr>
          <w:rFonts w:cs="Arial"/>
          <w:i/>
          <w:iCs/>
          <w:color w:val="000000"/>
          <w:sz w:val="18"/>
          <w:szCs w:val="18"/>
          <w:shd w:val="clear" w:color="auto" w:fill="FFFFFF"/>
          <w:vertAlign w:val="superscript"/>
          <w:lang w:val="en-US"/>
        </w:rPr>
        <w:t>1</w:t>
      </w:r>
      <w:r w:rsidR="00AA2030">
        <w:rPr>
          <w:rFonts w:cs="Arial"/>
          <w:color w:val="000000"/>
          <w:sz w:val="18"/>
          <w:szCs w:val="18"/>
          <w:shd w:val="clear" w:color="auto" w:fill="FFFFFF"/>
          <w:lang w:val="en-US"/>
        </w:rPr>
        <w:t xml:space="preserve"> I repeated this method on Google Scholar.  By reading the abstracts, I quickly narrowed down to 9 relevant articles that compared medical doctors and PT’s diagnosis and/or treatment of musculoskeletal injuries.</w:t>
      </w:r>
    </w:p>
    <w:p w14:paraId="5E670E35"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487ACDB7" w14:textId="77777777" w:rsidTr="009E380F">
        <w:tc>
          <w:tcPr>
            <w:tcW w:w="5058" w:type="dxa"/>
            <w:shd w:val="clear" w:color="auto" w:fill="E6E6E6"/>
          </w:tcPr>
          <w:p w14:paraId="3298FD6B"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323EB682"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2AEC5B64"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1A6AE794" w14:textId="77777777" w:rsidTr="009E380F">
        <w:tc>
          <w:tcPr>
            <w:tcW w:w="5058" w:type="dxa"/>
            <w:shd w:val="clear" w:color="auto" w:fill="auto"/>
          </w:tcPr>
          <w:p w14:paraId="67C5D256" w14:textId="77777777" w:rsidR="00BB3130" w:rsidRPr="0082281A" w:rsidRDefault="00BB3130" w:rsidP="00BB3130">
            <w:pPr>
              <w:spacing w:before="120" w:after="120"/>
              <w:rPr>
                <w:b/>
                <w:sz w:val="18"/>
                <w:szCs w:val="18"/>
              </w:rPr>
            </w:pPr>
            <w:r w:rsidRPr="0082281A">
              <w:rPr>
                <w:b/>
                <w:sz w:val="18"/>
                <w:szCs w:val="18"/>
              </w:rPr>
              <w:t>PubMed</w:t>
            </w:r>
          </w:p>
          <w:p w14:paraId="2B231F49" w14:textId="77777777" w:rsidR="00BB3130" w:rsidRPr="0082281A" w:rsidRDefault="00BB3130" w:rsidP="00BB3130">
            <w:pPr>
              <w:spacing w:before="120" w:after="120"/>
              <w:rPr>
                <w:b/>
                <w:sz w:val="18"/>
                <w:szCs w:val="18"/>
              </w:rPr>
            </w:pPr>
          </w:p>
          <w:p w14:paraId="7D73F886" w14:textId="77777777" w:rsidR="00BB3130" w:rsidRPr="0082281A" w:rsidRDefault="00BB3130" w:rsidP="00BB3130">
            <w:pPr>
              <w:spacing w:before="120" w:after="120"/>
              <w:rPr>
                <w:b/>
                <w:sz w:val="18"/>
                <w:szCs w:val="18"/>
              </w:rPr>
            </w:pPr>
            <w:r w:rsidRPr="0082281A">
              <w:rPr>
                <w:b/>
                <w:sz w:val="18"/>
                <w:szCs w:val="18"/>
              </w:rPr>
              <w:t>Web of Science</w:t>
            </w:r>
          </w:p>
          <w:p w14:paraId="6512380B" w14:textId="77777777" w:rsidR="00BB3130" w:rsidRPr="0082281A" w:rsidRDefault="00BB3130" w:rsidP="00BB3130">
            <w:pPr>
              <w:spacing w:before="120" w:after="120"/>
              <w:rPr>
                <w:b/>
                <w:sz w:val="18"/>
                <w:szCs w:val="18"/>
              </w:rPr>
            </w:pPr>
          </w:p>
          <w:p w14:paraId="6E5F2234" w14:textId="31D64607" w:rsidR="00554FFC" w:rsidRPr="002F16E1" w:rsidRDefault="00BB3130" w:rsidP="009E380F">
            <w:pPr>
              <w:spacing w:before="120" w:after="120"/>
              <w:rPr>
                <w:b/>
                <w:sz w:val="18"/>
                <w:szCs w:val="18"/>
              </w:rPr>
            </w:pPr>
            <w:r w:rsidRPr="0082281A">
              <w:rPr>
                <w:b/>
                <w:sz w:val="18"/>
                <w:szCs w:val="18"/>
              </w:rPr>
              <w:t>Google Scholar</w:t>
            </w:r>
          </w:p>
        </w:tc>
        <w:tc>
          <w:tcPr>
            <w:tcW w:w="1889" w:type="dxa"/>
            <w:shd w:val="clear" w:color="auto" w:fill="auto"/>
          </w:tcPr>
          <w:p w14:paraId="1AC871DE" w14:textId="7795239C" w:rsidR="00BB3130" w:rsidRPr="0082281A" w:rsidRDefault="00BB3130" w:rsidP="00BB3130">
            <w:pPr>
              <w:spacing w:before="120" w:after="120"/>
              <w:rPr>
                <w:b/>
                <w:sz w:val="18"/>
                <w:szCs w:val="18"/>
              </w:rPr>
            </w:pPr>
            <w:r w:rsidRPr="0082281A">
              <w:rPr>
                <w:b/>
                <w:sz w:val="18"/>
                <w:szCs w:val="18"/>
              </w:rPr>
              <w:t xml:space="preserve">8 </w:t>
            </w:r>
          </w:p>
          <w:p w14:paraId="16C50786" w14:textId="77777777" w:rsidR="00BB3130" w:rsidRPr="0082281A" w:rsidRDefault="00BB3130" w:rsidP="00BB3130">
            <w:pPr>
              <w:spacing w:before="120" w:after="120"/>
              <w:rPr>
                <w:b/>
                <w:sz w:val="18"/>
                <w:szCs w:val="18"/>
              </w:rPr>
            </w:pPr>
          </w:p>
          <w:p w14:paraId="1FBE6A29" w14:textId="2F841075" w:rsidR="00BB3130" w:rsidRPr="0082281A" w:rsidRDefault="00BB3130" w:rsidP="00BB3130">
            <w:pPr>
              <w:spacing w:before="120" w:after="120"/>
              <w:rPr>
                <w:b/>
                <w:sz w:val="18"/>
                <w:szCs w:val="18"/>
              </w:rPr>
            </w:pPr>
            <w:r w:rsidRPr="0082281A">
              <w:rPr>
                <w:b/>
                <w:sz w:val="18"/>
                <w:szCs w:val="18"/>
              </w:rPr>
              <w:t xml:space="preserve">67 </w:t>
            </w:r>
          </w:p>
          <w:p w14:paraId="66FB6F7F" w14:textId="77777777" w:rsidR="00BB3130" w:rsidRPr="0082281A" w:rsidRDefault="00BB3130" w:rsidP="00BB3130">
            <w:pPr>
              <w:spacing w:before="120" w:after="120"/>
              <w:rPr>
                <w:b/>
                <w:sz w:val="18"/>
                <w:szCs w:val="18"/>
              </w:rPr>
            </w:pPr>
          </w:p>
          <w:p w14:paraId="52B00D1D" w14:textId="3510B893" w:rsidR="00554FFC" w:rsidRPr="002F16E1" w:rsidRDefault="00BB3130" w:rsidP="00BB3130">
            <w:pPr>
              <w:spacing w:before="120" w:after="120"/>
              <w:rPr>
                <w:b/>
                <w:sz w:val="18"/>
                <w:szCs w:val="18"/>
              </w:rPr>
            </w:pPr>
            <w:r w:rsidRPr="0082281A">
              <w:rPr>
                <w:b/>
                <w:sz w:val="18"/>
                <w:szCs w:val="18"/>
              </w:rPr>
              <w:t xml:space="preserve">12 </w:t>
            </w:r>
          </w:p>
        </w:tc>
        <w:tc>
          <w:tcPr>
            <w:tcW w:w="3961" w:type="dxa"/>
            <w:shd w:val="clear" w:color="auto" w:fill="auto"/>
          </w:tcPr>
          <w:p w14:paraId="46F404DA" w14:textId="77777777" w:rsidR="00554FFC" w:rsidRPr="002F16E1" w:rsidRDefault="00554FFC" w:rsidP="009E380F">
            <w:pPr>
              <w:spacing w:before="120" w:after="120"/>
              <w:rPr>
                <w:b/>
                <w:sz w:val="18"/>
                <w:szCs w:val="18"/>
              </w:rPr>
            </w:pPr>
          </w:p>
        </w:tc>
      </w:tr>
    </w:tbl>
    <w:p w14:paraId="7F0E1F68"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5BD7CB7F"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00A6A494"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755"/>
        <w:gridCol w:w="1733"/>
        <w:gridCol w:w="1614"/>
        <w:gridCol w:w="2495"/>
      </w:tblGrid>
      <w:tr w:rsidR="00AA2030" w:rsidRPr="002F16E1" w14:paraId="46EBFF3C" w14:textId="77777777" w:rsidTr="00AA2030">
        <w:tc>
          <w:tcPr>
            <w:tcW w:w="2686" w:type="dxa"/>
            <w:tcBorders>
              <w:right w:val="single" w:sz="8" w:space="0" w:color="auto"/>
            </w:tcBorders>
            <w:shd w:val="clear" w:color="auto" w:fill="E6E6E6"/>
          </w:tcPr>
          <w:p w14:paraId="1404624A" w14:textId="22D48118" w:rsidR="00AA2030" w:rsidRPr="002F16E1" w:rsidRDefault="00AA2030" w:rsidP="00AA2030">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073B5DEB" w14:textId="56839327" w:rsidR="00AA2030" w:rsidRPr="002F16E1" w:rsidRDefault="00AA2030" w:rsidP="00AA2030">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755" w:type="dxa"/>
            <w:shd w:val="clear" w:color="auto" w:fill="E6E6E6"/>
          </w:tcPr>
          <w:p w14:paraId="0B8EC5B9" w14:textId="78802C36" w:rsidR="00AA2030" w:rsidRPr="002F16E1" w:rsidRDefault="00AA2030" w:rsidP="00AA2030">
            <w:pPr>
              <w:spacing w:before="120" w:after="120"/>
              <w:jc w:val="center"/>
              <w:rPr>
                <w:b/>
                <w:sz w:val="18"/>
                <w:szCs w:val="18"/>
              </w:rPr>
            </w:pPr>
            <w:r>
              <w:rPr>
                <w:b/>
                <w:sz w:val="18"/>
                <w:szCs w:val="18"/>
              </w:rPr>
              <w:t>Level of Evidence**</w:t>
            </w:r>
          </w:p>
        </w:tc>
        <w:tc>
          <w:tcPr>
            <w:tcW w:w="1636" w:type="dxa"/>
            <w:shd w:val="clear" w:color="auto" w:fill="E6E6E6"/>
          </w:tcPr>
          <w:p w14:paraId="7F43EEA8" w14:textId="21253614" w:rsidR="00AA2030" w:rsidRPr="002F16E1" w:rsidRDefault="00AA2030" w:rsidP="00AA2030">
            <w:pPr>
              <w:spacing w:before="120" w:after="120"/>
              <w:jc w:val="center"/>
              <w:rPr>
                <w:b/>
                <w:sz w:val="18"/>
                <w:szCs w:val="18"/>
              </w:rPr>
            </w:pPr>
            <w:r>
              <w:rPr>
                <w:b/>
                <w:sz w:val="18"/>
                <w:szCs w:val="18"/>
              </w:rPr>
              <w:t>Relevance</w:t>
            </w:r>
          </w:p>
        </w:tc>
        <w:tc>
          <w:tcPr>
            <w:tcW w:w="2548" w:type="dxa"/>
            <w:shd w:val="clear" w:color="auto" w:fill="E6E6E6"/>
          </w:tcPr>
          <w:p w14:paraId="6C279E2C" w14:textId="1212C483" w:rsidR="00AA2030" w:rsidRPr="002F16E1" w:rsidRDefault="00AA2030" w:rsidP="00AA2030">
            <w:pPr>
              <w:spacing w:before="120" w:after="120"/>
              <w:jc w:val="center"/>
              <w:rPr>
                <w:b/>
                <w:sz w:val="18"/>
                <w:szCs w:val="18"/>
              </w:rPr>
            </w:pPr>
            <w:r>
              <w:rPr>
                <w:b/>
                <w:sz w:val="18"/>
                <w:szCs w:val="18"/>
              </w:rPr>
              <w:t>Study design</w:t>
            </w:r>
          </w:p>
        </w:tc>
      </w:tr>
      <w:tr w:rsidR="00AA2030" w:rsidRPr="002F16E1" w14:paraId="29E45FBF" w14:textId="77777777" w:rsidTr="00AA2030">
        <w:tc>
          <w:tcPr>
            <w:tcW w:w="2686" w:type="dxa"/>
            <w:tcBorders>
              <w:right w:val="single" w:sz="8" w:space="0" w:color="auto"/>
            </w:tcBorders>
            <w:shd w:val="clear" w:color="auto" w:fill="auto"/>
          </w:tcPr>
          <w:p w14:paraId="66AB875F" w14:textId="1D0C860C" w:rsidR="00AA2030" w:rsidRPr="00B31B8C" w:rsidRDefault="00AA2030" w:rsidP="00AA2030">
            <w:pPr>
              <w:spacing w:before="120" w:after="120"/>
              <w:rPr>
                <w:bCs/>
                <w:sz w:val="18"/>
                <w:szCs w:val="18"/>
                <w:vertAlign w:val="superscript"/>
              </w:rPr>
            </w:pPr>
            <w:proofErr w:type="spellStart"/>
            <w:r w:rsidRPr="005D32AE">
              <w:rPr>
                <w:b/>
                <w:sz w:val="18"/>
                <w:szCs w:val="18"/>
              </w:rPr>
              <w:t>Matif</w:t>
            </w:r>
            <w:proofErr w:type="spellEnd"/>
            <w:r w:rsidRPr="005D32AE">
              <w:rPr>
                <w:b/>
                <w:sz w:val="18"/>
                <w:szCs w:val="18"/>
              </w:rPr>
              <w:t xml:space="preserve"> (2019)</w:t>
            </w:r>
            <w:r w:rsidR="00B31B8C">
              <w:rPr>
                <w:bCs/>
                <w:sz w:val="18"/>
                <w:szCs w:val="18"/>
                <w:vertAlign w:val="superscript"/>
              </w:rPr>
              <w:t>6</w:t>
            </w:r>
          </w:p>
        </w:tc>
        <w:tc>
          <w:tcPr>
            <w:tcW w:w="1796" w:type="dxa"/>
            <w:tcBorders>
              <w:left w:val="single" w:sz="8" w:space="0" w:color="auto"/>
            </w:tcBorders>
            <w:shd w:val="clear" w:color="auto" w:fill="auto"/>
          </w:tcPr>
          <w:p w14:paraId="5D753AE6" w14:textId="4381F381" w:rsidR="00AA2030" w:rsidRPr="002F16E1" w:rsidRDefault="00AA2030" w:rsidP="00AA2030">
            <w:pPr>
              <w:spacing w:before="120" w:after="120"/>
              <w:rPr>
                <w:b/>
                <w:sz w:val="18"/>
                <w:szCs w:val="18"/>
              </w:rPr>
            </w:pPr>
            <w:r w:rsidRPr="005D32AE">
              <w:rPr>
                <w:b/>
                <w:sz w:val="18"/>
                <w:szCs w:val="18"/>
              </w:rPr>
              <w:t>10/13 COSMIN Bo</w:t>
            </w:r>
            <w:r w:rsidR="009C4C4E">
              <w:rPr>
                <w:b/>
                <w:sz w:val="18"/>
                <w:szCs w:val="18"/>
              </w:rPr>
              <w:t>x</w:t>
            </w:r>
            <w:r w:rsidRPr="005D32AE">
              <w:rPr>
                <w:b/>
                <w:sz w:val="18"/>
                <w:szCs w:val="18"/>
              </w:rPr>
              <w:t xml:space="preserve"> B</w:t>
            </w:r>
          </w:p>
        </w:tc>
        <w:tc>
          <w:tcPr>
            <w:tcW w:w="1755" w:type="dxa"/>
            <w:shd w:val="clear" w:color="auto" w:fill="auto"/>
          </w:tcPr>
          <w:p w14:paraId="75617F44" w14:textId="202B2B80" w:rsidR="00AA2030" w:rsidRPr="002F16E1" w:rsidRDefault="00AA2030" w:rsidP="00AA2030">
            <w:pPr>
              <w:spacing w:before="120" w:after="120"/>
              <w:rPr>
                <w:b/>
                <w:sz w:val="18"/>
                <w:szCs w:val="18"/>
              </w:rPr>
            </w:pPr>
            <w:r w:rsidRPr="005D32AE">
              <w:rPr>
                <w:b/>
                <w:sz w:val="18"/>
                <w:szCs w:val="18"/>
              </w:rPr>
              <w:t>1</w:t>
            </w:r>
          </w:p>
        </w:tc>
        <w:tc>
          <w:tcPr>
            <w:tcW w:w="1636" w:type="dxa"/>
            <w:shd w:val="clear" w:color="auto" w:fill="auto"/>
          </w:tcPr>
          <w:p w14:paraId="385C3B41" w14:textId="33309E93" w:rsidR="00AA2030" w:rsidRPr="002F16E1" w:rsidRDefault="00AA2030" w:rsidP="00AA2030">
            <w:pPr>
              <w:spacing w:before="120" w:after="120"/>
              <w:rPr>
                <w:b/>
                <w:sz w:val="18"/>
                <w:szCs w:val="18"/>
              </w:rPr>
            </w:pPr>
            <w:r w:rsidRPr="005D32AE">
              <w:rPr>
                <w:b/>
                <w:sz w:val="18"/>
                <w:szCs w:val="18"/>
              </w:rPr>
              <w:t xml:space="preserve">Moderate </w:t>
            </w:r>
          </w:p>
        </w:tc>
        <w:tc>
          <w:tcPr>
            <w:tcW w:w="2548" w:type="dxa"/>
            <w:shd w:val="clear" w:color="auto" w:fill="auto"/>
          </w:tcPr>
          <w:p w14:paraId="455A07A7" w14:textId="6B403568" w:rsidR="00AA2030" w:rsidRPr="002F16E1" w:rsidRDefault="00AA2030" w:rsidP="00AA2030">
            <w:pPr>
              <w:spacing w:before="120" w:after="120"/>
              <w:rPr>
                <w:b/>
                <w:sz w:val="18"/>
                <w:szCs w:val="18"/>
              </w:rPr>
            </w:pPr>
            <w:r w:rsidRPr="005D32AE">
              <w:rPr>
                <w:b/>
                <w:sz w:val="18"/>
                <w:szCs w:val="18"/>
              </w:rPr>
              <w:t>Reliability study</w:t>
            </w:r>
          </w:p>
        </w:tc>
      </w:tr>
      <w:tr w:rsidR="00AA2030" w:rsidRPr="002F16E1" w14:paraId="3F91B995" w14:textId="77777777" w:rsidTr="00AA2030">
        <w:tc>
          <w:tcPr>
            <w:tcW w:w="2686" w:type="dxa"/>
            <w:tcBorders>
              <w:right w:val="single" w:sz="8" w:space="0" w:color="auto"/>
            </w:tcBorders>
            <w:shd w:val="clear" w:color="auto" w:fill="auto"/>
          </w:tcPr>
          <w:p w14:paraId="3939E034" w14:textId="21B75242" w:rsidR="00AA2030" w:rsidRPr="00B31B8C" w:rsidRDefault="00AA2030" w:rsidP="00AA2030">
            <w:pPr>
              <w:spacing w:before="120" w:after="120"/>
              <w:rPr>
                <w:bCs/>
                <w:sz w:val="18"/>
                <w:szCs w:val="18"/>
                <w:vertAlign w:val="superscript"/>
              </w:rPr>
            </w:pPr>
            <w:r w:rsidRPr="005D32AE">
              <w:rPr>
                <w:b/>
                <w:sz w:val="18"/>
                <w:szCs w:val="18"/>
              </w:rPr>
              <w:t>Moore (2005)</w:t>
            </w:r>
            <w:r w:rsidR="00B31B8C">
              <w:rPr>
                <w:bCs/>
                <w:sz w:val="18"/>
                <w:szCs w:val="18"/>
                <w:vertAlign w:val="superscript"/>
              </w:rPr>
              <w:t>1</w:t>
            </w:r>
          </w:p>
        </w:tc>
        <w:tc>
          <w:tcPr>
            <w:tcW w:w="1796" w:type="dxa"/>
            <w:tcBorders>
              <w:left w:val="single" w:sz="8" w:space="0" w:color="auto"/>
            </w:tcBorders>
            <w:shd w:val="clear" w:color="auto" w:fill="auto"/>
          </w:tcPr>
          <w:p w14:paraId="7C5AFF1B" w14:textId="57B0D093" w:rsidR="00AA2030" w:rsidRPr="002F16E1" w:rsidRDefault="00AA2030" w:rsidP="00AA2030">
            <w:pPr>
              <w:spacing w:before="120" w:after="120"/>
              <w:rPr>
                <w:b/>
                <w:sz w:val="18"/>
                <w:szCs w:val="18"/>
              </w:rPr>
            </w:pPr>
            <w:r w:rsidRPr="005D32AE">
              <w:rPr>
                <w:b/>
                <w:sz w:val="18"/>
                <w:szCs w:val="18"/>
              </w:rPr>
              <w:t>14/14 QUADAS</w:t>
            </w:r>
          </w:p>
        </w:tc>
        <w:tc>
          <w:tcPr>
            <w:tcW w:w="1755" w:type="dxa"/>
            <w:shd w:val="clear" w:color="auto" w:fill="auto"/>
          </w:tcPr>
          <w:p w14:paraId="49F9B54E" w14:textId="353E7F8E" w:rsidR="00AA2030" w:rsidRPr="002F16E1" w:rsidRDefault="00AA2030" w:rsidP="00AA2030">
            <w:pPr>
              <w:spacing w:before="120" w:after="120"/>
              <w:rPr>
                <w:b/>
                <w:sz w:val="18"/>
                <w:szCs w:val="18"/>
              </w:rPr>
            </w:pPr>
            <w:r w:rsidRPr="005D32AE">
              <w:rPr>
                <w:b/>
                <w:sz w:val="18"/>
                <w:szCs w:val="18"/>
              </w:rPr>
              <w:t>2</w:t>
            </w:r>
          </w:p>
        </w:tc>
        <w:tc>
          <w:tcPr>
            <w:tcW w:w="1636" w:type="dxa"/>
            <w:shd w:val="clear" w:color="auto" w:fill="auto"/>
          </w:tcPr>
          <w:p w14:paraId="0BAD4CFA" w14:textId="39B0307F" w:rsidR="00AA2030" w:rsidRPr="002F16E1" w:rsidRDefault="00AA2030" w:rsidP="00AA2030">
            <w:pPr>
              <w:spacing w:before="120" w:after="120"/>
              <w:rPr>
                <w:b/>
                <w:sz w:val="18"/>
                <w:szCs w:val="18"/>
              </w:rPr>
            </w:pPr>
            <w:r w:rsidRPr="005D32AE">
              <w:rPr>
                <w:b/>
                <w:sz w:val="18"/>
                <w:szCs w:val="18"/>
              </w:rPr>
              <w:t>Moderate High</w:t>
            </w:r>
          </w:p>
        </w:tc>
        <w:tc>
          <w:tcPr>
            <w:tcW w:w="2548" w:type="dxa"/>
            <w:shd w:val="clear" w:color="auto" w:fill="auto"/>
          </w:tcPr>
          <w:p w14:paraId="126ECBEB" w14:textId="37413DAC" w:rsidR="00AA2030" w:rsidRPr="002F16E1" w:rsidRDefault="00AA2030" w:rsidP="00AA2030">
            <w:pPr>
              <w:spacing w:before="120" w:after="120"/>
              <w:rPr>
                <w:b/>
                <w:sz w:val="18"/>
                <w:szCs w:val="18"/>
              </w:rPr>
            </w:pPr>
            <w:r w:rsidRPr="005D32AE">
              <w:rPr>
                <w:b/>
                <w:sz w:val="18"/>
                <w:szCs w:val="18"/>
              </w:rPr>
              <w:t>Retrospective Cohort</w:t>
            </w:r>
          </w:p>
        </w:tc>
      </w:tr>
      <w:tr w:rsidR="00AA2030" w:rsidRPr="002F16E1" w14:paraId="5BCF8EDF" w14:textId="77777777" w:rsidTr="00AA2030">
        <w:tc>
          <w:tcPr>
            <w:tcW w:w="2686" w:type="dxa"/>
            <w:tcBorders>
              <w:right w:val="single" w:sz="8" w:space="0" w:color="auto"/>
            </w:tcBorders>
            <w:shd w:val="clear" w:color="auto" w:fill="auto"/>
          </w:tcPr>
          <w:p w14:paraId="54896058" w14:textId="06171480" w:rsidR="00AA2030" w:rsidRPr="00B31B8C" w:rsidRDefault="00AA2030" w:rsidP="00AA2030">
            <w:pPr>
              <w:spacing w:before="120" w:after="120"/>
              <w:rPr>
                <w:bCs/>
                <w:sz w:val="18"/>
                <w:szCs w:val="18"/>
                <w:vertAlign w:val="superscript"/>
              </w:rPr>
            </w:pPr>
            <w:r w:rsidRPr="00D43F8C">
              <w:rPr>
                <w:b/>
                <w:i/>
                <w:iCs/>
                <w:sz w:val="18"/>
                <w:szCs w:val="18"/>
              </w:rPr>
              <w:t>McGill (2013</w:t>
            </w:r>
            <w:r w:rsidR="00B31B8C">
              <w:rPr>
                <w:b/>
                <w:i/>
                <w:iCs/>
                <w:sz w:val="18"/>
                <w:szCs w:val="18"/>
              </w:rPr>
              <w:t>)</w:t>
            </w:r>
            <w:r w:rsidR="00B31B8C">
              <w:rPr>
                <w:bCs/>
                <w:sz w:val="18"/>
                <w:szCs w:val="18"/>
                <w:vertAlign w:val="superscript"/>
              </w:rPr>
              <w:t>2</w:t>
            </w:r>
          </w:p>
        </w:tc>
        <w:tc>
          <w:tcPr>
            <w:tcW w:w="1796" w:type="dxa"/>
            <w:tcBorders>
              <w:left w:val="single" w:sz="8" w:space="0" w:color="auto"/>
            </w:tcBorders>
            <w:shd w:val="clear" w:color="auto" w:fill="auto"/>
          </w:tcPr>
          <w:p w14:paraId="3541FA4B" w14:textId="698BD41A" w:rsidR="00AA2030" w:rsidRPr="00D43F8C" w:rsidRDefault="00D43F8C" w:rsidP="00AA2030">
            <w:pPr>
              <w:spacing w:before="120" w:after="120"/>
              <w:rPr>
                <w:b/>
                <w:i/>
                <w:iCs/>
                <w:sz w:val="18"/>
                <w:szCs w:val="18"/>
              </w:rPr>
            </w:pPr>
            <w:r w:rsidRPr="00D43F8C">
              <w:rPr>
                <w:b/>
                <w:i/>
                <w:iCs/>
                <w:sz w:val="18"/>
                <w:szCs w:val="18"/>
              </w:rPr>
              <w:t>10/28 Downs &amp; B</w:t>
            </w:r>
            <w:r w:rsidR="007B7DF1">
              <w:rPr>
                <w:b/>
                <w:i/>
                <w:iCs/>
                <w:sz w:val="18"/>
                <w:szCs w:val="18"/>
              </w:rPr>
              <w:t>l</w:t>
            </w:r>
            <w:r w:rsidRPr="00D43F8C">
              <w:rPr>
                <w:b/>
                <w:i/>
                <w:iCs/>
                <w:sz w:val="18"/>
                <w:szCs w:val="18"/>
              </w:rPr>
              <w:t>ack</w:t>
            </w:r>
          </w:p>
        </w:tc>
        <w:tc>
          <w:tcPr>
            <w:tcW w:w="1755" w:type="dxa"/>
            <w:shd w:val="clear" w:color="auto" w:fill="auto"/>
          </w:tcPr>
          <w:p w14:paraId="3F2BDF6B" w14:textId="3DC43E89" w:rsidR="00AA2030" w:rsidRPr="00D43F8C" w:rsidRDefault="00AA2030" w:rsidP="00AA2030">
            <w:pPr>
              <w:spacing w:before="120" w:after="120"/>
              <w:rPr>
                <w:b/>
                <w:i/>
                <w:iCs/>
                <w:sz w:val="18"/>
                <w:szCs w:val="18"/>
              </w:rPr>
            </w:pPr>
            <w:r w:rsidRPr="00D43F8C">
              <w:rPr>
                <w:b/>
                <w:i/>
                <w:iCs/>
                <w:sz w:val="18"/>
                <w:szCs w:val="18"/>
              </w:rPr>
              <w:t>2</w:t>
            </w:r>
          </w:p>
        </w:tc>
        <w:tc>
          <w:tcPr>
            <w:tcW w:w="1636" w:type="dxa"/>
            <w:shd w:val="clear" w:color="auto" w:fill="auto"/>
          </w:tcPr>
          <w:p w14:paraId="1126F35A" w14:textId="3B54090E" w:rsidR="00AA2030" w:rsidRPr="00D43F8C" w:rsidRDefault="00AA2030" w:rsidP="00AA2030">
            <w:pPr>
              <w:spacing w:before="120" w:after="120"/>
              <w:rPr>
                <w:b/>
                <w:i/>
                <w:iCs/>
                <w:sz w:val="18"/>
                <w:szCs w:val="18"/>
              </w:rPr>
            </w:pPr>
            <w:r w:rsidRPr="00D43F8C">
              <w:rPr>
                <w:b/>
                <w:i/>
                <w:iCs/>
                <w:sz w:val="18"/>
                <w:szCs w:val="18"/>
              </w:rPr>
              <w:t>High</w:t>
            </w:r>
          </w:p>
        </w:tc>
        <w:tc>
          <w:tcPr>
            <w:tcW w:w="2548" w:type="dxa"/>
            <w:shd w:val="clear" w:color="auto" w:fill="auto"/>
          </w:tcPr>
          <w:p w14:paraId="1E527141" w14:textId="66B09D02" w:rsidR="00AA2030" w:rsidRPr="00D43F8C" w:rsidRDefault="00AA2030" w:rsidP="00AA2030">
            <w:pPr>
              <w:spacing w:before="120" w:after="120"/>
              <w:rPr>
                <w:b/>
                <w:i/>
                <w:iCs/>
                <w:sz w:val="18"/>
                <w:szCs w:val="18"/>
              </w:rPr>
            </w:pPr>
            <w:r w:rsidRPr="00D43F8C">
              <w:rPr>
                <w:b/>
                <w:i/>
                <w:iCs/>
                <w:sz w:val="18"/>
                <w:szCs w:val="18"/>
              </w:rPr>
              <w:t xml:space="preserve">Retrospective </w:t>
            </w:r>
            <w:r w:rsidR="00B31B8C">
              <w:rPr>
                <w:b/>
                <w:i/>
                <w:iCs/>
                <w:sz w:val="18"/>
                <w:szCs w:val="18"/>
              </w:rPr>
              <w:t>Chart Review</w:t>
            </w:r>
          </w:p>
        </w:tc>
      </w:tr>
      <w:tr w:rsidR="00AA2030" w:rsidRPr="002F16E1" w14:paraId="41A42B17" w14:textId="77777777" w:rsidTr="00AA2030">
        <w:tc>
          <w:tcPr>
            <w:tcW w:w="2686" w:type="dxa"/>
            <w:tcBorders>
              <w:right w:val="single" w:sz="8" w:space="0" w:color="auto"/>
            </w:tcBorders>
            <w:shd w:val="clear" w:color="auto" w:fill="auto"/>
          </w:tcPr>
          <w:p w14:paraId="44A8ED0F" w14:textId="3E7A2EE5" w:rsidR="00AA2030" w:rsidRPr="00B31B8C" w:rsidRDefault="00AA2030" w:rsidP="00AA2030">
            <w:pPr>
              <w:spacing w:before="120" w:after="120"/>
              <w:rPr>
                <w:bCs/>
                <w:sz w:val="18"/>
                <w:szCs w:val="18"/>
                <w:vertAlign w:val="superscript"/>
              </w:rPr>
            </w:pPr>
            <w:proofErr w:type="spellStart"/>
            <w:r w:rsidRPr="005D32AE">
              <w:rPr>
                <w:b/>
                <w:sz w:val="18"/>
                <w:szCs w:val="18"/>
              </w:rPr>
              <w:t>Samsson</w:t>
            </w:r>
            <w:proofErr w:type="spellEnd"/>
            <w:r w:rsidRPr="005D32AE">
              <w:rPr>
                <w:b/>
                <w:sz w:val="18"/>
                <w:szCs w:val="18"/>
              </w:rPr>
              <w:t xml:space="preserve"> (2013)</w:t>
            </w:r>
            <w:r w:rsidR="00B31B8C">
              <w:rPr>
                <w:bCs/>
                <w:sz w:val="18"/>
                <w:szCs w:val="18"/>
                <w:vertAlign w:val="superscript"/>
              </w:rPr>
              <w:t>7</w:t>
            </w:r>
          </w:p>
        </w:tc>
        <w:tc>
          <w:tcPr>
            <w:tcW w:w="1796" w:type="dxa"/>
            <w:tcBorders>
              <w:left w:val="single" w:sz="8" w:space="0" w:color="auto"/>
            </w:tcBorders>
            <w:shd w:val="clear" w:color="auto" w:fill="auto"/>
          </w:tcPr>
          <w:p w14:paraId="1F9B2F71" w14:textId="7333019A" w:rsidR="00AA2030" w:rsidRPr="002F16E1" w:rsidRDefault="00AA2030" w:rsidP="00AA2030">
            <w:pPr>
              <w:spacing w:before="120" w:after="120"/>
              <w:rPr>
                <w:b/>
                <w:sz w:val="18"/>
                <w:szCs w:val="18"/>
              </w:rPr>
            </w:pPr>
            <w:r w:rsidRPr="005D32AE">
              <w:rPr>
                <w:b/>
                <w:sz w:val="18"/>
                <w:szCs w:val="18"/>
              </w:rPr>
              <w:t xml:space="preserve">8/11 </w:t>
            </w:r>
            <w:proofErr w:type="spellStart"/>
            <w:r w:rsidRPr="005D32AE">
              <w:rPr>
                <w:b/>
                <w:sz w:val="18"/>
                <w:szCs w:val="18"/>
              </w:rPr>
              <w:t>P</w:t>
            </w:r>
            <w:r w:rsidR="007B7DF1">
              <w:rPr>
                <w:b/>
                <w:sz w:val="18"/>
                <w:szCs w:val="18"/>
              </w:rPr>
              <w:t>ED</w:t>
            </w:r>
            <w:r w:rsidRPr="005D32AE">
              <w:rPr>
                <w:b/>
                <w:sz w:val="18"/>
                <w:szCs w:val="18"/>
              </w:rPr>
              <w:t>ro</w:t>
            </w:r>
            <w:proofErr w:type="spellEnd"/>
          </w:p>
        </w:tc>
        <w:tc>
          <w:tcPr>
            <w:tcW w:w="1755" w:type="dxa"/>
            <w:shd w:val="clear" w:color="auto" w:fill="auto"/>
          </w:tcPr>
          <w:p w14:paraId="1F77D779" w14:textId="3758BBFB" w:rsidR="00AA2030" w:rsidRPr="002F16E1" w:rsidRDefault="00AA2030" w:rsidP="00AA2030">
            <w:pPr>
              <w:spacing w:before="120" w:after="120"/>
              <w:rPr>
                <w:b/>
                <w:sz w:val="18"/>
                <w:szCs w:val="18"/>
              </w:rPr>
            </w:pPr>
            <w:r w:rsidRPr="005D32AE">
              <w:rPr>
                <w:b/>
                <w:sz w:val="18"/>
                <w:szCs w:val="18"/>
              </w:rPr>
              <w:t>1</w:t>
            </w:r>
            <w:r>
              <w:rPr>
                <w:b/>
                <w:sz w:val="18"/>
                <w:szCs w:val="18"/>
              </w:rPr>
              <w:t>b</w:t>
            </w:r>
          </w:p>
        </w:tc>
        <w:tc>
          <w:tcPr>
            <w:tcW w:w="1636" w:type="dxa"/>
            <w:shd w:val="clear" w:color="auto" w:fill="auto"/>
          </w:tcPr>
          <w:p w14:paraId="5391F321" w14:textId="274056E9" w:rsidR="00AA2030" w:rsidRPr="002F16E1" w:rsidRDefault="00AA2030" w:rsidP="00AA2030">
            <w:pPr>
              <w:spacing w:before="120" w:after="120"/>
              <w:rPr>
                <w:b/>
                <w:sz w:val="18"/>
                <w:szCs w:val="18"/>
              </w:rPr>
            </w:pPr>
            <w:r w:rsidRPr="005D32AE">
              <w:rPr>
                <w:b/>
                <w:sz w:val="18"/>
                <w:szCs w:val="18"/>
              </w:rPr>
              <w:t>Moderate</w:t>
            </w:r>
          </w:p>
        </w:tc>
        <w:tc>
          <w:tcPr>
            <w:tcW w:w="2548" w:type="dxa"/>
            <w:shd w:val="clear" w:color="auto" w:fill="auto"/>
          </w:tcPr>
          <w:p w14:paraId="21291F58" w14:textId="6A52FFB5" w:rsidR="00AA2030" w:rsidRPr="002F16E1" w:rsidRDefault="00AA2030" w:rsidP="00AA2030">
            <w:pPr>
              <w:spacing w:before="120" w:after="120"/>
              <w:rPr>
                <w:b/>
                <w:sz w:val="18"/>
                <w:szCs w:val="18"/>
              </w:rPr>
            </w:pPr>
            <w:r w:rsidRPr="005D32AE">
              <w:rPr>
                <w:b/>
                <w:sz w:val="18"/>
                <w:szCs w:val="18"/>
              </w:rPr>
              <w:t>RCT (not blind)</w:t>
            </w:r>
          </w:p>
        </w:tc>
      </w:tr>
      <w:tr w:rsidR="00AA2030" w:rsidRPr="002F16E1" w14:paraId="1457F2F5" w14:textId="77777777" w:rsidTr="00AA2030">
        <w:tc>
          <w:tcPr>
            <w:tcW w:w="2686" w:type="dxa"/>
            <w:tcBorders>
              <w:right w:val="single" w:sz="8" w:space="0" w:color="auto"/>
            </w:tcBorders>
            <w:shd w:val="clear" w:color="auto" w:fill="auto"/>
          </w:tcPr>
          <w:p w14:paraId="5215ED11" w14:textId="7065CA1A" w:rsidR="00AA2030" w:rsidRPr="00B31B8C" w:rsidRDefault="00AA2030" w:rsidP="00AA2030">
            <w:pPr>
              <w:spacing w:before="120" w:after="120"/>
              <w:rPr>
                <w:bCs/>
                <w:sz w:val="18"/>
                <w:szCs w:val="18"/>
                <w:vertAlign w:val="superscript"/>
              </w:rPr>
            </w:pPr>
            <w:r w:rsidRPr="005D32AE">
              <w:rPr>
                <w:b/>
                <w:sz w:val="18"/>
                <w:szCs w:val="18"/>
              </w:rPr>
              <w:t>Aiken (2008)</w:t>
            </w:r>
            <w:r w:rsidR="00B31B8C">
              <w:rPr>
                <w:bCs/>
                <w:sz w:val="18"/>
                <w:szCs w:val="18"/>
                <w:vertAlign w:val="superscript"/>
              </w:rPr>
              <w:t>8</w:t>
            </w:r>
          </w:p>
        </w:tc>
        <w:tc>
          <w:tcPr>
            <w:tcW w:w="1796" w:type="dxa"/>
            <w:tcBorders>
              <w:left w:val="single" w:sz="8" w:space="0" w:color="auto"/>
            </w:tcBorders>
            <w:shd w:val="clear" w:color="auto" w:fill="auto"/>
          </w:tcPr>
          <w:p w14:paraId="2E348B9B" w14:textId="702DBE47" w:rsidR="00AA2030" w:rsidRPr="002F16E1" w:rsidRDefault="00AA2030" w:rsidP="00AA2030">
            <w:pPr>
              <w:spacing w:before="120" w:after="120"/>
              <w:rPr>
                <w:b/>
                <w:sz w:val="18"/>
                <w:szCs w:val="18"/>
              </w:rPr>
            </w:pPr>
            <w:r w:rsidRPr="005D32AE">
              <w:rPr>
                <w:b/>
                <w:sz w:val="18"/>
                <w:szCs w:val="18"/>
              </w:rPr>
              <w:t>7/13 COSMIN Box B</w:t>
            </w:r>
          </w:p>
        </w:tc>
        <w:tc>
          <w:tcPr>
            <w:tcW w:w="1755" w:type="dxa"/>
            <w:shd w:val="clear" w:color="auto" w:fill="auto"/>
          </w:tcPr>
          <w:p w14:paraId="30DC7866" w14:textId="25E99086" w:rsidR="00AA2030" w:rsidRPr="002F16E1" w:rsidRDefault="00AA2030" w:rsidP="00AA2030">
            <w:pPr>
              <w:spacing w:before="120" w:after="120"/>
              <w:rPr>
                <w:b/>
                <w:sz w:val="18"/>
                <w:szCs w:val="18"/>
              </w:rPr>
            </w:pPr>
            <w:r w:rsidRPr="005D32AE">
              <w:rPr>
                <w:b/>
                <w:sz w:val="18"/>
                <w:szCs w:val="18"/>
              </w:rPr>
              <w:t>2</w:t>
            </w:r>
          </w:p>
        </w:tc>
        <w:tc>
          <w:tcPr>
            <w:tcW w:w="1636" w:type="dxa"/>
            <w:shd w:val="clear" w:color="auto" w:fill="auto"/>
          </w:tcPr>
          <w:p w14:paraId="1503B8A6" w14:textId="0C5A195C" w:rsidR="00AA2030" w:rsidRPr="002F16E1" w:rsidRDefault="00AA2030" w:rsidP="00AA2030">
            <w:pPr>
              <w:spacing w:before="120" w:after="120"/>
              <w:rPr>
                <w:b/>
                <w:sz w:val="18"/>
                <w:szCs w:val="18"/>
              </w:rPr>
            </w:pPr>
            <w:r w:rsidRPr="005D32AE">
              <w:rPr>
                <w:b/>
                <w:sz w:val="18"/>
                <w:szCs w:val="18"/>
              </w:rPr>
              <w:t>Moderate low</w:t>
            </w:r>
          </w:p>
        </w:tc>
        <w:tc>
          <w:tcPr>
            <w:tcW w:w="2548" w:type="dxa"/>
            <w:shd w:val="clear" w:color="auto" w:fill="auto"/>
          </w:tcPr>
          <w:p w14:paraId="4ACF78BE" w14:textId="778B8621" w:rsidR="00AA2030" w:rsidRPr="002F16E1" w:rsidRDefault="00AA2030" w:rsidP="00AA2030">
            <w:pPr>
              <w:spacing w:before="120" w:after="120"/>
              <w:rPr>
                <w:b/>
                <w:sz w:val="18"/>
                <w:szCs w:val="18"/>
              </w:rPr>
            </w:pPr>
            <w:r w:rsidRPr="005D32AE">
              <w:rPr>
                <w:b/>
                <w:sz w:val="18"/>
                <w:szCs w:val="18"/>
              </w:rPr>
              <w:t xml:space="preserve">Reliability study </w:t>
            </w:r>
          </w:p>
        </w:tc>
      </w:tr>
      <w:tr w:rsidR="00AA2030" w:rsidRPr="002F16E1" w14:paraId="24CE9883" w14:textId="77777777" w:rsidTr="00AA2030">
        <w:tc>
          <w:tcPr>
            <w:tcW w:w="2686" w:type="dxa"/>
            <w:tcBorders>
              <w:right w:val="single" w:sz="8" w:space="0" w:color="auto"/>
            </w:tcBorders>
            <w:shd w:val="clear" w:color="auto" w:fill="auto"/>
          </w:tcPr>
          <w:p w14:paraId="0D1063FE" w14:textId="0C072928" w:rsidR="00AA2030" w:rsidRPr="00B31B8C" w:rsidRDefault="00AA2030" w:rsidP="00AA2030">
            <w:pPr>
              <w:spacing w:before="120" w:after="120"/>
              <w:rPr>
                <w:bCs/>
                <w:sz w:val="18"/>
                <w:szCs w:val="18"/>
                <w:vertAlign w:val="superscript"/>
              </w:rPr>
            </w:pPr>
            <w:r w:rsidRPr="005D32AE">
              <w:rPr>
                <w:b/>
                <w:sz w:val="18"/>
                <w:szCs w:val="18"/>
              </w:rPr>
              <w:t>Marks (2016)</w:t>
            </w:r>
            <w:r w:rsidR="00B31B8C">
              <w:rPr>
                <w:bCs/>
                <w:sz w:val="18"/>
                <w:szCs w:val="18"/>
                <w:vertAlign w:val="superscript"/>
              </w:rPr>
              <w:t>3</w:t>
            </w:r>
          </w:p>
        </w:tc>
        <w:tc>
          <w:tcPr>
            <w:tcW w:w="1796" w:type="dxa"/>
            <w:tcBorders>
              <w:left w:val="single" w:sz="8" w:space="0" w:color="auto"/>
            </w:tcBorders>
            <w:shd w:val="clear" w:color="auto" w:fill="auto"/>
          </w:tcPr>
          <w:p w14:paraId="48D8C996" w14:textId="748BF7B3" w:rsidR="00AA2030" w:rsidRPr="002F16E1" w:rsidRDefault="00AA2030" w:rsidP="00AA2030">
            <w:pPr>
              <w:spacing w:before="120" w:after="120"/>
              <w:rPr>
                <w:b/>
                <w:sz w:val="18"/>
                <w:szCs w:val="18"/>
              </w:rPr>
            </w:pPr>
            <w:r w:rsidRPr="005D32AE">
              <w:rPr>
                <w:b/>
                <w:sz w:val="18"/>
                <w:szCs w:val="18"/>
              </w:rPr>
              <w:t>9/12 COSMIN Box B</w:t>
            </w:r>
          </w:p>
        </w:tc>
        <w:tc>
          <w:tcPr>
            <w:tcW w:w="1755" w:type="dxa"/>
            <w:shd w:val="clear" w:color="auto" w:fill="auto"/>
          </w:tcPr>
          <w:p w14:paraId="3FBA4FD1" w14:textId="38AA7521" w:rsidR="00AA2030" w:rsidRPr="002F16E1" w:rsidRDefault="00AA2030" w:rsidP="00AA2030">
            <w:pPr>
              <w:spacing w:before="120" w:after="120"/>
              <w:rPr>
                <w:b/>
                <w:sz w:val="18"/>
                <w:szCs w:val="18"/>
              </w:rPr>
            </w:pPr>
            <w:r w:rsidRPr="005D32AE">
              <w:rPr>
                <w:b/>
                <w:sz w:val="18"/>
                <w:szCs w:val="18"/>
              </w:rPr>
              <w:t>1</w:t>
            </w:r>
          </w:p>
        </w:tc>
        <w:tc>
          <w:tcPr>
            <w:tcW w:w="1636" w:type="dxa"/>
            <w:shd w:val="clear" w:color="auto" w:fill="auto"/>
          </w:tcPr>
          <w:p w14:paraId="6994D3F9" w14:textId="7E5C4A6D" w:rsidR="00AA2030" w:rsidRPr="002F16E1" w:rsidRDefault="00AA2030" w:rsidP="00AA2030">
            <w:pPr>
              <w:spacing w:before="120" w:after="120"/>
              <w:rPr>
                <w:b/>
                <w:sz w:val="18"/>
                <w:szCs w:val="18"/>
              </w:rPr>
            </w:pPr>
            <w:r w:rsidRPr="005D32AE">
              <w:rPr>
                <w:b/>
                <w:sz w:val="18"/>
                <w:szCs w:val="18"/>
              </w:rPr>
              <w:t>Moderate High</w:t>
            </w:r>
          </w:p>
        </w:tc>
        <w:tc>
          <w:tcPr>
            <w:tcW w:w="2548" w:type="dxa"/>
            <w:shd w:val="clear" w:color="auto" w:fill="auto"/>
          </w:tcPr>
          <w:p w14:paraId="0D94E980" w14:textId="35A036D4" w:rsidR="00AA2030" w:rsidRPr="002F16E1" w:rsidRDefault="00AA2030" w:rsidP="00AA2030">
            <w:pPr>
              <w:spacing w:before="120" w:after="120"/>
              <w:rPr>
                <w:b/>
                <w:sz w:val="18"/>
                <w:szCs w:val="18"/>
              </w:rPr>
            </w:pPr>
            <w:r w:rsidRPr="005D32AE">
              <w:rPr>
                <w:b/>
                <w:sz w:val="18"/>
                <w:szCs w:val="18"/>
              </w:rPr>
              <w:t>Reliability study</w:t>
            </w:r>
          </w:p>
        </w:tc>
      </w:tr>
      <w:tr w:rsidR="00AA2030" w:rsidRPr="002F16E1" w14:paraId="6A82FACD" w14:textId="77777777" w:rsidTr="00AA2030">
        <w:tc>
          <w:tcPr>
            <w:tcW w:w="2686" w:type="dxa"/>
            <w:tcBorders>
              <w:right w:val="single" w:sz="8" w:space="0" w:color="auto"/>
            </w:tcBorders>
            <w:shd w:val="clear" w:color="auto" w:fill="auto"/>
          </w:tcPr>
          <w:p w14:paraId="24BD983B" w14:textId="09C2919E" w:rsidR="00AA2030" w:rsidRPr="00B31B8C" w:rsidRDefault="00AA2030" w:rsidP="00AA2030">
            <w:pPr>
              <w:spacing w:before="120" w:after="120"/>
              <w:rPr>
                <w:bCs/>
                <w:sz w:val="18"/>
                <w:szCs w:val="18"/>
                <w:vertAlign w:val="superscript"/>
              </w:rPr>
            </w:pPr>
            <w:proofErr w:type="spellStart"/>
            <w:r w:rsidRPr="00D43F8C">
              <w:rPr>
                <w:b/>
                <w:i/>
                <w:iCs/>
                <w:sz w:val="18"/>
                <w:szCs w:val="18"/>
              </w:rPr>
              <w:t>Décary</w:t>
            </w:r>
            <w:proofErr w:type="spellEnd"/>
            <w:r w:rsidRPr="00D43F8C">
              <w:rPr>
                <w:b/>
                <w:i/>
                <w:iCs/>
                <w:sz w:val="18"/>
                <w:szCs w:val="18"/>
              </w:rPr>
              <w:t xml:space="preserve"> (2017)</w:t>
            </w:r>
            <w:r w:rsidR="00B31B8C">
              <w:rPr>
                <w:bCs/>
                <w:sz w:val="18"/>
                <w:szCs w:val="18"/>
                <w:vertAlign w:val="superscript"/>
              </w:rPr>
              <w:t>5</w:t>
            </w:r>
          </w:p>
        </w:tc>
        <w:tc>
          <w:tcPr>
            <w:tcW w:w="1796" w:type="dxa"/>
            <w:tcBorders>
              <w:left w:val="single" w:sz="8" w:space="0" w:color="auto"/>
            </w:tcBorders>
            <w:shd w:val="clear" w:color="auto" w:fill="auto"/>
          </w:tcPr>
          <w:p w14:paraId="1885E395" w14:textId="433814FE" w:rsidR="00AA2030" w:rsidRPr="00D43F8C" w:rsidRDefault="00AA2030" w:rsidP="00AA2030">
            <w:pPr>
              <w:spacing w:before="120" w:after="120"/>
              <w:rPr>
                <w:b/>
                <w:i/>
                <w:iCs/>
                <w:sz w:val="18"/>
                <w:szCs w:val="18"/>
              </w:rPr>
            </w:pPr>
            <w:r w:rsidRPr="00D43F8C">
              <w:rPr>
                <w:b/>
                <w:i/>
                <w:iCs/>
                <w:sz w:val="18"/>
                <w:szCs w:val="18"/>
              </w:rPr>
              <w:t>9/12 COSMIN Box B</w:t>
            </w:r>
          </w:p>
        </w:tc>
        <w:tc>
          <w:tcPr>
            <w:tcW w:w="1755" w:type="dxa"/>
            <w:shd w:val="clear" w:color="auto" w:fill="auto"/>
          </w:tcPr>
          <w:p w14:paraId="63787DEE" w14:textId="598A3BC0" w:rsidR="00AA2030" w:rsidRPr="00D43F8C" w:rsidRDefault="00AA2030" w:rsidP="00AA2030">
            <w:pPr>
              <w:spacing w:before="120" w:after="120"/>
              <w:rPr>
                <w:b/>
                <w:i/>
                <w:iCs/>
                <w:sz w:val="18"/>
                <w:szCs w:val="18"/>
              </w:rPr>
            </w:pPr>
            <w:r w:rsidRPr="00D43F8C">
              <w:rPr>
                <w:b/>
                <w:i/>
                <w:iCs/>
                <w:sz w:val="18"/>
                <w:szCs w:val="18"/>
              </w:rPr>
              <w:t>1</w:t>
            </w:r>
          </w:p>
        </w:tc>
        <w:tc>
          <w:tcPr>
            <w:tcW w:w="1636" w:type="dxa"/>
            <w:shd w:val="clear" w:color="auto" w:fill="auto"/>
          </w:tcPr>
          <w:p w14:paraId="2083F326" w14:textId="21EC2EA3" w:rsidR="00AA2030" w:rsidRPr="00D43F8C" w:rsidRDefault="00AA2030" w:rsidP="00AA2030">
            <w:pPr>
              <w:spacing w:before="120" w:after="120"/>
              <w:rPr>
                <w:b/>
                <w:i/>
                <w:iCs/>
                <w:sz w:val="18"/>
                <w:szCs w:val="18"/>
              </w:rPr>
            </w:pPr>
            <w:r w:rsidRPr="00D43F8C">
              <w:rPr>
                <w:b/>
                <w:i/>
                <w:iCs/>
                <w:sz w:val="18"/>
                <w:szCs w:val="18"/>
              </w:rPr>
              <w:t>High</w:t>
            </w:r>
          </w:p>
        </w:tc>
        <w:tc>
          <w:tcPr>
            <w:tcW w:w="2548" w:type="dxa"/>
            <w:shd w:val="clear" w:color="auto" w:fill="auto"/>
          </w:tcPr>
          <w:p w14:paraId="0113AA90" w14:textId="061072BF" w:rsidR="00AA2030" w:rsidRPr="00D43F8C" w:rsidRDefault="00AA2030" w:rsidP="00AA2030">
            <w:pPr>
              <w:spacing w:before="120" w:after="120"/>
              <w:rPr>
                <w:b/>
                <w:i/>
                <w:iCs/>
                <w:sz w:val="18"/>
                <w:szCs w:val="18"/>
              </w:rPr>
            </w:pPr>
            <w:r w:rsidRPr="00D43F8C">
              <w:rPr>
                <w:b/>
                <w:i/>
                <w:iCs/>
                <w:sz w:val="18"/>
                <w:szCs w:val="18"/>
              </w:rPr>
              <w:t>Reliability study</w:t>
            </w:r>
          </w:p>
        </w:tc>
      </w:tr>
      <w:tr w:rsidR="00AA2030" w:rsidRPr="002F16E1" w14:paraId="666FB589" w14:textId="77777777" w:rsidTr="00AA2030">
        <w:tc>
          <w:tcPr>
            <w:tcW w:w="2686" w:type="dxa"/>
            <w:tcBorders>
              <w:right w:val="single" w:sz="8" w:space="0" w:color="auto"/>
            </w:tcBorders>
            <w:shd w:val="clear" w:color="auto" w:fill="auto"/>
          </w:tcPr>
          <w:p w14:paraId="3DDC75EC" w14:textId="2E23300B" w:rsidR="00AA2030" w:rsidRPr="00B31B8C" w:rsidRDefault="00AA2030" w:rsidP="00AA2030">
            <w:pPr>
              <w:spacing w:before="120" w:after="120"/>
              <w:rPr>
                <w:bCs/>
                <w:sz w:val="18"/>
                <w:szCs w:val="18"/>
                <w:vertAlign w:val="superscript"/>
              </w:rPr>
            </w:pPr>
            <w:proofErr w:type="spellStart"/>
            <w:r w:rsidRPr="005D32AE">
              <w:rPr>
                <w:b/>
                <w:sz w:val="18"/>
                <w:szCs w:val="18"/>
              </w:rPr>
              <w:t>Jovic</w:t>
            </w:r>
            <w:proofErr w:type="spellEnd"/>
            <w:r w:rsidRPr="005D32AE">
              <w:rPr>
                <w:b/>
                <w:sz w:val="18"/>
                <w:szCs w:val="18"/>
              </w:rPr>
              <w:t xml:space="preserve"> (2019)</w:t>
            </w:r>
            <w:r w:rsidR="00B31B8C">
              <w:rPr>
                <w:bCs/>
                <w:sz w:val="18"/>
                <w:szCs w:val="18"/>
                <w:vertAlign w:val="superscript"/>
              </w:rPr>
              <w:t>4</w:t>
            </w:r>
          </w:p>
        </w:tc>
        <w:tc>
          <w:tcPr>
            <w:tcW w:w="1796" w:type="dxa"/>
            <w:tcBorders>
              <w:left w:val="single" w:sz="8" w:space="0" w:color="auto"/>
            </w:tcBorders>
            <w:shd w:val="clear" w:color="auto" w:fill="auto"/>
          </w:tcPr>
          <w:p w14:paraId="4DA4AFCE" w14:textId="132ABC89" w:rsidR="00AA2030" w:rsidRPr="002F16E1" w:rsidRDefault="00AA2030" w:rsidP="00AA2030">
            <w:pPr>
              <w:spacing w:before="120" w:after="120"/>
              <w:rPr>
                <w:b/>
                <w:sz w:val="18"/>
                <w:szCs w:val="18"/>
              </w:rPr>
            </w:pPr>
            <w:r w:rsidRPr="005D32AE">
              <w:rPr>
                <w:b/>
                <w:sz w:val="18"/>
                <w:szCs w:val="18"/>
              </w:rPr>
              <w:t>10/12 COSMIN Box B</w:t>
            </w:r>
          </w:p>
        </w:tc>
        <w:tc>
          <w:tcPr>
            <w:tcW w:w="1755" w:type="dxa"/>
            <w:shd w:val="clear" w:color="auto" w:fill="auto"/>
          </w:tcPr>
          <w:p w14:paraId="41F96035" w14:textId="698F82D3" w:rsidR="00AA2030" w:rsidRPr="002F16E1" w:rsidRDefault="00AA2030" w:rsidP="00AA2030">
            <w:pPr>
              <w:spacing w:before="120" w:after="120"/>
              <w:rPr>
                <w:b/>
                <w:sz w:val="18"/>
                <w:szCs w:val="18"/>
              </w:rPr>
            </w:pPr>
            <w:r w:rsidRPr="005D32AE">
              <w:rPr>
                <w:b/>
                <w:sz w:val="18"/>
                <w:szCs w:val="18"/>
              </w:rPr>
              <w:t>1</w:t>
            </w:r>
          </w:p>
        </w:tc>
        <w:tc>
          <w:tcPr>
            <w:tcW w:w="1636" w:type="dxa"/>
            <w:shd w:val="clear" w:color="auto" w:fill="auto"/>
          </w:tcPr>
          <w:p w14:paraId="16EC9A16" w14:textId="419AB530" w:rsidR="00AA2030" w:rsidRPr="002F16E1" w:rsidRDefault="00AA2030" w:rsidP="00AA2030">
            <w:pPr>
              <w:spacing w:before="120" w:after="120"/>
              <w:rPr>
                <w:b/>
                <w:sz w:val="18"/>
                <w:szCs w:val="18"/>
              </w:rPr>
            </w:pPr>
            <w:r w:rsidRPr="005D32AE">
              <w:rPr>
                <w:b/>
                <w:sz w:val="18"/>
                <w:szCs w:val="18"/>
              </w:rPr>
              <w:t>Moderate High</w:t>
            </w:r>
          </w:p>
        </w:tc>
        <w:tc>
          <w:tcPr>
            <w:tcW w:w="2548" w:type="dxa"/>
            <w:shd w:val="clear" w:color="auto" w:fill="auto"/>
          </w:tcPr>
          <w:p w14:paraId="0DE006C0" w14:textId="6725D8CA" w:rsidR="00AA2030" w:rsidRPr="002F16E1" w:rsidRDefault="00AA2030" w:rsidP="00AA2030">
            <w:pPr>
              <w:spacing w:before="120" w:after="120"/>
              <w:rPr>
                <w:b/>
                <w:sz w:val="18"/>
                <w:szCs w:val="18"/>
              </w:rPr>
            </w:pPr>
            <w:r w:rsidRPr="005D32AE">
              <w:rPr>
                <w:b/>
                <w:sz w:val="18"/>
                <w:szCs w:val="18"/>
              </w:rPr>
              <w:t>Reliability study</w:t>
            </w:r>
          </w:p>
        </w:tc>
      </w:tr>
    </w:tbl>
    <w:p w14:paraId="6694350A" w14:textId="3454E4DA" w:rsidR="00D76272" w:rsidRDefault="00D76272" w:rsidP="00D76272">
      <w:pPr>
        <w:spacing w:before="120" w:after="120"/>
        <w:rPr>
          <w:sz w:val="18"/>
          <w:szCs w:val="18"/>
        </w:rPr>
      </w:pPr>
      <w:r w:rsidRPr="007B7DF1">
        <w:rPr>
          <w:sz w:val="18"/>
          <w:szCs w:val="18"/>
        </w:rPr>
        <w:t>*</w:t>
      </w:r>
      <w:r w:rsidR="007B7DF1" w:rsidRPr="007B7DF1">
        <w:rPr>
          <w:sz w:val="18"/>
          <w:szCs w:val="18"/>
        </w:rPr>
        <w:t>Scored</w:t>
      </w:r>
      <w:r w:rsidR="007B7DF1">
        <w:rPr>
          <w:sz w:val="18"/>
          <w:szCs w:val="18"/>
        </w:rPr>
        <w:t xml:space="preserve"> using COSMIN Reliability Score, Downs &amp; Black Checklist, and </w:t>
      </w:r>
      <w:proofErr w:type="spellStart"/>
      <w:r w:rsidR="007B7DF1">
        <w:rPr>
          <w:sz w:val="18"/>
          <w:szCs w:val="18"/>
        </w:rPr>
        <w:t>PEDro</w:t>
      </w:r>
      <w:proofErr w:type="spellEnd"/>
      <w:r w:rsidR="007B7DF1">
        <w:rPr>
          <w:sz w:val="18"/>
          <w:szCs w:val="18"/>
        </w:rPr>
        <w:t xml:space="preserve"> Score</w:t>
      </w:r>
    </w:p>
    <w:p w14:paraId="763A6F5C" w14:textId="7FFACA00" w:rsidR="00AA2030" w:rsidRDefault="00AA2030" w:rsidP="00AA2030">
      <w:pPr>
        <w:spacing w:before="120" w:after="120"/>
        <w:rPr>
          <w:sz w:val="18"/>
          <w:szCs w:val="18"/>
        </w:rPr>
      </w:pPr>
      <w:r>
        <w:rPr>
          <w:sz w:val="18"/>
          <w:szCs w:val="18"/>
        </w:rPr>
        <w:t xml:space="preserve">**Use Portney &amp; Watkins Table 16.1 (2009); When Portney &amp; Watkin Table could not be used in the case of Reliability </w:t>
      </w:r>
      <w:r w:rsidRPr="007B7DF1">
        <w:rPr>
          <w:sz w:val="18"/>
          <w:szCs w:val="18"/>
        </w:rPr>
        <w:t xml:space="preserve">studies, a level 1 indicates well-designed study, a level 2 </w:t>
      </w:r>
      <w:r w:rsidR="007B7DF1" w:rsidRPr="007B7DF1">
        <w:rPr>
          <w:sz w:val="18"/>
          <w:szCs w:val="18"/>
        </w:rPr>
        <w:t xml:space="preserve">indicates </w:t>
      </w:r>
      <w:r w:rsidRPr="007B7DF1">
        <w:rPr>
          <w:sz w:val="18"/>
          <w:szCs w:val="18"/>
        </w:rPr>
        <w:t xml:space="preserve">a </w:t>
      </w:r>
      <w:r w:rsidR="007B7DF1" w:rsidRPr="007B7DF1">
        <w:rPr>
          <w:sz w:val="18"/>
          <w:szCs w:val="18"/>
        </w:rPr>
        <w:t>study</w:t>
      </w:r>
      <w:r w:rsidRPr="007B7DF1">
        <w:rPr>
          <w:sz w:val="18"/>
          <w:szCs w:val="18"/>
        </w:rPr>
        <w:t xml:space="preserve"> inadequate in design but maintaining some validity</w:t>
      </w:r>
      <w:r>
        <w:rPr>
          <w:sz w:val="18"/>
          <w:szCs w:val="18"/>
        </w:rPr>
        <w:t xml:space="preserve"> </w:t>
      </w:r>
    </w:p>
    <w:p w14:paraId="13BEA677" w14:textId="77777777" w:rsidR="00D76272" w:rsidRDefault="00D76272" w:rsidP="00D76272">
      <w:pPr>
        <w:spacing w:before="120" w:after="120"/>
        <w:rPr>
          <w:b/>
          <w:sz w:val="18"/>
          <w:szCs w:val="18"/>
        </w:rPr>
      </w:pPr>
    </w:p>
    <w:p w14:paraId="1404DA88" w14:textId="77777777" w:rsidR="001C5A94" w:rsidRDefault="001403EC" w:rsidP="001C5A94">
      <w:pPr>
        <w:spacing w:before="120" w:after="120"/>
        <w:rPr>
          <w:b/>
          <w:sz w:val="18"/>
          <w:szCs w:val="18"/>
        </w:rPr>
      </w:pPr>
      <w:r w:rsidRPr="00B75AAB">
        <w:rPr>
          <w:b/>
          <w:sz w:val="18"/>
          <w:szCs w:val="18"/>
        </w:rPr>
        <w:t>BEST EVIDENCE</w:t>
      </w:r>
    </w:p>
    <w:p w14:paraId="194048D5"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65D55349" w14:textId="77777777" w:rsidTr="002F16E1">
        <w:tc>
          <w:tcPr>
            <w:tcW w:w="10421" w:type="dxa"/>
            <w:shd w:val="clear" w:color="auto" w:fill="auto"/>
          </w:tcPr>
          <w:p w14:paraId="0E0C13B0" w14:textId="77777777" w:rsidR="00AA2030" w:rsidRDefault="00AA2030" w:rsidP="00AA2030">
            <w:pPr>
              <w:numPr>
                <w:ilvl w:val="0"/>
                <w:numId w:val="12"/>
              </w:numPr>
              <w:spacing w:before="120" w:after="120"/>
              <w:rPr>
                <w:b/>
                <w:sz w:val="18"/>
                <w:szCs w:val="18"/>
              </w:rPr>
            </w:pPr>
            <w:r>
              <w:rPr>
                <w:b/>
                <w:sz w:val="18"/>
                <w:szCs w:val="18"/>
              </w:rPr>
              <w:t xml:space="preserve">McGill  </w:t>
            </w:r>
          </w:p>
          <w:p w14:paraId="664313E8" w14:textId="44D9CFDE" w:rsidR="00AA2030" w:rsidRPr="00AA2030" w:rsidRDefault="00AA2030" w:rsidP="00AA2030">
            <w:pPr>
              <w:spacing w:before="120" w:after="120"/>
              <w:ind w:left="360"/>
              <w:rPr>
                <w:b/>
                <w:sz w:val="18"/>
                <w:szCs w:val="18"/>
              </w:rPr>
            </w:pPr>
            <w:r w:rsidRPr="00AA2030">
              <w:rPr>
                <w:sz w:val="18"/>
                <w:szCs w:val="18"/>
              </w:rPr>
              <w:t xml:space="preserve">There is a lack of research comparing physical therapists’ and medical doctors’ diagnostic accuracy and treatment choices in the US. In many other countries, responsibilities of PTs vary, with some clinicians granted the ability to order imaging and laboratory tests and prescribe certain medications. Additionally, the curriculum to become a PT varies across the globe, thus caution should be taken when investigating </w:t>
            </w:r>
            <w:r w:rsidR="005B50FD">
              <w:rPr>
                <w:sz w:val="18"/>
                <w:szCs w:val="18"/>
              </w:rPr>
              <w:t>studies</w:t>
            </w:r>
            <w:r w:rsidRPr="00AA2030">
              <w:rPr>
                <w:sz w:val="18"/>
                <w:szCs w:val="18"/>
              </w:rPr>
              <w:t xml:space="preserve"> </w:t>
            </w:r>
            <w:r w:rsidR="005B50FD">
              <w:rPr>
                <w:sz w:val="18"/>
                <w:szCs w:val="18"/>
              </w:rPr>
              <w:t>outside</w:t>
            </w:r>
            <w:r w:rsidRPr="00AA2030">
              <w:rPr>
                <w:sz w:val="18"/>
                <w:szCs w:val="18"/>
              </w:rPr>
              <w:t xml:space="preserve"> the US. </w:t>
            </w:r>
            <w:r>
              <w:rPr>
                <w:sz w:val="18"/>
                <w:szCs w:val="18"/>
              </w:rPr>
              <w:t xml:space="preserve">McGill was chosen as ‘best’ evidence for this clinical question due to the high clinical relevancy given </w:t>
            </w:r>
            <w:r w:rsidR="007D2F52">
              <w:rPr>
                <w:sz w:val="18"/>
                <w:szCs w:val="18"/>
              </w:rPr>
              <w:t xml:space="preserve">use </w:t>
            </w:r>
            <w:r w:rsidR="005B50FD">
              <w:rPr>
                <w:sz w:val="18"/>
                <w:szCs w:val="18"/>
              </w:rPr>
              <w:t xml:space="preserve">of </w:t>
            </w:r>
            <w:r w:rsidR="007D2F52">
              <w:rPr>
                <w:sz w:val="18"/>
                <w:szCs w:val="18"/>
              </w:rPr>
              <w:t>American PTs</w:t>
            </w:r>
            <w:r>
              <w:rPr>
                <w:sz w:val="18"/>
                <w:szCs w:val="18"/>
              </w:rPr>
              <w:t xml:space="preserve">, </w:t>
            </w:r>
            <w:r w:rsidR="00492118">
              <w:rPr>
                <w:sz w:val="18"/>
                <w:szCs w:val="18"/>
              </w:rPr>
              <w:t xml:space="preserve">subject condition (MSK compliant without deformity or need for referral to emergency department), and comparison of </w:t>
            </w:r>
            <w:r w:rsidR="005B50FD">
              <w:rPr>
                <w:sz w:val="18"/>
                <w:szCs w:val="18"/>
              </w:rPr>
              <w:t>physical therapist (PT)</w:t>
            </w:r>
            <w:r w:rsidR="00492118">
              <w:rPr>
                <w:sz w:val="18"/>
                <w:szCs w:val="18"/>
              </w:rPr>
              <w:t xml:space="preserve"> to family practice (FP) physician as musculoskeletal primary care providers (PCP) in treatment methods.</w:t>
            </w:r>
          </w:p>
          <w:p w14:paraId="1D728101" w14:textId="4E030E29" w:rsidR="00AA2030" w:rsidRPr="00AA2030" w:rsidRDefault="00AA2030" w:rsidP="00AA2030">
            <w:pPr>
              <w:numPr>
                <w:ilvl w:val="0"/>
                <w:numId w:val="12"/>
              </w:numPr>
              <w:spacing w:before="120" w:after="120"/>
              <w:rPr>
                <w:b/>
                <w:sz w:val="18"/>
                <w:szCs w:val="18"/>
              </w:rPr>
            </w:pPr>
            <w:proofErr w:type="spellStart"/>
            <w:r w:rsidRPr="00AA2030">
              <w:rPr>
                <w:b/>
                <w:sz w:val="18"/>
                <w:szCs w:val="18"/>
              </w:rPr>
              <w:t>Décary</w:t>
            </w:r>
            <w:proofErr w:type="spellEnd"/>
          </w:p>
          <w:p w14:paraId="1D65CF7B" w14:textId="2407D114" w:rsidR="005458B8" w:rsidRPr="002F16E1" w:rsidRDefault="00B33981" w:rsidP="00B33981">
            <w:pPr>
              <w:spacing w:before="120" w:after="120"/>
              <w:ind w:left="360"/>
              <w:rPr>
                <w:b/>
                <w:sz w:val="18"/>
                <w:szCs w:val="18"/>
              </w:rPr>
            </w:pPr>
            <w:proofErr w:type="spellStart"/>
            <w:r>
              <w:rPr>
                <w:bCs/>
                <w:sz w:val="18"/>
                <w:szCs w:val="18"/>
              </w:rPr>
              <w:t>Décary</w:t>
            </w:r>
            <w:proofErr w:type="spellEnd"/>
            <w:r>
              <w:rPr>
                <w:bCs/>
                <w:sz w:val="18"/>
                <w:szCs w:val="18"/>
              </w:rPr>
              <w:t xml:space="preserve"> was chosen as ‘best’ evidence for the focused clinical question as the study compares physiotherapist diagnosis and treatment to physician diagnosis and treatment of the same patient. Though there are some study flaws, this was the best study design relevant to my clinical question.</w:t>
            </w:r>
            <w:r>
              <w:rPr>
                <w:sz w:val="18"/>
                <w:szCs w:val="18"/>
              </w:rPr>
              <w:t xml:space="preserve"> </w:t>
            </w:r>
            <w:r>
              <w:rPr>
                <w:bCs/>
                <w:sz w:val="18"/>
                <w:szCs w:val="18"/>
              </w:rPr>
              <w:t>The</w:t>
            </w:r>
            <w:r w:rsidR="00AA2030">
              <w:rPr>
                <w:bCs/>
                <w:sz w:val="18"/>
                <w:szCs w:val="18"/>
              </w:rPr>
              <w:t xml:space="preserve"> study</w:t>
            </w:r>
            <w:r>
              <w:rPr>
                <w:bCs/>
                <w:sz w:val="18"/>
                <w:szCs w:val="18"/>
              </w:rPr>
              <w:t xml:space="preserve">’s </w:t>
            </w:r>
            <w:r w:rsidR="00AA2030">
              <w:rPr>
                <w:bCs/>
                <w:sz w:val="18"/>
                <w:szCs w:val="18"/>
              </w:rPr>
              <w:t xml:space="preserve">statistical analysis </w:t>
            </w:r>
            <w:r>
              <w:rPr>
                <w:bCs/>
                <w:sz w:val="18"/>
                <w:szCs w:val="18"/>
              </w:rPr>
              <w:t>assesses agreement between physiotherapist and physician diagnosis and triage choice and assesses diagnostic validity of a physical therapist musculoskeletal exam</w:t>
            </w:r>
            <w:r w:rsidR="00AA2030">
              <w:rPr>
                <w:bCs/>
                <w:sz w:val="18"/>
                <w:szCs w:val="18"/>
              </w:rPr>
              <w:t xml:space="preserve">. </w:t>
            </w:r>
            <w:r>
              <w:rPr>
                <w:bCs/>
                <w:sz w:val="18"/>
                <w:szCs w:val="18"/>
              </w:rPr>
              <w:t xml:space="preserve">Unlike other studies which took place in irrelevant settings like the emergency department, this study considered the orthopedic setting, which matches my clinical question.  </w:t>
            </w:r>
          </w:p>
        </w:tc>
      </w:tr>
    </w:tbl>
    <w:p w14:paraId="196633BC" w14:textId="77777777" w:rsidR="0036765B" w:rsidRDefault="0036765B" w:rsidP="0011199B">
      <w:pPr>
        <w:spacing w:before="120" w:after="120"/>
        <w:rPr>
          <w:b/>
          <w:sz w:val="18"/>
          <w:szCs w:val="18"/>
        </w:rPr>
      </w:pPr>
    </w:p>
    <w:p w14:paraId="7D613BD2" w14:textId="77777777" w:rsidR="0036765B" w:rsidRDefault="0036765B" w:rsidP="0011199B">
      <w:pPr>
        <w:spacing w:before="120" w:after="120"/>
        <w:rPr>
          <w:b/>
          <w:sz w:val="18"/>
          <w:szCs w:val="18"/>
        </w:rPr>
      </w:pPr>
    </w:p>
    <w:p w14:paraId="43E8FACD" w14:textId="00DB6FEB" w:rsidR="0011199B" w:rsidRDefault="001403EC" w:rsidP="0011199B">
      <w:pPr>
        <w:spacing w:before="120" w:after="120"/>
        <w:rPr>
          <w:b/>
          <w:sz w:val="18"/>
          <w:szCs w:val="18"/>
        </w:rPr>
      </w:pPr>
      <w:r w:rsidRPr="00B75AAB">
        <w:rPr>
          <w:b/>
          <w:sz w:val="18"/>
          <w:szCs w:val="18"/>
        </w:rPr>
        <w:lastRenderedPageBreak/>
        <w:t>SUMMARY OF BEST EVIDENCE</w:t>
      </w:r>
    </w:p>
    <w:p w14:paraId="5BEA57CC" w14:textId="249D4D33" w:rsidR="001403EC" w:rsidRPr="007D2F52" w:rsidRDefault="001D4F60" w:rsidP="007D2F52">
      <w:pPr>
        <w:pStyle w:val="NormalWeb"/>
        <w:rPr>
          <w:rFonts w:ascii="Verdana" w:hAnsi="Verdana"/>
          <w:b/>
          <w:sz w:val="18"/>
          <w:szCs w:val="18"/>
        </w:rPr>
      </w:pPr>
      <w:r w:rsidRPr="007D2F52">
        <w:rPr>
          <w:rFonts w:ascii="Verdana" w:hAnsi="Verdana"/>
          <w:b/>
          <w:sz w:val="18"/>
          <w:szCs w:val="18"/>
        </w:rPr>
        <w:t xml:space="preserve">(1) </w:t>
      </w:r>
      <w:r w:rsidR="001403EC" w:rsidRPr="007D2F52">
        <w:rPr>
          <w:rFonts w:ascii="Verdana" w:hAnsi="Verdana"/>
          <w:bCs/>
          <w:sz w:val="18"/>
          <w:szCs w:val="18"/>
        </w:rPr>
        <w:t xml:space="preserve">Description and appraisal of </w:t>
      </w:r>
      <w:r w:rsidR="007D2F52" w:rsidRPr="007D2F52">
        <w:rPr>
          <w:rFonts w:ascii="Verdana" w:hAnsi="Verdana"/>
          <w:b/>
          <w:sz w:val="18"/>
          <w:szCs w:val="18"/>
        </w:rPr>
        <w:t>Effectiveness of Physical Therapists Serving as Primary Care Musculoskeletal Providers as Compared to Family Practice Providers in a Deployed Combat Location:</w:t>
      </w:r>
      <w:r w:rsidR="007D2F52">
        <w:rPr>
          <w:rFonts w:ascii="Verdana" w:hAnsi="Verdana"/>
          <w:b/>
          <w:sz w:val="18"/>
          <w:szCs w:val="18"/>
        </w:rPr>
        <w:t xml:space="preserve"> </w:t>
      </w:r>
      <w:r w:rsidR="007D2F52" w:rsidRPr="007D2F52">
        <w:rPr>
          <w:rFonts w:ascii="Verdana" w:hAnsi="Verdana"/>
          <w:b/>
          <w:sz w:val="18"/>
          <w:szCs w:val="18"/>
        </w:rPr>
        <w:t>A Retrospective Medical Chart Review</w:t>
      </w:r>
      <w:r w:rsidR="001E5719" w:rsidRPr="007D2F52">
        <w:rPr>
          <w:rFonts w:ascii="Verdana" w:hAnsi="Verdana"/>
          <w:bCs/>
          <w:sz w:val="18"/>
          <w:szCs w:val="18"/>
        </w:rPr>
        <w:t xml:space="preserve"> by </w:t>
      </w:r>
      <w:r w:rsidR="007D2F52" w:rsidRPr="007D2F52">
        <w:rPr>
          <w:rFonts w:ascii="Verdana" w:hAnsi="Verdana"/>
          <w:b/>
          <w:sz w:val="18"/>
          <w:szCs w:val="18"/>
        </w:rPr>
        <w:t>Lt Col Troy McGill,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4AD4BF3" w14:textId="77777777" w:rsidTr="001D4F60">
        <w:tc>
          <w:tcPr>
            <w:tcW w:w="10421" w:type="dxa"/>
            <w:shd w:val="clear" w:color="auto" w:fill="E6E6E6"/>
          </w:tcPr>
          <w:p w14:paraId="48371855"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39E549D0" w14:textId="77777777" w:rsidTr="001D4F60">
        <w:tc>
          <w:tcPr>
            <w:tcW w:w="10421" w:type="dxa"/>
            <w:tcBorders>
              <w:bottom w:val="single" w:sz="4" w:space="0" w:color="auto"/>
            </w:tcBorders>
            <w:shd w:val="clear" w:color="auto" w:fill="auto"/>
          </w:tcPr>
          <w:p w14:paraId="07475F4E" w14:textId="20F78511" w:rsidR="001D4F60" w:rsidRDefault="00492118" w:rsidP="009E380F">
            <w:pPr>
              <w:spacing w:before="120" w:after="120"/>
              <w:rPr>
                <w:sz w:val="18"/>
                <w:szCs w:val="18"/>
              </w:rPr>
            </w:pPr>
            <w:r>
              <w:rPr>
                <w:sz w:val="18"/>
                <w:szCs w:val="18"/>
              </w:rPr>
              <w:t xml:space="preserve">The McGill study had </w:t>
            </w:r>
            <w:r w:rsidR="007E07ED">
              <w:rPr>
                <w:sz w:val="18"/>
                <w:szCs w:val="18"/>
              </w:rPr>
              <w:t>4</w:t>
            </w:r>
            <w:r>
              <w:rPr>
                <w:sz w:val="18"/>
                <w:szCs w:val="18"/>
              </w:rPr>
              <w:t xml:space="preserve"> aims:</w:t>
            </w:r>
          </w:p>
          <w:p w14:paraId="2C9074D6" w14:textId="63E2AB88" w:rsidR="00492118" w:rsidRDefault="00492118" w:rsidP="00492118">
            <w:pPr>
              <w:pStyle w:val="ListParagraph"/>
              <w:numPr>
                <w:ilvl w:val="0"/>
                <w:numId w:val="14"/>
              </w:numPr>
              <w:spacing w:before="120" w:after="120"/>
              <w:rPr>
                <w:sz w:val="18"/>
                <w:szCs w:val="18"/>
              </w:rPr>
            </w:pPr>
            <w:r>
              <w:rPr>
                <w:sz w:val="18"/>
                <w:szCs w:val="18"/>
              </w:rPr>
              <w:t xml:space="preserve">Compare use of medications by </w:t>
            </w:r>
            <w:r w:rsidR="00D43F8C">
              <w:rPr>
                <w:sz w:val="18"/>
                <w:szCs w:val="18"/>
              </w:rPr>
              <w:t>a physical therapist (PT)</w:t>
            </w:r>
            <w:r>
              <w:rPr>
                <w:sz w:val="18"/>
                <w:szCs w:val="18"/>
              </w:rPr>
              <w:t xml:space="preserve"> vs </w:t>
            </w:r>
            <w:r w:rsidR="00D43F8C">
              <w:rPr>
                <w:sz w:val="18"/>
                <w:szCs w:val="18"/>
              </w:rPr>
              <w:t>family practice (FP) physicians</w:t>
            </w:r>
            <w:r>
              <w:rPr>
                <w:sz w:val="18"/>
                <w:szCs w:val="18"/>
              </w:rPr>
              <w:t xml:space="preserve"> a</w:t>
            </w:r>
            <w:r w:rsidR="00D43F8C">
              <w:rPr>
                <w:sz w:val="18"/>
                <w:szCs w:val="18"/>
              </w:rPr>
              <w:t xml:space="preserve">cting as the </w:t>
            </w:r>
            <w:r>
              <w:rPr>
                <w:sz w:val="18"/>
                <w:szCs w:val="18"/>
              </w:rPr>
              <w:t xml:space="preserve">musculoskeletal </w:t>
            </w:r>
            <w:r w:rsidR="00D43F8C">
              <w:rPr>
                <w:sz w:val="18"/>
                <w:szCs w:val="18"/>
              </w:rPr>
              <w:t>primary care provider (</w:t>
            </w:r>
            <w:r>
              <w:rPr>
                <w:sz w:val="18"/>
                <w:szCs w:val="18"/>
              </w:rPr>
              <w:t>PCP</w:t>
            </w:r>
            <w:r w:rsidR="00D43F8C">
              <w:rPr>
                <w:sz w:val="18"/>
                <w:szCs w:val="18"/>
              </w:rPr>
              <w:t>)</w:t>
            </w:r>
          </w:p>
          <w:p w14:paraId="15DB48C7" w14:textId="16415A65" w:rsidR="00492118" w:rsidRDefault="00492118" w:rsidP="00492118">
            <w:pPr>
              <w:pStyle w:val="ListParagraph"/>
              <w:numPr>
                <w:ilvl w:val="0"/>
                <w:numId w:val="14"/>
              </w:numPr>
              <w:spacing w:before="120" w:after="120"/>
              <w:rPr>
                <w:sz w:val="18"/>
                <w:szCs w:val="18"/>
              </w:rPr>
            </w:pPr>
            <w:r>
              <w:rPr>
                <w:sz w:val="18"/>
                <w:szCs w:val="18"/>
              </w:rPr>
              <w:t>Compare us</w:t>
            </w:r>
            <w:r w:rsidR="003C62E4">
              <w:rPr>
                <w:sz w:val="18"/>
                <w:szCs w:val="18"/>
              </w:rPr>
              <w:t>e</w:t>
            </w:r>
            <w:r>
              <w:rPr>
                <w:sz w:val="18"/>
                <w:szCs w:val="18"/>
              </w:rPr>
              <w:t xml:space="preserve"> of imaging by PT vs FP as musculoskeletal PCP</w:t>
            </w:r>
          </w:p>
          <w:p w14:paraId="6F79CBAF" w14:textId="64357F19" w:rsidR="001D4F60" w:rsidRDefault="00492118" w:rsidP="00492118">
            <w:pPr>
              <w:pStyle w:val="ListParagraph"/>
              <w:numPr>
                <w:ilvl w:val="0"/>
                <w:numId w:val="14"/>
              </w:numPr>
              <w:spacing w:before="120" w:after="120"/>
              <w:rPr>
                <w:sz w:val="18"/>
                <w:szCs w:val="18"/>
              </w:rPr>
            </w:pPr>
            <w:r>
              <w:rPr>
                <w:sz w:val="18"/>
                <w:szCs w:val="18"/>
              </w:rPr>
              <w:t>Compare return-to-duty (RTD) rate by PT vs FP as musculoskeletal PCP</w:t>
            </w:r>
          </w:p>
          <w:p w14:paraId="2A3E7A44" w14:textId="7359DAF0" w:rsidR="007D2F52" w:rsidRPr="00492118" w:rsidRDefault="007D2F52" w:rsidP="00492118">
            <w:pPr>
              <w:pStyle w:val="ListParagraph"/>
              <w:numPr>
                <w:ilvl w:val="0"/>
                <w:numId w:val="14"/>
              </w:numPr>
              <w:spacing w:before="120" w:after="120"/>
              <w:rPr>
                <w:sz w:val="18"/>
                <w:szCs w:val="18"/>
              </w:rPr>
            </w:pPr>
            <w:r>
              <w:rPr>
                <w:sz w:val="18"/>
                <w:szCs w:val="18"/>
              </w:rPr>
              <w:t>Compare number of visits by PTs vs FP as musculoskeletal PCP</w:t>
            </w:r>
          </w:p>
        </w:tc>
      </w:tr>
      <w:tr w:rsidR="001D4F60" w:rsidRPr="002F16E1" w14:paraId="129E76EF" w14:textId="77777777" w:rsidTr="001D4F60">
        <w:tc>
          <w:tcPr>
            <w:tcW w:w="10421" w:type="dxa"/>
            <w:shd w:val="clear" w:color="auto" w:fill="E6E6E6"/>
          </w:tcPr>
          <w:p w14:paraId="2C4D7280" w14:textId="77777777" w:rsidR="001D4F60" w:rsidRPr="002F16E1" w:rsidRDefault="001D4F60" w:rsidP="009E380F">
            <w:pPr>
              <w:spacing w:before="120" w:after="120"/>
              <w:jc w:val="both"/>
              <w:rPr>
                <w:b/>
                <w:sz w:val="18"/>
                <w:szCs w:val="18"/>
              </w:rPr>
            </w:pPr>
            <w:r w:rsidRPr="002F16E1">
              <w:rPr>
                <w:b/>
                <w:sz w:val="18"/>
                <w:szCs w:val="18"/>
              </w:rPr>
              <w:t>Study Design</w:t>
            </w:r>
          </w:p>
          <w:p w14:paraId="322E6C59"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9FF4FA0"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72A25DB1" w14:textId="77777777" w:rsidTr="001D4F60">
        <w:tc>
          <w:tcPr>
            <w:tcW w:w="10421" w:type="dxa"/>
            <w:tcBorders>
              <w:bottom w:val="single" w:sz="4" w:space="0" w:color="auto"/>
            </w:tcBorders>
            <w:shd w:val="clear" w:color="auto" w:fill="auto"/>
          </w:tcPr>
          <w:p w14:paraId="13F9D663" w14:textId="75361570" w:rsidR="001D4F60" w:rsidRPr="002F16E1" w:rsidRDefault="00492118" w:rsidP="005B50FD">
            <w:pPr>
              <w:spacing w:before="120" w:after="120"/>
              <w:rPr>
                <w:sz w:val="18"/>
                <w:szCs w:val="18"/>
              </w:rPr>
            </w:pPr>
            <w:r>
              <w:rPr>
                <w:sz w:val="18"/>
                <w:szCs w:val="18"/>
              </w:rPr>
              <w:t>McGill conducted a retrospective chart review that consisted of 149 active-duty or civilian contracted personnel.  Using a conv</w:t>
            </w:r>
            <w:r w:rsidR="007D2F52">
              <w:rPr>
                <w:sz w:val="18"/>
                <w:szCs w:val="18"/>
              </w:rPr>
              <w:t>en</w:t>
            </w:r>
            <w:r>
              <w:rPr>
                <w:sz w:val="18"/>
                <w:szCs w:val="18"/>
              </w:rPr>
              <w:t>ience sampling technique, 54 PT-patient and 95 FP-patient charts were review</w:t>
            </w:r>
            <w:r w:rsidR="005B50FD">
              <w:rPr>
                <w:sz w:val="18"/>
                <w:szCs w:val="18"/>
              </w:rPr>
              <w:t>ed</w:t>
            </w:r>
            <w:r>
              <w:rPr>
                <w:sz w:val="18"/>
                <w:szCs w:val="18"/>
              </w:rPr>
              <w:t>.  McGill was responsible both for collecting the data and being the sole provider of physical therapy in the Department of Defense (DoD) health care system at th</w:t>
            </w:r>
            <w:r w:rsidR="005B50FD">
              <w:rPr>
                <w:sz w:val="18"/>
                <w:szCs w:val="18"/>
              </w:rPr>
              <w:t>e</w:t>
            </w:r>
            <w:r>
              <w:rPr>
                <w:sz w:val="18"/>
                <w:szCs w:val="18"/>
              </w:rPr>
              <w:t xml:space="preserve"> deployment location.  FP care was provided by two FP active-duty U.S. Air Force physicians.  For each chart review, information on use of medication and radiology and return to duty was gathered.  Medication and radiology utilizations w</w:t>
            </w:r>
            <w:r w:rsidR="00124088">
              <w:rPr>
                <w:sz w:val="18"/>
                <w:szCs w:val="18"/>
              </w:rPr>
              <w:t>ere</w:t>
            </w:r>
            <w:r>
              <w:rPr>
                <w:sz w:val="18"/>
                <w:szCs w:val="18"/>
              </w:rPr>
              <w:t xml:space="preserve"> categorically divided into “yes” or “no” depending on if it was prescribed or order</w:t>
            </w:r>
            <w:r w:rsidR="005B50FD">
              <w:rPr>
                <w:sz w:val="18"/>
                <w:szCs w:val="18"/>
              </w:rPr>
              <w:t>ed</w:t>
            </w:r>
            <w:r>
              <w:rPr>
                <w:sz w:val="18"/>
                <w:szCs w:val="18"/>
              </w:rPr>
              <w:t xml:space="preserve">.  PTs within the DoD are credentialed to order imaging and prescribe medications “limited to NSAIDS, inflammatories and muscle relaxants.”  </w:t>
            </w:r>
            <w:r w:rsidR="007E07ED">
              <w:rPr>
                <w:sz w:val="18"/>
                <w:szCs w:val="18"/>
              </w:rPr>
              <w:t>(</w:t>
            </w:r>
            <w:r w:rsidR="007E07ED" w:rsidRPr="007E07ED">
              <w:rPr>
                <w:i/>
                <w:iCs/>
                <w:sz w:val="18"/>
                <w:szCs w:val="18"/>
              </w:rPr>
              <w:t>page 1</w:t>
            </w:r>
            <w:r w:rsidR="007E07ED">
              <w:rPr>
                <w:sz w:val="18"/>
                <w:szCs w:val="18"/>
              </w:rPr>
              <w:t xml:space="preserve">) </w:t>
            </w:r>
            <w:r>
              <w:rPr>
                <w:sz w:val="18"/>
                <w:szCs w:val="18"/>
              </w:rPr>
              <w:t xml:space="preserve">RTD is defined as return to all duties and physical training times 7 days/week.  If an individual was required to wear body armor to serve, they had to complete 3 days of training in armor without complaints of symptoms to meet RTD status.  </w:t>
            </w:r>
            <w:r w:rsidR="005B50FD">
              <w:rPr>
                <w:sz w:val="18"/>
                <w:szCs w:val="18"/>
              </w:rPr>
              <w:t xml:space="preserve">RTD was also categorized as “yes” or “no” according to the defined criteria.  </w:t>
            </w:r>
            <w:r>
              <w:rPr>
                <w:sz w:val="18"/>
                <w:szCs w:val="18"/>
              </w:rPr>
              <w:t xml:space="preserve">A Fisher’s exact test was used for the 3 variables of interest (imaging, medication, RTD).  </w:t>
            </w:r>
            <w:r w:rsidR="005B50FD">
              <w:rPr>
                <w:sz w:val="18"/>
                <w:szCs w:val="18"/>
              </w:rPr>
              <w:t>Number of visits was also recorded and examined, but no description was provided for how this was done.</w:t>
            </w:r>
          </w:p>
        </w:tc>
      </w:tr>
      <w:tr w:rsidR="001D4F60" w:rsidRPr="002F16E1" w14:paraId="5CD7D4E6" w14:textId="77777777" w:rsidTr="001D4F60">
        <w:tc>
          <w:tcPr>
            <w:tcW w:w="10421" w:type="dxa"/>
            <w:shd w:val="clear" w:color="auto" w:fill="E6E6E6"/>
          </w:tcPr>
          <w:p w14:paraId="59F14550" w14:textId="77777777" w:rsidR="001D4F60" w:rsidRPr="002F16E1" w:rsidRDefault="001D4F60" w:rsidP="009E380F">
            <w:pPr>
              <w:spacing w:before="120" w:after="120"/>
              <w:rPr>
                <w:b/>
                <w:sz w:val="18"/>
                <w:szCs w:val="18"/>
              </w:rPr>
            </w:pPr>
            <w:r w:rsidRPr="002F16E1">
              <w:rPr>
                <w:b/>
                <w:sz w:val="18"/>
                <w:szCs w:val="18"/>
              </w:rPr>
              <w:t>Setting</w:t>
            </w:r>
          </w:p>
          <w:p w14:paraId="17FCEB33"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461C9D3" w14:textId="77777777" w:rsidTr="00B33981">
        <w:trPr>
          <w:trHeight w:val="498"/>
        </w:trPr>
        <w:tc>
          <w:tcPr>
            <w:tcW w:w="10421" w:type="dxa"/>
            <w:tcBorders>
              <w:bottom w:val="single" w:sz="4" w:space="0" w:color="auto"/>
            </w:tcBorders>
            <w:shd w:val="clear" w:color="auto" w:fill="auto"/>
          </w:tcPr>
          <w:p w14:paraId="33209786" w14:textId="02AC6506" w:rsidR="001D4F60" w:rsidRPr="002F16E1" w:rsidRDefault="00492118" w:rsidP="00B33981">
            <w:pPr>
              <w:spacing w:before="120" w:after="120"/>
              <w:rPr>
                <w:sz w:val="18"/>
                <w:szCs w:val="18"/>
              </w:rPr>
            </w:pPr>
            <w:r>
              <w:rPr>
                <w:sz w:val="18"/>
                <w:szCs w:val="18"/>
              </w:rPr>
              <w:t xml:space="preserve">This study took place in an outpatient family practice clinic at Craig Joint Base Theater Hospital in </w:t>
            </w:r>
            <w:r w:rsidR="005B50FD">
              <w:rPr>
                <w:sz w:val="18"/>
                <w:szCs w:val="18"/>
              </w:rPr>
              <w:t xml:space="preserve">the deployed combat location of </w:t>
            </w:r>
            <w:r>
              <w:rPr>
                <w:sz w:val="18"/>
                <w:szCs w:val="18"/>
              </w:rPr>
              <w:t xml:space="preserve">Bagram Airfield, Afghanistan.  </w:t>
            </w:r>
          </w:p>
        </w:tc>
      </w:tr>
      <w:tr w:rsidR="001D4F60" w:rsidRPr="002F16E1" w14:paraId="11E1B4C2" w14:textId="77777777" w:rsidTr="001D4F60">
        <w:tc>
          <w:tcPr>
            <w:tcW w:w="10421" w:type="dxa"/>
            <w:shd w:val="clear" w:color="auto" w:fill="E6E6E6"/>
          </w:tcPr>
          <w:p w14:paraId="36884479" w14:textId="77777777" w:rsidR="001D4F60" w:rsidRPr="002F16E1" w:rsidRDefault="001D4F60" w:rsidP="009E380F">
            <w:pPr>
              <w:spacing w:before="120" w:after="120"/>
              <w:rPr>
                <w:b/>
                <w:sz w:val="18"/>
                <w:szCs w:val="18"/>
              </w:rPr>
            </w:pPr>
            <w:r w:rsidRPr="002F16E1">
              <w:rPr>
                <w:b/>
                <w:sz w:val="18"/>
                <w:szCs w:val="18"/>
              </w:rPr>
              <w:t>Participants</w:t>
            </w:r>
          </w:p>
          <w:p w14:paraId="24B79EDD"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3565403"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51CD9569" w14:textId="77777777" w:rsidTr="001D4F60">
        <w:tc>
          <w:tcPr>
            <w:tcW w:w="10421" w:type="dxa"/>
            <w:tcBorders>
              <w:bottom w:val="single" w:sz="4" w:space="0" w:color="auto"/>
            </w:tcBorders>
            <w:shd w:val="clear" w:color="auto" w:fill="auto"/>
          </w:tcPr>
          <w:p w14:paraId="5A6AE484" w14:textId="0413C07D" w:rsidR="001D4F60" w:rsidRPr="002F16E1" w:rsidRDefault="00492118" w:rsidP="00824F08">
            <w:pPr>
              <w:spacing w:before="120" w:after="120"/>
              <w:rPr>
                <w:sz w:val="18"/>
                <w:szCs w:val="18"/>
              </w:rPr>
            </w:pPr>
            <w:r>
              <w:rPr>
                <w:sz w:val="18"/>
                <w:szCs w:val="18"/>
              </w:rPr>
              <w:t xml:space="preserve">A chart review was performed on 149 patients.  Eligibility criteria was active-duty or contract personnel, at least 18 years old and having a musculoskeletal complaint.  Patients with fractures, dislocations, trauma with deformity, or fever or pain </w:t>
            </w:r>
            <w:proofErr w:type="spellStart"/>
            <w:r>
              <w:rPr>
                <w:sz w:val="18"/>
                <w:szCs w:val="18"/>
              </w:rPr>
              <w:t>nonmusculoskeletal</w:t>
            </w:r>
            <w:proofErr w:type="spellEnd"/>
            <w:r>
              <w:rPr>
                <w:sz w:val="18"/>
                <w:szCs w:val="18"/>
              </w:rPr>
              <w:t xml:space="preserve"> in nature were excluded.  54 PT patients and 95 FP patients were randomly selected from the electronic database using a convenience sample technique.  Every 12</w:t>
            </w:r>
            <w:r w:rsidRPr="00492118">
              <w:rPr>
                <w:sz w:val="18"/>
                <w:szCs w:val="18"/>
                <w:vertAlign w:val="superscript"/>
              </w:rPr>
              <w:t>th</w:t>
            </w:r>
            <w:r>
              <w:rPr>
                <w:sz w:val="18"/>
                <w:szCs w:val="18"/>
              </w:rPr>
              <w:t xml:space="preserve"> patient chart was chosen if the patient met the criteria.  Patients were not randomized to PT or FP, instead patients were seen on a “first-come, first serve basis.”  Only direct access PT patients were included.  There were 2 FP PCP providers and a random sample of 95 was chosen, about 50 patients for each provider.  This size was chosen out of convenience; no power calculation was utilized.  Using the convenience sample technique and eligibility criteria, a total of 54 PT patient</w:t>
            </w:r>
            <w:r w:rsidR="007E07ED">
              <w:rPr>
                <w:sz w:val="18"/>
                <w:szCs w:val="18"/>
              </w:rPr>
              <w:t xml:space="preserve"> charts</w:t>
            </w:r>
            <w:r>
              <w:rPr>
                <w:sz w:val="18"/>
                <w:szCs w:val="18"/>
              </w:rPr>
              <w:t xml:space="preserve"> and 95 FP patient</w:t>
            </w:r>
            <w:r w:rsidR="007E07ED">
              <w:rPr>
                <w:sz w:val="18"/>
                <w:szCs w:val="18"/>
              </w:rPr>
              <w:t xml:space="preserve"> charts</w:t>
            </w:r>
            <w:r>
              <w:rPr>
                <w:sz w:val="18"/>
                <w:szCs w:val="18"/>
              </w:rPr>
              <w:t xml:space="preserve"> were examined.  The age range was 19-54 years old and 84% of the population was male.</w:t>
            </w:r>
            <w:r w:rsidR="003C62E4">
              <w:rPr>
                <w:sz w:val="18"/>
                <w:szCs w:val="18"/>
              </w:rPr>
              <w:t xml:space="preserve">  There was a variety of sites of musculoskeletal complaints including foot, ankle, knee, hip, lumbar, neck, shoulder, elbow and wrist regions. </w:t>
            </w:r>
          </w:p>
        </w:tc>
      </w:tr>
      <w:tr w:rsidR="001D4F60" w:rsidRPr="002F16E1" w14:paraId="7D545621" w14:textId="77777777" w:rsidTr="001D4F60">
        <w:tc>
          <w:tcPr>
            <w:tcW w:w="10421" w:type="dxa"/>
            <w:shd w:val="clear" w:color="auto" w:fill="E6E6E6"/>
          </w:tcPr>
          <w:p w14:paraId="56E9C7D7" w14:textId="77777777" w:rsidR="001D4F60" w:rsidRPr="002F16E1" w:rsidRDefault="001D4F60" w:rsidP="009E380F">
            <w:pPr>
              <w:spacing w:before="120" w:after="120"/>
              <w:rPr>
                <w:b/>
                <w:sz w:val="18"/>
                <w:szCs w:val="18"/>
              </w:rPr>
            </w:pPr>
            <w:r w:rsidRPr="002F16E1">
              <w:rPr>
                <w:b/>
                <w:sz w:val="18"/>
                <w:szCs w:val="18"/>
              </w:rPr>
              <w:t>Intervention Investigated</w:t>
            </w:r>
          </w:p>
          <w:p w14:paraId="61A4761E"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6E9F6087" w14:textId="77777777" w:rsidTr="001D4F60">
        <w:tc>
          <w:tcPr>
            <w:tcW w:w="10421" w:type="dxa"/>
            <w:shd w:val="clear" w:color="auto" w:fill="auto"/>
          </w:tcPr>
          <w:p w14:paraId="27792C25" w14:textId="77777777"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14:paraId="175896AE" w14:textId="77777777" w:rsidTr="001D4F60">
        <w:tc>
          <w:tcPr>
            <w:tcW w:w="10421" w:type="dxa"/>
            <w:shd w:val="clear" w:color="auto" w:fill="auto"/>
          </w:tcPr>
          <w:p w14:paraId="5391B1A3" w14:textId="234209FF" w:rsidR="001D4F60" w:rsidRPr="002F16E1" w:rsidRDefault="003C62E4" w:rsidP="009E380F">
            <w:pPr>
              <w:spacing w:before="120" w:after="120"/>
              <w:rPr>
                <w:sz w:val="18"/>
                <w:szCs w:val="18"/>
              </w:rPr>
            </w:pPr>
            <w:r>
              <w:rPr>
                <w:sz w:val="18"/>
                <w:szCs w:val="18"/>
              </w:rPr>
              <w:t>This was a retrospective cohort study attempting t</w:t>
            </w:r>
            <w:r w:rsidR="00C70AEC">
              <w:rPr>
                <w:sz w:val="18"/>
                <w:szCs w:val="18"/>
              </w:rPr>
              <w:t>o</w:t>
            </w:r>
            <w:r>
              <w:rPr>
                <w:sz w:val="18"/>
                <w:szCs w:val="18"/>
              </w:rPr>
              <w:t xml:space="preserve"> compare utilization of medication and imaging and return to duty rate differences between PTs versus FP</w:t>
            </w:r>
            <w:r w:rsidR="005B50FD">
              <w:rPr>
                <w:sz w:val="18"/>
                <w:szCs w:val="18"/>
              </w:rPr>
              <w:t>s</w:t>
            </w:r>
            <w:r>
              <w:rPr>
                <w:sz w:val="18"/>
                <w:szCs w:val="18"/>
              </w:rPr>
              <w:t xml:space="preserve"> as musculoskeletal PCPs in an outpatient family practice clinic in the deployment location of Bagram Airfield, Afghanistan.  The study attempted to make broader conclusions th</w:t>
            </w:r>
            <w:r w:rsidR="005B50FD">
              <w:rPr>
                <w:sz w:val="18"/>
                <w:szCs w:val="18"/>
              </w:rPr>
              <w:t>at</w:t>
            </w:r>
            <w:r>
              <w:rPr>
                <w:sz w:val="18"/>
                <w:szCs w:val="18"/>
              </w:rPr>
              <w:t xml:space="preserve"> PTs use medication and imaging less as compared to FP in deployed combat setting.  The study also attempted to show a better RTD rate </w:t>
            </w:r>
            <w:r w:rsidR="007D2F52">
              <w:rPr>
                <w:sz w:val="18"/>
                <w:szCs w:val="18"/>
              </w:rPr>
              <w:t xml:space="preserve">and reduced visit need </w:t>
            </w:r>
            <w:r>
              <w:rPr>
                <w:sz w:val="18"/>
                <w:szCs w:val="18"/>
              </w:rPr>
              <w:t>for PTs as PCP compared to FP as PCPs.</w:t>
            </w:r>
          </w:p>
        </w:tc>
      </w:tr>
      <w:tr w:rsidR="001D4F60" w:rsidRPr="002F16E1" w14:paraId="5FC19C0A" w14:textId="77777777" w:rsidTr="001D4F60">
        <w:tc>
          <w:tcPr>
            <w:tcW w:w="10421" w:type="dxa"/>
            <w:shd w:val="clear" w:color="auto" w:fill="auto"/>
          </w:tcPr>
          <w:p w14:paraId="3C994A3B"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593D1C27" w14:textId="77777777" w:rsidTr="001D4F60">
        <w:tc>
          <w:tcPr>
            <w:tcW w:w="10421" w:type="dxa"/>
            <w:tcBorders>
              <w:bottom w:val="single" w:sz="4" w:space="0" w:color="auto"/>
            </w:tcBorders>
            <w:shd w:val="clear" w:color="auto" w:fill="auto"/>
          </w:tcPr>
          <w:p w14:paraId="220948DD" w14:textId="04478231" w:rsidR="001D4F60" w:rsidRPr="002F16E1" w:rsidRDefault="005B50FD" w:rsidP="00D43F8C">
            <w:pPr>
              <w:spacing w:before="120" w:after="120"/>
              <w:rPr>
                <w:sz w:val="18"/>
                <w:szCs w:val="18"/>
              </w:rPr>
            </w:pPr>
            <w:r w:rsidRPr="005B50FD">
              <w:rPr>
                <w:sz w:val="18"/>
                <w:szCs w:val="18"/>
              </w:rPr>
              <w:t xml:space="preserve">NA- </w:t>
            </w:r>
            <w:r w:rsidR="00492118" w:rsidRPr="005B50FD">
              <w:rPr>
                <w:sz w:val="18"/>
                <w:szCs w:val="18"/>
              </w:rPr>
              <w:t>As this study was a retrospective</w:t>
            </w:r>
            <w:r w:rsidR="003C62E4" w:rsidRPr="005B50FD">
              <w:rPr>
                <w:sz w:val="18"/>
                <w:szCs w:val="18"/>
              </w:rPr>
              <w:t xml:space="preserve"> cohort study, there was no specific experimental group.</w:t>
            </w:r>
            <w:r w:rsidR="007D2F52" w:rsidRPr="005B50FD">
              <w:rPr>
                <w:sz w:val="18"/>
                <w:szCs w:val="18"/>
              </w:rPr>
              <w:t xml:space="preserve">  </w:t>
            </w:r>
            <w:r w:rsidRPr="005B50FD">
              <w:rPr>
                <w:sz w:val="18"/>
                <w:szCs w:val="18"/>
              </w:rPr>
              <w:t>Neither group was considered the control or experimental group.</w:t>
            </w:r>
          </w:p>
        </w:tc>
      </w:tr>
      <w:tr w:rsidR="001D4F60" w:rsidRPr="002F16E1" w14:paraId="210B417B" w14:textId="77777777" w:rsidTr="001D4F60">
        <w:tc>
          <w:tcPr>
            <w:tcW w:w="10421" w:type="dxa"/>
            <w:shd w:val="clear" w:color="auto" w:fill="E6E6E6"/>
          </w:tcPr>
          <w:p w14:paraId="186DE427" w14:textId="77777777" w:rsidR="001D4F60" w:rsidRPr="002F16E1" w:rsidRDefault="001D4F60" w:rsidP="009E380F">
            <w:pPr>
              <w:spacing w:before="120" w:after="120"/>
              <w:rPr>
                <w:sz w:val="18"/>
                <w:szCs w:val="18"/>
              </w:rPr>
            </w:pPr>
            <w:r w:rsidRPr="002F16E1">
              <w:rPr>
                <w:b/>
                <w:sz w:val="18"/>
                <w:szCs w:val="18"/>
              </w:rPr>
              <w:t>Outcome Measures</w:t>
            </w:r>
          </w:p>
          <w:p w14:paraId="4AD679CB"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38E8AF1B" w14:textId="77777777" w:rsidTr="001D4F60">
        <w:tc>
          <w:tcPr>
            <w:tcW w:w="10421" w:type="dxa"/>
            <w:tcBorders>
              <w:bottom w:val="single" w:sz="4" w:space="0" w:color="auto"/>
            </w:tcBorders>
            <w:shd w:val="clear" w:color="auto" w:fill="auto"/>
          </w:tcPr>
          <w:p w14:paraId="207B6544" w14:textId="14833D99" w:rsidR="005B50FD" w:rsidRPr="002F16E1" w:rsidRDefault="005B50FD" w:rsidP="007D2F52">
            <w:pPr>
              <w:spacing w:before="120" w:after="120"/>
              <w:rPr>
                <w:sz w:val="18"/>
                <w:szCs w:val="18"/>
              </w:rPr>
            </w:pPr>
            <w:r w:rsidRPr="005B50FD">
              <w:rPr>
                <w:sz w:val="18"/>
                <w:szCs w:val="18"/>
              </w:rPr>
              <w:t xml:space="preserve">The primary measures were radiology utilization, medication utilization, and return to duty rate.  One secondary outcome was considered, number of visits.  </w:t>
            </w:r>
            <w:r w:rsidR="007D2F52" w:rsidRPr="005B50FD">
              <w:rPr>
                <w:sz w:val="18"/>
                <w:szCs w:val="18"/>
              </w:rPr>
              <w:t xml:space="preserve">McGill reports use of a Fisher’s exact test was performed for the </w:t>
            </w:r>
            <w:r w:rsidRPr="005B50FD">
              <w:rPr>
                <w:sz w:val="18"/>
                <w:szCs w:val="18"/>
              </w:rPr>
              <w:t>3 primary</w:t>
            </w:r>
            <w:r w:rsidR="007D2F52" w:rsidRPr="005B50FD">
              <w:rPr>
                <w:sz w:val="18"/>
                <w:szCs w:val="18"/>
              </w:rPr>
              <w:t xml:space="preserve"> </w:t>
            </w:r>
            <w:r w:rsidRPr="005B50FD">
              <w:rPr>
                <w:sz w:val="18"/>
                <w:szCs w:val="18"/>
              </w:rPr>
              <w:t>measures</w:t>
            </w:r>
            <w:r w:rsidR="007D2F52" w:rsidRPr="005B50FD">
              <w:rPr>
                <w:sz w:val="18"/>
                <w:szCs w:val="18"/>
              </w:rPr>
              <w:t xml:space="preserve"> of interest (imaging, medication, RTD).  Imaging</w:t>
            </w:r>
            <w:r w:rsidRPr="005B50FD">
              <w:rPr>
                <w:sz w:val="18"/>
                <w:szCs w:val="18"/>
              </w:rPr>
              <w:t>,</w:t>
            </w:r>
            <w:r w:rsidR="007D2F52" w:rsidRPr="005B50FD">
              <w:rPr>
                <w:sz w:val="18"/>
                <w:szCs w:val="18"/>
              </w:rPr>
              <w:t xml:space="preserve"> medication</w:t>
            </w:r>
            <w:r w:rsidRPr="005B50FD">
              <w:rPr>
                <w:sz w:val="18"/>
                <w:szCs w:val="18"/>
              </w:rPr>
              <w:t xml:space="preserve"> and RTD</w:t>
            </w:r>
            <w:r w:rsidR="007D2F52" w:rsidRPr="005B50FD">
              <w:rPr>
                <w:sz w:val="18"/>
                <w:szCs w:val="18"/>
              </w:rPr>
              <w:t xml:space="preserve"> were divided into “yes” or “no” categories.  No raw data was reported.  </w:t>
            </w:r>
            <w:r w:rsidRPr="005B50FD">
              <w:rPr>
                <w:sz w:val="18"/>
                <w:szCs w:val="18"/>
              </w:rPr>
              <w:t>There was no use of standardized outcome measures.</w:t>
            </w:r>
          </w:p>
        </w:tc>
      </w:tr>
      <w:tr w:rsidR="001D4F60" w:rsidRPr="002F16E1" w14:paraId="39527BA8" w14:textId="77777777" w:rsidTr="001D4F60">
        <w:tc>
          <w:tcPr>
            <w:tcW w:w="10421" w:type="dxa"/>
            <w:tcBorders>
              <w:bottom w:val="single" w:sz="4" w:space="0" w:color="auto"/>
            </w:tcBorders>
            <w:shd w:val="clear" w:color="auto" w:fill="E6E6E6"/>
          </w:tcPr>
          <w:p w14:paraId="51926AA3" w14:textId="77777777" w:rsidR="001D4F60" w:rsidRPr="002F16E1" w:rsidRDefault="001D4F60" w:rsidP="009E380F">
            <w:pPr>
              <w:spacing w:before="120" w:after="120"/>
              <w:rPr>
                <w:b/>
                <w:sz w:val="18"/>
                <w:szCs w:val="18"/>
              </w:rPr>
            </w:pPr>
            <w:r w:rsidRPr="002F16E1">
              <w:rPr>
                <w:b/>
                <w:sz w:val="18"/>
                <w:szCs w:val="18"/>
              </w:rPr>
              <w:t>Main Findings</w:t>
            </w:r>
          </w:p>
          <w:p w14:paraId="7911C228"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A69AE9F" w14:textId="77777777" w:rsidTr="001D4F60">
        <w:tc>
          <w:tcPr>
            <w:tcW w:w="10421" w:type="dxa"/>
            <w:tcBorders>
              <w:bottom w:val="single" w:sz="4" w:space="0" w:color="auto"/>
            </w:tcBorders>
            <w:shd w:val="clear" w:color="auto" w:fill="auto"/>
          </w:tcPr>
          <w:p w14:paraId="3AFCA62D" w14:textId="3F7084B1" w:rsidR="005B50FD" w:rsidRDefault="005B50FD" w:rsidP="005B50FD">
            <w:pPr>
              <w:rPr>
                <w:sz w:val="18"/>
                <w:szCs w:val="18"/>
              </w:rPr>
            </w:pPr>
            <w:r>
              <w:rPr>
                <w:sz w:val="18"/>
                <w:szCs w:val="18"/>
              </w:rPr>
              <w:t>Figure</w:t>
            </w:r>
            <w:r w:rsidR="007D2F52">
              <w:rPr>
                <w:sz w:val="18"/>
                <w:szCs w:val="18"/>
              </w:rPr>
              <w:t xml:space="preserve"> 1. Radiology Utilization</w:t>
            </w:r>
            <w:r>
              <w:rPr>
                <w:sz w:val="18"/>
                <w:szCs w:val="18"/>
              </w:rPr>
              <w:t xml:space="preserve"> </w:t>
            </w:r>
          </w:p>
          <w:p w14:paraId="64915477" w14:textId="10A71E91" w:rsidR="007D2F52" w:rsidRPr="005B50FD" w:rsidRDefault="005B50FD" w:rsidP="005B50FD">
            <w:pPr>
              <w:rPr>
                <w:i/>
                <w:iCs/>
                <w:sz w:val="18"/>
                <w:szCs w:val="18"/>
              </w:rPr>
            </w:pPr>
            <w:r>
              <w:rPr>
                <w:i/>
                <w:iCs/>
                <w:sz w:val="18"/>
                <w:szCs w:val="18"/>
              </w:rPr>
              <w:t>Adapted from Figure 2 on page 3 of article.</w:t>
            </w:r>
          </w:p>
          <w:p w14:paraId="366239AA" w14:textId="77777777" w:rsidR="007D2F52" w:rsidRPr="002F16E1" w:rsidRDefault="007D2F52" w:rsidP="007D2F52">
            <w:pPr>
              <w:spacing w:before="120" w:after="120"/>
              <w:jc w:val="center"/>
              <w:rPr>
                <w:sz w:val="18"/>
                <w:szCs w:val="18"/>
              </w:rPr>
            </w:pPr>
            <w:r>
              <w:rPr>
                <w:noProof/>
                <w:sz w:val="18"/>
                <w:szCs w:val="18"/>
              </w:rPr>
              <w:drawing>
                <wp:inline distT="0" distB="0" distL="0" distR="0" wp14:anchorId="30F5918C" wp14:editId="437C73DB">
                  <wp:extent cx="4006392" cy="1894787"/>
                  <wp:effectExtent l="0" t="0" r="698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4AFFD4" w14:textId="77777777" w:rsidR="007D2F52" w:rsidRDefault="007D2F52" w:rsidP="007D2F52">
            <w:pPr>
              <w:spacing w:before="120" w:after="120"/>
              <w:rPr>
                <w:sz w:val="18"/>
                <w:szCs w:val="18"/>
              </w:rPr>
            </w:pPr>
            <w:r>
              <w:rPr>
                <w:sz w:val="18"/>
                <w:szCs w:val="18"/>
              </w:rPr>
              <w:t xml:space="preserve">Utilization of radiology was found in </w:t>
            </w:r>
            <w:r w:rsidRPr="007D2F52">
              <w:rPr>
                <w:b/>
                <w:bCs/>
                <w:sz w:val="18"/>
                <w:szCs w:val="18"/>
              </w:rPr>
              <w:t>11.11%</w:t>
            </w:r>
            <w:r>
              <w:rPr>
                <w:sz w:val="18"/>
                <w:szCs w:val="18"/>
              </w:rPr>
              <w:t xml:space="preserve"> of chart reviews when the </w:t>
            </w:r>
            <w:r w:rsidRPr="007D2F52">
              <w:rPr>
                <w:b/>
                <w:bCs/>
                <w:sz w:val="18"/>
                <w:szCs w:val="18"/>
              </w:rPr>
              <w:t>PT</w:t>
            </w:r>
            <w:r>
              <w:rPr>
                <w:sz w:val="18"/>
                <w:szCs w:val="18"/>
              </w:rPr>
              <w:t xml:space="preserve"> was the PCP. Utilization of radiology was found in </w:t>
            </w:r>
            <w:r w:rsidRPr="007D2F52">
              <w:rPr>
                <w:b/>
                <w:bCs/>
                <w:sz w:val="18"/>
                <w:szCs w:val="18"/>
              </w:rPr>
              <w:t>82.11%</w:t>
            </w:r>
            <w:r>
              <w:rPr>
                <w:sz w:val="18"/>
                <w:szCs w:val="18"/>
              </w:rPr>
              <w:t xml:space="preserve"> of chart reviews when the </w:t>
            </w:r>
            <w:r w:rsidRPr="007D2F52">
              <w:rPr>
                <w:b/>
                <w:bCs/>
                <w:sz w:val="18"/>
                <w:szCs w:val="18"/>
              </w:rPr>
              <w:t>FP</w:t>
            </w:r>
            <w:r>
              <w:rPr>
                <w:sz w:val="18"/>
                <w:szCs w:val="18"/>
              </w:rPr>
              <w:t xml:space="preserve"> was the PCP.  McGill defined the difference as </w:t>
            </w:r>
            <w:r>
              <w:rPr>
                <w:b/>
                <w:bCs/>
                <w:sz w:val="18"/>
                <w:szCs w:val="18"/>
              </w:rPr>
              <w:t>statistically</w:t>
            </w:r>
            <w:r>
              <w:rPr>
                <w:sz w:val="18"/>
                <w:szCs w:val="18"/>
              </w:rPr>
              <w:t xml:space="preserve"> </w:t>
            </w:r>
            <w:r w:rsidRPr="007D2F52">
              <w:rPr>
                <w:b/>
                <w:bCs/>
                <w:sz w:val="18"/>
                <w:szCs w:val="18"/>
              </w:rPr>
              <w:t>significant</w:t>
            </w:r>
            <w:r>
              <w:rPr>
                <w:b/>
                <w:bCs/>
                <w:sz w:val="18"/>
                <w:szCs w:val="18"/>
              </w:rPr>
              <w:t xml:space="preserve"> difference</w:t>
            </w:r>
            <w:r>
              <w:rPr>
                <w:sz w:val="18"/>
                <w:szCs w:val="18"/>
              </w:rPr>
              <w:t xml:space="preserve"> (p &lt;0.0001).</w:t>
            </w:r>
          </w:p>
          <w:p w14:paraId="65455662" w14:textId="77777777" w:rsidR="007D2F52" w:rsidRDefault="007D2F52" w:rsidP="007D2F52">
            <w:pPr>
              <w:spacing w:before="120" w:after="120"/>
              <w:rPr>
                <w:sz w:val="18"/>
                <w:szCs w:val="18"/>
              </w:rPr>
            </w:pPr>
          </w:p>
          <w:p w14:paraId="4286B384" w14:textId="77777777" w:rsidR="007E07ED" w:rsidRDefault="007E07ED" w:rsidP="005B50FD">
            <w:pPr>
              <w:rPr>
                <w:sz w:val="18"/>
                <w:szCs w:val="18"/>
              </w:rPr>
            </w:pPr>
          </w:p>
          <w:p w14:paraId="0B30EA43" w14:textId="77777777" w:rsidR="007E07ED" w:rsidRDefault="007E07ED" w:rsidP="005B50FD">
            <w:pPr>
              <w:rPr>
                <w:sz w:val="18"/>
                <w:szCs w:val="18"/>
              </w:rPr>
            </w:pPr>
          </w:p>
          <w:p w14:paraId="511EEA25" w14:textId="77777777" w:rsidR="007E07ED" w:rsidRDefault="007E07ED" w:rsidP="005B50FD">
            <w:pPr>
              <w:rPr>
                <w:sz w:val="18"/>
                <w:szCs w:val="18"/>
              </w:rPr>
            </w:pPr>
          </w:p>
          <w:p w14:paraId="47DCEF08" w14:textId="77777777" w:rsidR="007E07ED" w:rsidRDefault="007E07ED" w:rsidP="005B50FD">
            <w:pPr>
              <w:rPr>
                <w:sz w:val="18"/>
                <w:szCs w:val="18"/>
              </w:rPr>
            </w:pPr>
          </w:p>
          <w:p w14:paraId="603E2550" w14:textId="77777777" w:rsidR="007E07ED" w:rsidRDefault="007E07ED" w:rsidP="005B50FD">
            <w:pPr>
              <w:rPr>
                <w:sz w:val="18"/>
                <w:szCs w:val="18"/>
              </w:rPr>
            </w:pPr>
          </w:p>
          <w:p w14:paraId="3459A073" w14:textId="77777777" w:rsidR="007E07ED" w:rsidRDefault="007E07ED" w:rsidP="005B50FD">
            <w:pPr>
              <w:rPr>
                <w:sz w:val="18"/>
                <w:szCs w:val="18"/>
              </w:rPr>
            </w:pPr>
          </w:p>
          <w:p w14:paraId="114A249A" w14:textId="77777777" w:rsidR="007E07ED" w:rsidRDefault="007E07ED" w:rsidP="005B50FD">
            <w:pPr>
              <w:rPr>
                <w:sz w:val="18"/>
                <w:szCs w:val="18"/>
              </w:rPr>
            </w:pPr>
          </w:p>
          <w:p w14:paraId="7100A075" w14:textId="77777777" w:rsidR="007E07ED" w:rsidRDefault="007E07ED" w:rsidP="005B50FD">
            <w:pPr>
              <w:rPr>
                <w:sz w:val="18"/>
                <w:szCs w:val="18"/>
              </w:rPr>
            </w:pPr>
          </w:p>
          <w:p w14:paraId="0B8BCAD5" w14:textId="77777777" w:rsidR="007E07ED" w:rsidRDefault="007E07ED" w:rsidP="005B50FD">
            <w:pPr>
              <w:rPr>
                <w:sz w:val="18"/>
                <w:szCs w:val="18"/>
              </w:rPr>
            </w:pPr>
          </w:p>
          <w:p w14:paraId="17F95DDC" w14:textId="77777777" w:rsidR="007E07ED" w:rsidRDefault="007E07ED" w:rsidP="005B50FD">
            <w:pPr>
              <w:rPr>
                <w:sz w:val="18"/>
                <w:szCs w:val="18"/>
              </w:rPr>
            </w:pPr>
          </w:p>
          <w:p w14:paraId="1134E27B" w14:textId="77777777" w:rsidR="007E07ED" w:rsidRDefault="007E07ED" w:rsidP="005B50FD">
            <w:pPr>
              <w:rPr>
                <w:sz w:val="18"/>
                <w:szCs w:val="18"/>
              </w:rPr>
            </w:pPr>
          </w:p>
          <w:p w14:paraId="40661BB6" w14:textId="77777777" w:rsidR="007E07ED" w:rsidRDefault="007E07ED" w:rsidP="005B50FD">
            <w:pPr>
              <w:rPr>
                <w:sz w:val="18"/>
                <w:szCs w:val="18"/>
              </w:rPr>
            </w:pPr>
          </w:p>
          <w:p w14:paraId="062B0B27" w14:textId="77777777" w:rsidR="007E07ED" w:rsidRDefault="007E07ED" w:rsidP="005B50FD">
            <w:pPr>
              <w:rPr>
                <w:sz w:val="18"/>
                <w:szCs w:val="18"/>
              </w:rPr>
            </w:pPr>
          </w:p>
          <w:p w14:paraId="04189D02" w14:textId="77777777" w:rsidR="007E07ED" w:rsidRDefault="007E07ED" w:rsidP="005B50FD">
            <w:pPr>
              <w:rPr>
                <w:sz w:val="18"/>
                <w:szCs w:val="18"/>
              </w:rPr>
            </w:pPr>
          </w:p>
          <w:p w14:paraId="61B990B1" w14:textId="77777777" w:rsidR="007E07ED" w:rsidRDefault="007E07ED" w:rsidP="005B50FD">
            <w:pPr>
              <w:rPr>
                <w:sz w:val="18"/>
                <w:szCs w:val="18"/>
              </w:rPr>
            </w:pPr>
          </w:p>
          <w:p w14:paraId="7DD561E3" w14:textId="77777777" w:rsidR="007E07ED" w:rsidRDefault="007E07ED" w:rsidP="005B50FD">
            <w:pPr>
              <w:rPr>
                <w:sz w:val="18"/>
                <w:szCs w:val="18"/>
              </w:rPr>
            </w:pPr>
          </w:p>
          <w:p w14:paraId="2C1E163E" w14:textId="77777777" w:rsidR="007E07ED" w:rsidRDefault="007E07ED" w:rsidP="005B50FD">
            <w:pPr>
              <w:rPr>
                <w:sz w:val="18"/>
                <w:szCs w:val="18"/>
              </w:rPr>
            </w:pPr>
          </w:p>
          <w:p w14:paraId="300FDCDF" w14:textId="7E194FFA" w:rsidR="007D2F52" w:rsidRDefault="005B50FD" w:rsidP="005B50FD">
            <w:pPr>
              <w:rPr>
                <w:sz w:val="18"/>
                <w:szCs w:val="18"/>
              </w:rPr>
            </w:pPr>
            <w:r>
              <w:rPr>
                <w:sz w:val="18"/>
                <w:szCs w:val="18"/>
              </w:rPr>
              <w:lastRenderedPageBreak/>
              <w:t>Figure</w:t>
            </w:r>
            <w:r w:rsidR="007D2F52">
              <w:rPr>
                <w:sz w:val="18"/>
                <w:szCs w:val="18"/>
              </w:rPr>
              <w:t xml:space="preserve"> 2. Medication Utilization </w:t>
            </w:r>
          </w:p>
          <w:p w14:paraId="0B0E9F16" w14:textId="5B94F5AC" w:rsidR="005B50FD" w:rsidRPr="005B50FD" w:rsidRDefault="005B50FD" w:rsidP="005B50FD">
            <w:pPr>
              <w:rPr>
                <w:i/>
                <w:iCs/>
                <w:sz w:val="18"/>
                <w:szCs w:val="18"/>
              </w:rPr>
            </w:pPr>
            <w:r>
              <w:rPr>
                <w:i/>
                <w:iCs/>
                <w:sz w:val="18"/>
                <w:szCs w:val="18"/>
              </w:rPr>
              <w:t>Adapted from Figure 3 on page 4 of article.</w:t>
            </w:r>
          </w:p>
          <w:p w14:paraId="6B9926BC" w14:textId="77777777" w:rsidR="007D2F52" w:rsidRPr="002F16E1" w:rsidRDefault="007D2F52" w:rsidP="007D2F52">
            <w:pPr>
              <w:spacing w:before="120" w:after="120"/>
              <w:jc w:val="center"/>
              <w:rPr>
                <w:sz w:val="18"/>
                <w:szCs w:val="18"/>
              </w:rPr>
            </w:pPr>
            <w:r>
              <w:rPr>
                <w:noProof/>
                <w:sz w:val="18"/>
                <w:szCs w:val="18"/>
              </w:rPr>
              <w:drawing>
                <wp:inline distT="0" distB="0" distL="0" distR="0" wp14:anchorId="6638D38B" wp14:editId="2D187482">
                  <wp:extent cx="4006215" cy="2375555"/>
                  <wp:effectExtent l="0" t="0" r="698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6FDE53" w14:textId="21C8775A" w:rsidR="007D2F52" w:rsidRDefault="007D2F52" w:rsidP="007D2F52">
            <w:pPr>
              <w:spacing w:before="120" w:after="120"/>
              <w:rPr>
                <w:sz w:val="18"/>
                <w:szCs w:val="18"/>
              </w:rPr>
            </w:pPr>
            <w:r>
              <w:rPr>
                <w:sz w:val="18"/>
                <w:szCs w:val="18"/>
              </w:rPr>
              <w:t xml:space="preserve">Utilization of medication was found in </w:t>
            </w:r>
            <w:r>
              <w:rPr>
                <w:b/>
                <w:bCs/>
                <w:sz w:val="18"/>
                <w:szCs w:val="18"/>
              </w:rPr>
              <w:t>24.07</w:t>
            </w:r>
            <w:r w:rsidRPr="007D2F52">
              <w:rPr>
                <w:b/>
                <w:bCs/>
                <w:sz w:val="18"/>
                <w:szCs w:val="18"/>
              </w:rPr>
              <w:t>%</w:t>
            </w:r>
            <w:r>
              <w:rPr>
                <w:sz w:val="18"/>
                <w:szCs w:val="18"/>
              </w:rPr>
              <w:t xml:space="preserve"> of chart reviews when the </w:t>
            </w:r>
            <w:r w:rsidRPr="007D2F52">
              <w:rPr>
                <w:b/>
                <w:bCs/>
                <w:color w:val="000000" w:themeColor="text1"/>
                <w:sz w:val="18"/>
                <w:szCs w:val="18"/>
              </w:rPr>
              <w:t>PT</w:t>
            </w:r>
            <w:r>
              <w:rPr>
                <w:sz w:val="18"/>
                <w:szCs w:val="18"/>
              </w:rPr>
              <w:t xml:space="preserve"> was the PCP. Utilization of medication was found in </w:t>
            </w:r>
            <w:r w:rsidRPr="007D2F52">
              <w:rPr>
                <w:b/>
                <w:bCs/>
                <w:sz w:val="18"/>
                <w:szCs w:val="18"/>
              </w:rPr>
              <w:t>90.53%</w:t>
            </w:r>
            <w:r>
              <w:rPr>
                <w:sz w:val="18"/>
                <w:szCs w:val="18"/>
              </w:rPr>
              <w:t xml:space="preserve"> of chart reviews when the </w:t>
            </w:r>
            <w:r w:rsidRPr="007D2F52">
              <w:rPr>
                <w:b/>
                <w:bCs/>
                <w:sz w:val="18"/>
                <w:szCs w:val="18"/>
              </w:rPr>
              <w:t>FP</w:t>
            </w:r>
            <w:r>
              <w:rPr>
                <w:sz w:val="18"/>
                <w:szCs w:val="18"/>
              </w:rPr>
              <w:t xml:space="preserve"> was the PCP.  McGill defined the difference as </w:t>
            </w:r>
            <w:r>
              <w:rPr>
                <w:b/>
                <w:bCs/>
                <w:sz w:val="18"/>
                <w:szCs w:val="18"/>
              </w:rPr>
              <w:t>statistically</w:t>
            </w:r>
            <w:r>
              <w:rPr>
                <w:sz w:val="18"/>
                <w:szCs w:val="18"/>
              </w:rPr>
              <w:t xml:space="preserve"> </w:t>
            </w:r>
            <w:r w:rsidRPr="007D2F52">
              <w:rPr>
                <w:b/>
                <w:bCs/>
                <w:sz w:val="18"/>
                <w:szCs w:val="18"/>
              </w:rPr>
              <w:t>significant</w:t>
            </w:r>
            <w:r>
              <w:rPr>
                <w:b/>
                <w:bCs/>
                <w:sz w:val="18"/>
                <w:szCs w:val="18"/>
              </w:rPr>
              <w:t xml:space="preserve"> difference</w:t>
            </w:r>
            <w:r>
              <w:rPr>
                <w:sz w:val="18"/>
                <w:szCs w:val="18"/>
              </w:rPr>
              <w:t xml:space="preserve"> (p &lt;0.0001).  </w:t>
            </w:r>
          </w:p>
          <w:p w14:paraId="77B102DF" w14:textId="77777777" w:rsidR="007D2F52" w:rsidRDefault="007D2F52" w:rsidP="007D2F52">
            <w:pPr>
              <w:spacing w:before="120" w:after="120"/>
              <w:rPr>
                <w:sz w:val="18"/>
                <w:szCs w:val="18"/>
              </w:rPr>
            </w:pPr>
          </w:p>
          <w:p w14:paraId="5CC8146E" w14:textId="73EAF854" w:rsidR="007D2F52" w:rsidRPr="005B50FD" w:rsidRDefault="007D2F52" w:rsidP="007D2F52">
            <w:pPr>
              <w:spacing w:after="120"/>
              <w:rPr>
                <w:sz w:val="18"/>
                <w:szCs w:val="18"/>
              </w:rPr>
            </w:pPr>
            <w:r w:rsidRPr="005B50FD">
              <w:rPr>
                <w:sz w:val="18"/>
                <w:szCs w:val="18"/>
              </w:rPr>
              <w:t>Number of Visit</w:t>
            </w:r>
            <w:r w:rsidR="001835CF">
              <w:rPr>
                <w:sz w:val="18"/>
                <w:szCs w:val="18"/>
              </w:rPr>
              <w:t>s</w:t>
            </w:r>
          </w:p>
          <w:p w14:paraId="02C49DB3" w14:textId="4F67FC7F" w:rsidR="007D2F52" w:rsidRPr="005B50FD" w:rsidRDefault="007D2F52" w:rsidP="007D2F52">
            <w:pPr>
              <w:spacing w:after="120"/>
              <w:rPr>
                <w:sz w:val="18"/>
                <w:szCs w:val="18"/>
              </w:rPr>
            </w:pPr>
            <w:r w:rsidRPr="005B50FD">
              <w:rPr>
                <w:sz w:val="18"/>
                <w:szCs w:val="18"/>
              </w:rPr>
              <w:t xml:space="preserve">No raw data or percentage descriptors </w:t>
            </w:r>
            <w:r w:rsidR="007E07ED">
              <w:rPr>
                <w:sz w:val="18"/>
                <w:szCs w:val="18"/>
              </w:rPr>
              <w:t xml:space="preserve">were </w:t>
            </w:r>
            <w:r w:rsidRPr="005B50FD">
              <w:rPr>
                <w:sz w:val="18"/>
                <w:szCs w:val="18"/>
              </w:rPr>
              <w:t xml:space="preserve">given for number of visits. McGill defined </w:t>
            </w:r>
            <w:r w:rsidRPr="005B50FD">
              <w:rPr>
                <w:b/>
                <w:bCs/>
                <w:sz w:val="18"/>
                <w:szCs w:val="18"/>
              </w:rPr>
              <w:t>no significant difference</w:t>
            </w:r>
            <w:r w:rsidRPr="005B50FD">
              <w:rPr>
                <w:sz w:val="18"/>
                <w:szCs w:val="18"/>
              </w:rPr>
              <w:t xml:space="preserve"> between groups</w:t>
            </w:r>
            <w:r w:rsidR="00D43F8C" w:rsidRPr="005B50FD">
              <w:rPr>
                <w:sz w:val="18"/>
                <w:szCs w:val="18"/>
              </w:rPr>
              <w:t xml:space="preserve"> (p &lt;0.0001).  </w:t>
            </w:r>
          </w:p>
          <w:p w14:paraId="4BE2986B" w14:textId="77777777" w:rsidR="007D2F52" w:rsidRPr="005B50FD" w:rsidRDefault="007D2F52" w:rsidP="007D2F52">
            <w:pPr>
              <w:spacing w:before="120" w:after="120"/>
              <w:rPr>
                <w:sz w:val="18"/>
                <w:szCs w:val="18"/>
              </w:rPr>
            </w:pPr>
          </w:p>
          <w:p w14:paraId="4EFE2A26" w14:textId="77777777" w:rsidR="007D2F52" w:rsidRPr="005B50FD" w:rsidRDefault="007D2F52" w:rsidP="007D2F52">
            <w:pPr>
              <w:spacing w:after="120"/>
              <w:rPr>
                <w:sz w:val="18"/>
                <w:szCs w:val="18"/>
              </w:rPr>
            </w:pPr>
            <w:r w:rsidRPr="005B50FD">
              <w:rPr>
                <w:sz w:val="18"/>
                <w:szCs w:val="18"/>
              </w:rPr>
              <w:t>Return to Duty</w:t>
            </w:r>
          </w:p>
          <w:p w14:paraId="6082F123" w14:textId="7581F2EE" w:rsidR="001D4F60" w:rsidRPr="002F16E1" w:rsidRDefault="007D2F52" w:rsidP="007D2F52">
            <w:pPr>
              <w:spacing w:before="120" w:after="120"/>
              <w:rPr>
                <w:sz w:val="18"/>
                <w:szCs w:val="18"/>
              </w:rPr>
            </w:pPr>
            <w:r w:rsidRPr="005B50FD">
              <w:rPr>
                <w:sz w:val="18"/>
                <w:szCs w:val="18"/>
              </w:rPr>
              <w:t xml:space="preserve">No raw data </w:t>
            </w:r>
            <w:r w:rsidR="007E07ED">
              <w:rPr>
                <w:sz w:val="18"/>
                <w:szCs w:val="18"/>
              </w:rPr>
              <w:t>was provided</w:t>
            </w:r>
            <w:r w:rsidRPr="005B50FD">
              <w:rPr>
                <w:sz w:val="18"/>
                <w:szCs w:val="18"/>
              </w:rPr>
              <w:t xml:space="preserve">. McGill defined </w:t>
            </w:r>
            <w:r w:rsidR="007E07ED">
              <w:rPr>
                <w:sz w:val="18"/>
                <w:szCs w:val="18"/>
              </w:rPr>
              <w:t xml:space="preserve">a </w:t>
            </w:r>
            <w:r w:rsidRPr="005B50FD">
              <w:rPr>
                <w:b/>
                <w:bCs/>
                <w:sz w:val="18"/>
                <w:szCs w:val="18"/>
              </w:rPr>
              <w:t>statistically</w:t>
            </w:r>
            <w:r w:rsidRPr="005B50FD">
              <w:rPr>
                <w:sz w:val="18"/>
                <w:szCs w:val="18"/>
              </w:rPr>
              <w:t xml:space="preserve"> </w:t>
            </w:r>
            <w:r w:rsidRPr="005B50FD">
              <w:rPr>
                <w:b/>
                <w:bCs/>
                <w:sz w:val="18"/>
                <w:szCs w:val="18"/>
              </w:rPr>
              <w:t xml:space="preserve">significant difference </w:t>
            </w:r>
            <w:r w:rsidRPr="005B50FD">
              <w:rPr>
                <w:sz w:val="18"/>
                <w:szCs w:val="18"/>
              </w:rPr>
              <w:t>(p &lt;0.0001)</w:t>
            </w:r>
            <w:r w:rsidR="007E07ED">
              <w:rPr>
                <w:sz w:val="18"/>
                <w:szCs w:val="18"/>
              </w:rPr>
              <w:t xml:space="preserve"> between groups</w:t>
            </w:r>
            <w:r w:rsidRPr="005B50FD">
              <w:rPr>
                <w:sz w:val="18"/>
                <w:szCs w:val="18"/>
              </w:rPr>
              <w:t xml:space="preserve">.  </w:t>
            </w:r>
            <w:r w:rsidR="005B50FD" w:rsidRPr="005B50FD">
              <w:rPr>
                <w:sz w:val="18"/>
                <w:szCs w:val="18"/>
              </w:rPr>
              <w:t xml:space="preserve">McGill reported RTD rate was </w:t>
            </w:r>
            <w:r w:rsidR="005B50FD" w:rsidRPr="005B50FD">
              <w:rPr>
                <w:b/>
                <w:bCs/>
                <w:sz w:val="18"/>
                <w:szCs w:val="18"/>
              </w:rPr>
              <w:t>50% greater</w:t>
            </w:r>
            <w:r w:rsidR="005B50FD" w:rsidRPr="005B50FD">
              <w:rPr>
                <w:sz w:val="18"/>
                <w:szCs w:val="18"/>
              </w:rPr>
              <w:t xml:space="preserve"> when the </w:t>
            </w:r>
            <w:r w:rsidR="005B50FD" w:rsidRPr="005B50FD">
              <w:rPr>
                <w:b/>
                <w:bCs/>
                <w:sz w:val="18"/>
                <w:szCs w:val="18"/>
              </w:rPr>
              <w:t>PT</w:t>
            </w:r>
            <w:r w:rsidR="005B50FD" w:rsidRPr="005B50FD">
              <w:rPr>
                <w:sz w:val="18"/>
                <w:szCs w:val="18"/>
              </w:rPr>
              <w:t xml:space="preserve"> was the PCP.</w:t>
            </w:r>
          </w:p>
        </w:tc>
      </w:tr>
      <w:tr w:rsidR="001D4F60" w:rsidRPr="002F16E1" w14:paraId="0EB04FE9" w14:textId="77777777" w:rsidTr="001D4F60">
        <w:tc>
          <w:tcPr>
            <w:tcW w:w="10421" w:type="dxa"/>
            <w:shd w:val="clear" w:color="auto" w:fill="E6E6E6"/>
          </w:tcPr>
          <w:p w14:paraId="635CDA9C"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7C3B6C22"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EE46371" w14:textId="77777777" w:rsidTr="001D4F60">
        <w:tc>
          <w:tcPr>
            <w:tcW w:w="10421" w:type="dxa"/>
            <w:tcBorders>
              <w:bottom w:val="single" w:sz="4" w:space="0" w:color="auto"/>
            </w:tcBorders>
            <w:shd w:val="clear" w:color="auto" w:fill="auto"/>
          </w:tcPr>
          <w:p w14:paraId="791327A2" w14:textId="29CEBCE7" w:rsidR="001D4F60" w:rsidRPr="00D43F8C" w:rsidRDefault="00D43F8C" w:rsidP="00D43F8C">
            <w:pPr>
              <w:pStyle w:val="NormalWeb"/>
              <w:rPr>
                <w:rFonts w:ascii="Verdana" w:hAnsi="Verdana"/>
                <w:i/>
                <w:iCs/>
                <w:sz w:val="18"/>
                <w:szCs w:val="18"/>
              </w:rPr>
            </w:pPr>
            <w:r w:rsidRPr="00D43F8C">
              <w:rPr>
                <w:rFonts w:ascii="Verdana" w:hAnsi="Verdana"/>
                <w:sz w:val="18"/>
                <w:szCs w:val="18"/>
              </w:rPr>
              <w:t xml:space="preserve">McGill concludes when </w:t>
            </w:r>
            <w:r>
              <w:rPr>
                <w:rFonts w:ascii="Verdana" w:hAnsi="Verdana"/>
                <w:sz w:val="18"/>
                <w:szCs w:val="18"/>
              </w:rPr>
              <w:t xml:space="preserve">military </w:t>
            </w:r>
            <w:r w:rsidRPr="00D43F8C">
              <w:rPr>
                <w:rFonts w:ascii="Verdana" w:hAnsi="Verdana"/>
                <w:sz w:val="18"/>
                <w:szCs w:val="18"/>
              </w:rPr>
              <w:t xml:space="preserve">physical therapists are used as primary care providers in the DoD health care system in a deployed combat location, </w:t>
            </w:r>
            <w:r>
              <w:rPr>
                <w:rFonts w:ascii="Verdana" w:hAnsi="Verdana"/>
                <w:sz w:val="18"/>
                <w:szCs w:val="18"/>
              </w:rPr>
              <w:t xml:space="preserve">PTs can have </w:t>
            </w:r>
            <w:r w:rsidRPr="00D43F8C">
              <w:rPr>
                <w:rFonts w:ascii="Verdana" w:hAnsi="Verdana"/>
                <w:sz w:val="18"/>
                <w:szCs w:val="18"/>
              </w:rPr>
              <w:t xml:space="preserve">“significantly better RTD rates while at the same time drastically decreasing the use of medication and imaging studies” </w:t>
            </w:r>
            <w:r>
              <w:rPr>
                <w:rFonts w:ascii="Verdana" w:hAnsi="Verdana"/>
                <w:sz w:val="18"/>
                <w:szCs w:val="18"/>
              </w:rPr>
              <w:t>compared to FP active-duty U.S. Air Force physicians.(</w:t>
            </w:r>
            <w:r w:rsidRPr="00D43F8C">
              <w:rPr>
                <w:rFonts w:ascii="Verdana" w:hAnsi="Verdana"/>
                <w:i/>
                <w:iCs/>
                <w:sz w:val="18"/>
                <w:szCs w:val="18"/>
              </w:rPr>
              <w:t>page 5</w:t>
            </w:r>
            <w:r>
              <w:rPr>
                <w:rFonts w:ascii="Verdana" w:hAnsi="Verdana"/>
                <w:sz w:val="18"/>
                <w:szCs w:val="18"/>
              </w:rPr>
              <w:t xml:space="preserve">) </w:t>
            </w:r>
            <w:r w:rsidR="007E07ED">
              <w:rPr>
                <w:rFonts w:ascii="Verdana" w:hAnsi="Verdana"/>
                <w:sz w:val="18"/>
                <w:szCs w:val="18"/>
              </w:rPr>
              <w:t xml:space="preserve"> </w:t>
            </w:r>
            <w:r>
              <w:rPr>
                <w:rFonts w:ascii="Verdana" w:hAnsi="Verdana"/>
                <w:sz w:val="18"/>
                <w:szCs w:val="18"/>
              </w:rPr>
              <w:t xml:space="preserve">In his discussion, McGill references other studies </w:t>
            </w:r>
            <w:r w:rsidR="00F041CF">
              <w:rPr>
                <w:rFonts w:ascii="Verdana" w:hAnsi="Verdana"/>
                <w:sz w:val="18"/>
                <w:szCs w:val="18"/>
              </w:rPr>
              <w:t xml:space="preserve">that </w:t>
            </w:r>
            <w:r>
              <w:rPr>
                <w:rFonts w:ascii="Verdana" w:hAnsi="Verdana"/>
                <w:sz w:val="18"/>
                <w:szCs w:val="18"/>
              </w:rPr>
              <w:t>suggest that non-military PTs across all the U.S. states are capable of screening all systems and there is no risk of skipping the physician referral step.  Instead, PT should be “musculoskeletal gatekeepers</w:t>
            </w:r>
            <w:r w:rsidR="007E07ED">
              <w:rPr>
                <w:rFonts w:ascii="Verdana" w:hAnsi="Verdana"/>
                <w:sz w:val="18"/>
                <w:szCs w:val="18"/>
              </w:rPr>
              <w:t>,” which could</w:t>
            </w:r>
            <w:r>
              <w:rPr>
                <w:rFonts w:ascii="Verdana" w:hAnsi="Verdana"/>
                <w:sz w:val="18"/>
                <w:szCs w:val="18"/>
              </w:rPr>
              <w:t xml:space="preserve"> increase efficiency of treatment and decrease cost of medical care.  </w:t>
            </w:r>
          </w:p>
        </w:tc>
      </w:tr>
      <w:tr w:rsidR="001D4F60" w:rsidRPr="002F16E1" w14:paraId="6E35C742" w14:textId="77777777" w:rsidTr="001D4F60">
        <w:tc>
          <w:tcPr>
            <w:tcW w:w="10421" w:type="dxa"/>
            <w:shd w:val="clear" w:color="auto" w:fill="E6E6E6"/>
          </w:tcPr>
          <w:p w14:paraId="4AC7CDFA"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3B8CED28" w14:textId="77777777" w:rsidTr="001D4F60">
        <w:tc>
          <w:tcPr>
            <w:tcW w:w="10421" w:type="dxa"/>
            <w:shd w:val="clear" w:color="auto" w:fill="auto"/>
          </w:tcPr>
          <w:p w14:paraId="202A2E35" w14:textId="77777777" w:rsidR="001D4F60" w:rsidRPr="002F16E1" w:rsidRDefault="001D4F60" w:rsidP="009E380F">
            <w:pPr>
              <w:spacing w:before="120" w:after="120"/>
              <w:rPr>
                <w:b/>
                <w:sz w:val="18"/>
                <w:szCs w:val="18"/>
              </w:rPr>
            </w:pPr>
            <w:r w:rsidRPr="002F16E1">
              <w:rPr>
                <w:b/>
                <w:sz w:val="18"/>
                <w:szCs w:val="18"/>
              </w:rPr>
              <w:t>Validity</w:t>
            </w:r>
          </w:p>
          <w:p w14:paraId="0D3B6B38" w14:textId="52011AF8"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1CA98F8F" w14:textId="77777777" w:rsidTr="001D4F60">
        <w:tc>
          <w:tcPr>
            <w:tcW w:w="10421" w:type="dxa"/>
            <w:shd w:val="clear" w:color="auto" w:fill="auto"/>
          </w:tcPr>
          <w:p w14:paraId="0193C2EC" w14:textId="23B3DAC4" w:rsidR="001D4F60" w:rsidRPr="00580607" w:rsidRDefault="00D43F8C" w:rsidP="00D43F8C">
            <w:pPr>
              <w:spacing w:before="120" w:after="120"/>
              <w:rPr>
                <w:sz w:val="18"/>
                <w:szCs w:val="18"/>
              </w:rPr>
            </w:pPr>
            <w:r>
              <w:rPr>
                <w:sz w:val="18"/>
                <w:szCs w:val="18"/>
              </w:rPr>
              <w:t>Using the Downs and Black Checklist, the quality of the McGill study is poor.  McGill earned some points on the checklist by clearly stating objectives, providing patient characteristics, describing the main outcomes, discussing adverse events, and recruiting patients from the same population.  The internal validity of this study is lacking due to inability to blind participants, the inadequate stati</w:t>
            </w:r>
            <w:r w:rsidR="00CA63E6">
              <w:rPr>
                <w:sz w:val="18"/>
                <w:szCs w:val="18"/>
              </w:rPr>
              <w:t>sti</w:t>
            </w:r>
            <w:r>
              <w:rPr>
                <w:sz w:val="18"/>
                <w:szCs w:val="18"/>
              </w:rPr>
              <w:t>cal tests to assess main outcomes, and McGill’s role as author, data collector, and data processor increasing the potential for bias.  The only stati</w:t>
            </w:r>
            <w:r w:rsidR="00A21A46">
              <w:rPr>
                <w:sz w:val="18"/>
                <w:szCs w:val="18"/>
              </w:rPr>
              <w:t>sti</w:t>
            </w:r>
            <w:r>
              <w:rPr>
                <w:sz w:val="18"/>
                <w:szCs w:val="18"/>
              </w:rPr>
              <w:t>cal test</w:t>
            </w:r>
            <w:r w:rsidR="007E07ED">
              <w:rPr>
                <w:sz w:val="18"/>
                <w:szCs w:val="18"/>
              </w:rPr>
              <w:t>s</w:t>
            </w:r>
            <w:r>
              <w:rPr>
                <w:sz w:val="18"/>
                <w:szCs w:val="18"/>
              </w:rPr>
              <w:t xml:space="preserve"> used were Fisher’s Exact Test</w:t>
            </w:r>
            <w:r w:rsidR="007E07ED">
              <w:rPr>
                <w:sz w:val="18"/>
                <w:szCs w:val="18"/>
              </w:rPr>
              <w:t>s</w:t>
            </w:r>
            <w:r>
              <w:rPr>
                <w:sz w:val="18"/>
                <w:szCs w:val="18"/>
              </w:rPr>
              <w:t xml:space="preserve"> and P-value calculations.  No raw data was provided to confirm these findings.  McGill states there was no statistical difference in the number of visits, but he does provide a record of the number of visits or other details.  Even though statistically significant differences are found for 3/4 main outcomes, this is not equal </w:t>
            </w:r>
            <w:r w:rsidR="00B92FEC">
              <w:rPr>
                <w:sz w:val="18"/>
                <w:szCs w:val="18"/>
              </w:rPr>
              <w:t xml:space="preserve">to </w:t>
            </w:r>
            <w:r>
              <w:rPr>
                <w:sz w:val="18"/>
                <w:szCs w:val="18"/>
              </w:rPr>
              <w:t>clinical significance.  Finally, power was not calculated before the study.   While McGill’s study has many flaws, it is one of very few studies ana</w:t>
            </w:r>
            <w:r w:rsidR="002F683A">
              <w:rPr>
                <w:sz w:val="18"/>
                <w:szCs w:val="18"/>
              </w:rPr>
              <w:t>lyzing</w:t>
            </w:r>
            <w:r>
              <w:rPr>
                <w:sz w:val="18"/>
                <w:szCs w:val="18"/>
              </w:rPr>
              <w:t xml:space="preserve"> American PTs.  In the future, stud</w:t>
            </w:r>
            <w:r w:rsidR="004C49A1">
              <w:rPr>
                <w:sz w:val="18"/>
                <w:szCs w:val="18"/>
              </w:rPr>
              <w:t>ies</w:t>
            </w:r>
            <w:r>
              <w:rPr>
                <w:sz w:val="18"/>
                <w:szCs w:val="18"/>
              </w:rPr>
              <w:t xml:space="preserve"> with more rigorous designs should be completed to validate McGill’s findings.  </w:t>
            </w:r>
          </w:p>
        </w:tc>
      </w:tr>
      <w:tr w:rsidR="001D4F60" w:rsidRPr="002F16E1" w14:paraId="60C48B90" w14:textId="77777777" w:rsidTr="001D4F60">
        <w:tc>
          <w:tcPr>
            <w:tcW w:w="10421" w:type="dxa"/>
            <w:shd w:val="clear" w:color="auto" w:fill="auto"/>
          </w:tcPr>
          <w:p w14:paraId="2FF520CA"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69F7C16E"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2EDA2793" w14:textId="77777777" w:rsidTr="0000738B">
        <w:trPr>
          <w:trHeight w:val="1365"/>
        </w:trPr>
        <w:tc>
          <w:tcPr>
            <w:tcW w:w="10421" w:type="dxa"/>
            <w:shd w:val="clear" w:color="auto" w:fill="auto"/>
          </w:tcPr>
          <w:p w14:paraId="70094648" w14:textId="3E20AE3B" w:rsidR="001D4F60" w:rsidRPr="00580607" w:rsidRDefault="0018786A" w:rsidP="0018786A">
            <w:pPr>
              <w:spacing w:before="120" w:after="120"/>
              <w:rPr>
                <w:sz w:val="18"/>
                <w:szCs w:val="18"/>
              </w:rPr>
            </w:pPr>
            <w:r>
              <w:rPr>
                <w:sz w:val="18"/>
                <w:szCs w:val="18"/>
              </w:rPr>
              <w:lastRenderedPageBreak/>
              <w:t>Because McGill’s study design is flawed, significant caution should be taken interpreting the findings.  The lack of raw data and minimal stati</w:t>
            </w:r>
            <w:r w:rsidR="00B46B53">
              <w:rPr>
                <w:sz w:val="18"/>
                <w:szCs w:val="18"/>
              </w:rPr>
              <w:t>sti</w:t>
            </w:r>
            <w:r>
              <w:rPr>
                <w:sz w:val="18"/>
                <w:szCs w:val="18"/>
              </w:rPr>
              <w:t>cal ana</w:t>
            </w:r>
            <w:r w:rsidR="00B46B53">
              <w:rPr>
                <w:sz w:val="18"/>
                <w:szCs w:val="18"/>
              </w:rPr>
              <w:t>ly</w:t>
            </w:r>
            <w:r>
              <w:rPr>
                <w:sz w:val="18"/>
                <w:szCs w:val="18"/>
              </w:rPr>
              <w:t xml:space="preserve">sis decreases the validity of the results.  However, the differences in utilization of medication and imaging and RTD rates are drastic between the PT as the PCP and the FP as the PCP.  Because the differences are so drastic, it is likely there is validity to the findings, though the study may have influenced the degree of differences.  Overall, I am inclined to believe that when </w:t>
            </w:r>
            <w:r w:rsidR="007E07ED">
              <w:rPr>
                <w:sz w:val="18"/>
                <w:szCs w:val="18"/>
              </w:rPr>
              <w:t xml:space="preserve">a </w:t>
            </w:r>
            <w:r>
              <w:rPr>
                <w:sz w:val="18"/>
                <w:szCs w:val="18"/>
              </w:rPr>
              <w:t>PT acts a</w:t>
            </w:r>
            <w:r w:rsidR="007E07ED">
              <w:rPr>
                <w:sz w:val="18"/>
                <w:szCs w:val="18"/>
              </w:rPr>
              <w:t>s the</w:t>
            </w:r>
            <w:r>
              <w:rPr>
                <w:sz w:val="18"/>
                <w:szCs w:val="18"/>
              </w:rPr>
              <w:t xml:space="preserve"> PCP in a combat setting, </w:t>
            </w:r>
            <w:r w:rsidR="007E07ED">
              <w:rPr>
                <w:sz w:val="18"/>
                <w:szCs w:val="18"/>
              </w:rPr>
              <w:t>he/she</w:t>
            </w:r>
            <w:r>
              <w:rPr>
                <w:sz w:val="18"/>
                <w:szCs w:val="18"/>
              </w:rPr>
              <w:t xml:space="preserve"> can decrease medication and imaging usage while increasing RTD rate as compared to </w:t>
            </w:r>
            <w:r w:rsidR="007E07ED">
              <w:rPr>
                <w:sz w:val="18"/>
                <w:szCs w:val="18"/>
              </w:rPr>
              <w:t xml:space="preserve">a </w:t>
            </w:r>
            <w:r>
              <w:rPr>
                <w:sz w:val="18"/>
                <w:szCs w:val="18"/>
              </w:rPr>
              <w:t>FP physician acting as a PCP.  Future studies are needed to confirm this finding.</w:t>
            </w:r>
          </w:p>
        </w:tc>
      </w:tr>
      <w:tr w:rsidR="0000738B" w:rsidRPr="002F16E1" w14:paraId="0BCC71E0" w14:textId="77777777" w:rsidTr="0000738B">
        <w:trPr>
          <w:trHeight w:val="759"/>
        </w:trPr>
        <w:tc>
          <w:tcPr>
            <w:tcW w:w="10421" w:type="dxa"/>
            <w:shd w:val="clear" w:color="auto" w:fill="auto"/>
          </w:tcPr>
          <w:p w14:paraId="022D1024" w14:textId="77777777" w:rsidR="0000738B" w:rsidRPr="002F16E1" w:rsidRDefault="0000738B" w:rsidP="0000738B">
            <w:pPr>
              <w:spacing w:before="120" w:after="120"/>
              <w:jc w:val="both"/>
              <w:rPr>
                <w:b/>
                <w:sz w:val="18"/>
                <w:szCs w:val="18"/>
              </w:rPr>
            </w:pPr>
            <w:r>
              <w:rPr>
                <w:b/>
                <w:sz w:val="18"/>
                <w:szCs w:val="18"/>
              </w:rPr>
              <w:t>Applicability of Study Results</w:t>
            </w:r>
          </w:p>
          <w:p w14:paraId="15D0F179"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57C2B12E" w14:textId="77777777" w:rsidTr="001D4F60">
        <w:trPr>
          <w:trHeight w:val="1594"/>
        </w:trPr>
        <w:tc>
          <w:tcPr>
            <w:tcW w:w="10421" w:type="dxa"/>
            <w:tcBorders>
              <w:bottom w:val="single" w:sz="4" w:space="0" w:color="auto"/>
            </w:tcBorders>
            <w:shd w:val="clear" w:color="auto" w:fill="auto"/>
          </w:tcPr>
          <w:p w14:paraId="2D7AB6C7" w14:textId="480D27E2" w:rsidR="0000738B" w:rsidRPr="00EC3B41" w:rsidRDefault="0018786A" w:rsidP="00EC3B41">
            <w:pPr>
              <w:spacing w:before="120" w:after="120"/>
              <w:rPr>
                <w:sz w:val="18"/>
                <w:szCs w:val="18"/>
              </w:rPr>
            </w:pPr>
            <w:r>
              <w:rPr>
                <w:sz w:val="18"/>
                <w:szCs w:val="18"/>
              </w:rPr>
              <w:t>This study is applicable to this focused clinical question as the population in the study had several site</w:t>
            </w:r>
            <w:r w:rsidR="00EC3B41">
              <w:rPr>
                <w:sz w:val="18"/>
                <w:szCs w:val="18"/>
              </w:rPr>
              <w:t>s</w:t>
            </w:r>
            <w:r>
              <w:rPr>
                <w:sz w:val="18"/>
                <w:szCs w:val="18"/>
              </w:rPr>
              <w:t xml:space="preserve"> of musculoskeletal complaints, the PTs are American, and there is comparison between PT and medical doctors.  Because PTs in </w:t>
            </w:r>
            <w:r w:rsidR="006D27E5">
              <w:rPr>
                <w:sz w:val="18"/>
                <w:szCs w:val="18"/>
              </w:rPr>
              <w:t xml:space="preserve">the </w:t>
            </w:r>
            <w:r>
              <w:rPr>
                <w:sz w:val="18"/>
                <w:szCs w:val="18"/>
              </w:rPr>
              <w:t xml:space="preserve">DoD health care system are qualified to perform duties (ordering medication and imaging) that PTs outside the military cannot perform, these findings are less relevant to the </w:t>
            </w:r>
            <w:r w:rsidR="007E07ED">
              <w:rPr>
                <w:sz w:val="18"/>
                <w:szCs w:val="18"/>
              </w:rPr>
              <w:t>civilian</w:t>
            </w:r>
            <w:r>
              <w:rPr>
                <w:sz w:val="18"/>
                <w:szCs w:val="18"/>
              </w:rPr>
              <w:t xml:space="preserve"> orthopedic population.  However, there is potential PT’s will gain the ability to order imaging in the future, and these results could become more relevant.  The increase</w:t>
            </w:r>
            <w:r w:rsidR="00B2435E">
              <w:rPr>
                <w:sz w:val="18"/>
                <w:szCs w:val="18"/>
              </w:rPr>
              <w:t>d</w:t>
            </w:r>
            <w:r>
              <w:rPr>
                <w:sz w:val="18"/>
                <w:szCs w:val="18"/>
              </w:rPr>
              <w:t xml:space="preserve"> RT</w:t>
            </w:r>
            <w:r w:rsidR="007E07ED">
              <w:rPr>
                <w:sz w:val="18"/>
                <w:szCs w:val="18"/>
              </w:rPr>
              <w:t>D</w:t>
            </w:r>
            <w:r>
              <w:rPr>
                <w:sz w:val="18"/>
                <w:szCs w:val="18"/>
              </w:rPr>
              <w:t xml:space="preserve"> rate found when the PT was the PCP is not applicable to the non-military setting.  However, a return to prior level of function (PLOF) would be important in the non-military setting</w:t>
            </w:r>
            <w:r w:rsidR="007E07ED">
              <w:rPr>
                <w:sz w:val="18"/>
                <w:szCs w:val="18"/>
              </w:rPr>
              <w:t>s</w:t>
            </w:r>
            <w:r>
              <w:rPr>
                <w:sz w:val="18"/>
                <w:szCs w:val="18"/>
              </w:rPr>
              <w:t>.  This study does not support this claim but does provide reason to conduct future studies investi</w:t>
            </w:r>
            <w:r w:rsidR="00C405ED">
              <w:rPr>
                <w:sz w:val="18"/>
                <w:szCs w:val="18"/>
              </w:rPr>
              <w:t>gati</w:t>
            </w:r>
            <w:r>
              <w:rPr>
                <w:sz w:val="18"/>
                <w:szCs w:val="18"/>
              </w:rPr>
              <w:t>ng return to PLOF for PTs versus medical doctors.  In terms of my clinical scenari</w:t>
            </w:r>
            <w:r w:rsidR="00EC3B41">
              <w:rPr>
                <w:sz w:val="18"/>
                <w:szCs w:val="18"/>
              </w:rPr>
              <w:t xml:space="preserve">o, this study has very limited applicability because of the military setting.  However, this study provides reason to consider a PT as a first choice for musculoskeletal complaints.  The patient in the clinical scenario may be able to receive more cost efficient and effective care if he goes a PT. </w:t>
            </w:r>
          </w:p>
        </w:tc>
      </w:tr>
    </w:tbl>
    <w:p w14:paraId="63141716" w14:textId="77777777" w:rsidR="001D4F60" w:rsidRDefault="001D4F60" w:rsidP="001D4F60">
      <w:pPr>
        <w:spacing w:before="240" w:after="240"/>
        <w:rPr>
          <w:b/>
          <w:sz w:val="18"/>
          <w:szCs w:val="18"/>
        </w:rPr>
      </w:pPr>
    </w:p>
    <w:p w14:paraId="14C69DFB" w14:textId="2D2F4AA0" w:rsidR="001D4F60" w:rsidRPr="007D2F52" w:rsidRDefault="001D4F60" w:rsidP="007D2F52">
      <w:pPr>
        <w:pStyle w:val="NormalWeb"/>
        <w:rPr>
          <w:rFonts w:ascii="Verdana" w:hAnsi="Verdana"/>
          <w:b/>
          <w:sz w:val="18"/>
          <w:szCs w:val="18"/>
        </w:rPr>
      </w:pPr>
      <w:r>
        <w:rPr>
          <w:b/>
          <w:sz w:val="18"/>
          <w:szCs w:val="18"/>
        </w:rPr>
        <w:t xml:space="preserve">(2) </w:t>
      </w:r>
      <w:r w:rsidRPr="007D2F52">
        <w:rPr>
          <w:rFonts w:ascii="Verdana" w:hAnsi="Verdana"/>
          <w:bCs/>
          <w:sz w:val="18"/>
          <w:szCs w:val="18"/>
        </w:rPr>
        <w:t>Description and appraisal of</w:t>
      </w:r>
      <w:r w:rsidRPr="007D2F52">
        <w:rPr>
          <w:rFonts w:ascii="Verdana" w:hAnsi="Verdana"/>
          <w:b/>
          <w:sz w:val="18"/>
          <w:szCs w:val="18"/>
        </w:rPr>
        <w:t xml:space="preserve"> </w:t>
      </w:r>
      <w:r w:rsidR="007D2F52" w:rsidRPr="007D2F52">
        <w:rPr>
          <w:rFonts w:ascii="Verdana" w:hAnsi="Verdana"/>
          <w:b/>
          <w:color w:val="111111"/>
          <w:sz w:val="18"/>
          <w:szCs w:val="18"/>
        </w:rPr>
        <w:t xml:space="preserve">Diagnostic validity and triage concordance of a physiotherapist compared to physicians’ diagnoses for common knee disorders </w:t>
      </w:r>
      <w:r w:rsidRPr="007D2F52">
        <w:rPr>
          <w:rFonts w:ascii="Verdana" w:hAnsi="Verdana"/>
          <w:bCs/>
          <w:sz w:val="18"/>
          <w:szCs w:val="18"/>
        </w:rPr>
        <w:t>by</w:t>
      </w:r>
      <w:r w:rsidRPr="007D2F52">
        <w:rPr>
          <w:rFonts w:ascii="Verdana" w:hAnsi="Verdana"/>
          <w:b/>
          <w:sz w:val="18"/>
          <w:szCs w:val="18"/>
        </w:rPr>
        <w:t xml:space="preserve"> </w:t>
      </w:r>
      <w:r w:rsidR="007D2F52" w:rsidRPr="007D2F52">
        <w:rPr>
          <w:rFonts w:ascii="Verdana" w:hAnsi="Verdana"/>
          <w:b/>
          <w:sz w:val="18"/>
          <w:szCs w:val="18"/>
        </w:rPr>
        <w:t xml:space="preserve">S </w:t>
      </w:r>
      <w:proofErr w:type="spellStart"/>
      <w:r w:rsidR="007D2F52" w:rsidRPr="007D2F52">
        <w:rPr>
          <w:rFonts w:ascii="Verdana" w:hAnsi="Verdana"/>
          <w:b/>
          <w:sz w:val="18"/>
          <w:szCs w:val="18"/>
        </w:rPr>
        <w:t>Décary</w:t>
      </w:r>
      <w:proofErr w:type="spellEnd"/>
      <w:r w:rsidR="007D2F52" w:rsidRPr="007D2F52">
        <w:rPr>
          <w:rFonts w:ascii="Verdana" w:hAnsi="Verdana"/>
          <w:b/>
          <w:sz w:val="18"/>
          <w:szCs w:val="18"/>
        </w:rPr>
        <w:t>,</w:t>
      </w:r>
      <w:r w:rsidR="007D2F52" w:rsidRPr="007D2F52">
        <w:rPr>
          <w:rFonts w:ascii="Verdana" w:hAnsi="Verdana"/>
          <w:b/>
          <w:color w:val="111111"/>
          <w:sz w:val="18"/>
          <w:szCs w:val="18"/>
        </w:rPr>
        <w:t xml:space="preserve"> M. </w:t>
      </w:r>
      <w:proofErr w:type="spellStart"/>
      <w:r w:rsidR="007D2F52" w:rsidRPr="007D2F52">
        <w:rPr>
          <w:rFonts w:ascii="Verdana" w:hAnsi="Verdana"/>
          <w:b/>
          <w:color w:val="111111"/>
          <w:sz w:val="18"/>
          <w:szCs w:val="18"/>
        </w:rPr>
        <w:t>Fallaha</w:t>
      </w:r>
      <w:proofErr w:type="spellEnd"/>
      <w:r w:rsidR="007D2F52" w:rsidRPr="007D2F52">
        <w:rPr>
          <w:rFonts w:ascii="Verdana" w:hAnsi="Verdana"/>
          <w:b/>
          <w:color w:val="111111"/>
          <w:sz w:val="18"/>
          <w:szCs w:val="18"/>
        </w:rPr>
        <w:t xml:space="preserve">, B. Pelletier, P. </w:t>
      </w:r>
      <w:proofErr w:type="spellStart"/>
      <w:r w:rsidR="007D2F52" w:rsidRPr="007D2F52">
        <w:rPr>
          <w:rFonts w:ascii="Verdana" w:hAnsi="Verdana"/>
          <w:b/>
          <w:color w:val="111111"/>
          <w:sz w:val="18"/>
          <w:szCs w:val="18"/>
        </w:rPr>
        <w:t>Frémont</w:t>
      </w:r>
      <w:proofErr w:type="spellEnd"/>
      <w:r w:rsidR="007D2F52" w:rsidRPr="007D2F52">
        <w:rPr>
          <w:rFonts w:ascii="Verdana" w:hAnsi="Verdana"/>
          <w:b/>
          <w:color w:val="111111"/>
          <w:sz w:val="18"/>
          <w:szCs w:val="18"/>
        </w:rPr>
        <w:t xml:space="preserve">, J. Martel-Pelletier, J.-P. Pelletier, D. E. Feldman, M.-P. </w:t>
      </w:r>
      <w:proofErr w:type="spellStart"/>
      <w:r w:rsidR="007D2F52" w:rsidRPr="007D2F52">
        <w:rPr>
          <w:rFonts w:ascii="Verdana" w:hAnsi="Verdana"/>
          <w:b/>
          <w:color w:val="111111"/>
          <w:sz w:val="18"/>
          <w:szCs w:val="18"/>
        </w:rPr>
        <w:t>Sylvestre</w:t>
      </w:r>
      <w:proofErr w:type="spellEnd"/>
      <w:r w:rsidR="007D2F52" w:rsidRPr="007D2F52">
        <w:rPr>
          <w:rFonts w:ascii="Verdana" w:hAnsi="Verdana"/>
          <w:b/>
          <w:color w:val="111111"/>
          <w:sz w:val="18"/>
          <w:szCs w:val="18"/>
        </w:rPr>
        <w:t>,</w:t>
      </w:r>
      <w:r w:rsidR="007D2F52">
        <w:rPr>
          <w:rFonts w:ascii="Verdana" w:hAnsi="Verdana"/>
          <w:b/>
          <w:color w:val="111111"/>
          <w:sz w:val="18"/>
          <w:szCs w:val="18"/>
        </w:rPr>
        <w:t xml:space="preserve"> </w:t>
      </w:r>
      <w:r w:rsidR="007D2F52" w:rsidRPr="007D2F52">
        <w:rPr>
          <w:rFonts w:ascii="Verdana" w:hAnsi="Verdana"/>
          <w:b/>
          <w:color w:val="111111"/>
          <w:sz w:val="18"/>
          <w:szCs w:val="18"/>
        </w:rPr>
        <w:t xml:space="preserve">P.-A. </w:t>
      </w:r>
      <w:proofErr w:type="spellStart"/>
      <w:r w:rsidR="007D2F52" w:rsidRPr="007D2F52">
        <w:rPr>
          <w:rFonts w:ascii="Verdana" w:hAnsi="Verdana"/>
          <w:b/>
          <w:color w:val="111111"/>
          <w:sz w:val="18"/>
          <w:szCs w:val="18"/>
        </w:rPr>
        <w:t>Vendittoli</w:t>
      </w:r>
      <w:proofErr w:type="spellEnd"/>
      <w:r w:rsidR="007D2F52" w:rsidRPr="007D2F52">
        <w:rPr>
          <w:rFonts w:ascii="Verdana" w:hAnsi="Verdana"/>
          <w:b/>
          <w:color w:val="111111"/>
          <w:position w:val="10"/>
          <w:sz w:val="18"/>
          <w:szCs w:val="18"/>
        </w:rPr>
        <w:t xml:space="preserve"> </w:t>
      </w:r>
      <w:r w:rsidR="007D2F52" w:rsidRPr="007D2F52">
        <w:rPr>
          <w:rFonts w:ascii="Verdana" w:hAnsi="Verdana"/>
          <w:b/>
          <w:color w:val="111111"/>
          <w:sz w:val="18"/>
          <w:szCs w:val="18"/>
        </w:rPr>
        <w:t xml:space="preserve">and F. </w:t>
      </w:r>
      <w:proofErr w:type="spellStart"/>
      <w:r w:rsidR="007D2F52" w:rsidRPr="007D2F52">
        <w:rPr>
          <w:rFonts w:ascii="Verdana" w:hAnsi="Verdana"/>
          <w:b/>
          <w:color w:val="111111"/>
          <w:sz w:val="18"/>
          <w:szCs w:val="18"/>
        </w:rPr>
        <w:t>Desmeules</w:t>
      </w:r>
      <w:proofErr w:type="spellEnd"/>
      <w:r w:rsidR="007D2F52">
        <w:rPr>
          <w:rFonts w:ascii="Verdana" w:hAnsi="Verdana"/>
          <w:b/>
          <w:color w:val="111111"/>
          <w:sz w:val="18"/>
          <w:szCs w:val="18"/>
        </w:rPr>
        <w:t>,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0BB6DC95" w14:textId="77777777" w:rsidTr="00B82150">
        <w:tc>
          <w:tcPr>
            <w:tcW w:w="10421" w:type="dxa"/>
            <w:shd w:val="clear" w:color="auto" w:fill="E6E6E6"/>
          </w:tcPr>
          <w:p w14:paraId="22A76ABF" w14:textId="77777777" w:rsidR="0000738B" w:rsidRPr="002F16E1" w:rsidRDefault="0000738B" w:rsidP="00B82150">
            <w:pPr>
              <w:spacing w:before="120" w:after="120"/>
              <w:rPr>
                <w:b/>
                <w:sz w:val="18"/>
                <w:szCs w:val="18"/>
              </w:rPr>
            </w:pPr>
            <w:r w:rsidRPr="002F16E1">
              <w:rPr>
                <w:b/>
                <w:sz w:val="18"/>
                <w:szCs w:val="18"/>
              </w:rPr>
              <w:t>Aim/Objective of the Study/Systematic Review:</w:t>
            </w:r>
          </w:p>
        </w:tc>
      </w:tr>
      <w:tr w:rsidR="0000738B" w:rsidRPr="002F16E1" w14:paraId="68054B20" w14:textId="77777777" w:rsidTr="00B82150">
        <w:tc>
          <w:tcPr>
            <w:tcW w:w="10421" w:type="dxa"/>
            <w:tcBorders>
              <w:bottom w:val="single" w:sz="4" w:space="0" w:color="auto"/>
            </w:tcBorders>
            <w:shd w:val="clear" w:color="auto" w:fill="auto"/>
          </w:tcPr>
          <w:p w14:paraId="2D13B4A1" w14:textId="2270F405" w:rsidR="0000738B" w:rsidRPr="002F16E1" w:rsidRDefault="007D2F52" w:rsidP="00142789">
            <w:pPr>
              <w:spacing w:before="120" w:after="120"/>
              <w:rPr>
                <w:sz w:val="18"/>
                <w:szCs w:val="18"/>
              </w:rPr>
            </w:pPr>
            <w:r>
              <w:rPr>
                <w:sz w:val="18"/>
                <w:szCs w:val="18"/>
              </w:rPr>
              <w:t xml:space="preserve">The aims of the study by </w:t>
            </w:r>
            <w:proofErr w:type="spellStart"/>
            <w:r>
              <w:rPr>
                <w:sz w:val="18"/>
                <w:szCs w:val="18"/>
              </w:rPr>
              <w:t>Décary</w:t>
            </w:r>
            <w:proofErr w:type="spellEnd"/>
            <w:r>
              <w:rPr>
                <w:sz w:val="18"/>
                <w:szCs w:val="18"/>
              </w:rPr>
              <w:t xml:space="preserve"> et al. were to determine the agreement of diagnosis and surgical triage between physiotherapists and speciality physicians.  </w:t>
            </w:r>
            <w:proofErr w:type="spellStart"/>
            <w:r>
              <w:rPr>
                <w:sz w:val="18"/>
                <w:szCs w:val="18"/>
              </w:rPr>
              <w:t>Décary</w:t>
            </w:r>
            <w:proofErr w:type="spellEnd"/>
            <w:r>
              <w:rPr>
                <w:sz w:val="18"/>
                <w:szCs w:val="18"/>
              </w:rPr>
              <w:t xml:space="preserve"> et al. also examined the agreement between </w:t>
            </w:r>
            <w:r w:rsidR="00CD3110">
              <w:rPr>
                <w:sz w:val="18"/>
                <w:szCs w:val="18"/>
              </w:rPr>
              <w:t xml:space="preserve">a </w:t>
            </w:r>
            <w:r>
              <w:rPr>
                <w:sz w:val="18"/>
                <w:szCs w:val="18"/>
              </w:rPr>
              <w:t xml:space="preserve">PT’s medical diagnosis without imaging to </w:t>
            </w:r>
            <w:r w:rsidR="00CD3110">
              <w:rPr>
                <w:sz w:val="18"/>
                <w:szCs w:val="18"/>
              </w:rPr>
              <w:t xml:space="preserve">a </w:t>
            </w:r>
            <w:r>
              <w:rPr>
                <w:sz w:val="18"/>
                <w:szCs w:val="18"/>
              </w:rPr>
              <w:t>physician’s medical diagnosis who did have access to imaging.</w:t>
            </w:r>
          </w:p>
        </w:tc>
      </w:tr>
      <w:tr w:rsidR="0000738B" w:rsidRPr="002F16E1" w14:paraId="487D9D05" w14:textId="77777777" w:rsidTr="00B82150">
        <w:tc>
          <w:tcPr>
            <w:tcW w:w="10421" w:type="dxa"/>
            <w:shd w:val="clear" w:color="auto" w:fill="E6E6E6"/>
          </w:tcPr>
          <w:p w14:paraId="2E1FF759" w14:textId="77777777" w:rsidR="0000738B" w:rsidRPr="002F16E1" w:rsidRDefault="0000738B" w:rsidP="00B82150">
            <w:pPr>
              <w:spacing w:before="120" w:after="120"/>
              <w:jc w:val="both"/>
              <w:rPr>
                <w:b/>
                <w:sz w:val="18"/>
                <w:szCs w:val="18"/>
              </w:rPr>
            </w:pPr>
            <w:r w:rsidRPr="002F16E1">
              <w:rPr>
                <w:b/>
                <w:sz w:val="18"/>
                <w:szCs w:val="18"/>
              </w:rPr>
              <w:t>Study Design</w:t>
            </w:r>
          </w:p>
          <w:p w14:paraId="1B60DA51" w14:textId="77777777" w:rsidR="0000738B" w:rsidRPr="002F16E1" w:rsidRDefault="0000738B" w:rsidP="00B82150">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DA405C1" w14:textId="77777777" w:rsidR="0000738B" w:rsidRPr="002F16E1" w:rsidRDefault="0000738B" w:rsidP="00B82150">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2AAF1052" w14:textId="77777777" w:rsidTr="00B82150">
        <w:tc>
          <w:tcPr>
            <w:tcW w:w="10421" w:type="dxa"/>
            <w:tcBorders>
              <w:bottom w:val="single" w:sz="4" w:space="0" w:color="auto"/>
            </w:tcBorders>
            <w:shd w:val="clear" w:color="auto" w:fill="auto"/>
          </w:tcPr>
          <w:p w14:paraId="27FCDCCB" w14:textId="52091DCD" w:rsidR="0000738B" w:rsidRPr="002F16E1" w:rsidRDefault="007D2F52" w:rsidP="00142789">
            <w:pPr>
              <w:spacing w:before="120" w:after="120"/>
              <w:rPr>
                <w:sz w:val="18"/>
                <w:szCs w:val="18"/>
              </w:rPr>
            </w:pPr>
            <w:r>
              <w:rPr>
                <w:sz w:val="18"/>
                <w:szCs w:val="18"/>
              </w:rPr>
              <w:t xml:space="preserve">A prospective diagnostic cohort study that consisted of 179 participants who underwent independent diagnosis and triaging of knee injuries by a physiotherapist and </w:t>
            </w:r>
            <w:r w:rsidR="00142789">
              <w:rPr>
                <w:sz w:val="18"/>
                <w:szCs w:val="18"/>
              </w:rPr>
              <w:t>a</w:t>
            </w:r>
            <w:r>
              <w:rPr>
                <w:sz w:val="18"/>
                <w:szCs w:val="18"/>
              </w:rPr>
              <w:t xml:space="preserve"> physicians.  One physical therapist with 1 year of clinical experience conducted the PT evaluation.  Four physicians were used, 2 orthopedic surgeons and 2 sports medicine physicians, each of which had at least 20 years of clinical experience.  The PT assessment was completed first followed by the physician within a 15-minute interval between the evaluations.  The PT diagnosis was based solely of the musculoskeletal examination of the patient.  The physician had access to radiographs of </w:t>
            </w:r>
            <w:r w:rsidR="001D409B">
              <w:rPr>
                <w:sz w:val="18"/>
                <w:szCs w:val="18"/>
              </w:rPr>
              <w:t xml:space="preserve">the </w:t>
            </w:r>
            <w:r>
              <w:rPr>
                <w:sz w:val="18"/>
                <w:szCs w:val="18"/>
              </w:rPr>
              <w:t>knee including 3 views: anteroposterior, lateral, and skylines views</w:t>
            </w:r>
            <w:r w:rsidR="00142789">
              <w:rPr>
                <w:sz w:val="18"/>
                <w:szCs w:val="18"/>
              </w:rPr>
              <w:t>,</w:t>
            </w:r>
            <w:r>
              <w:rPr>
                <w:sz w:val="18"/>
                <w:szCs w:val="18"/>
              </w:rPr>
              <w:t xml:space="preserve"> all in weight-bearing.  If a ligamentous, meniscal, or other uncertain injury was suspected, magnetic resonance imaging (MRI) was acquired.  If available, the physician used previously taken radiographs unless they felt new imaging was necessary.  After evaluating the patient’s history, physical examination and imaging, the physician diagnosed the patient.  The physician diagnosis was held as the reference standard.  In </w:t>
            </w:r>
            <w:r w:rsidR="00C70AEC">
              <w:rPr>
                <w:sz w:val="18"/>
                <w:szCs w:val="18"/>
              </w:rPr>
              <w:t xml:space="preserve">addition to </w:t>
            </w:r>
            <w:r>
              <w:rPr>
                <w:sz w:val="18"/>
                <w:szCs w:val="18"/>
              </w:rPr>
              <w:t xml:space="preserve">the </w:t>
            </w:r>
            <w:r w:rsidR="00C70AEC">
              <w:rPr>
                <w:sz w:val="18"/>
                <w:szCs w:val="18"/>
              </w:rPr>
              <w:t xml:space="preserve">primary </w:t>
            </w:r>
            <w:r>
              <w:rPr>
                <w:sz w:val="18"/>
                <w:szCs w:val="18"/>
              </w:rPr>
              <w:t>diagnosis</w:t>
            </w:r>
            <w:r w:rsidR="00C70AEC">
              <w:rPr>
                <w:sz w:val="18"/>
                <w:szCs w:val="18"/>
              </w:rPr>
              <w:t xml:space="preserve"> and secondary diagnosis</w:t>
            </w:r>
            <w:r w:rsidR="00142789">
              <w:rPr>
                <w:sz w:val="18"/>
                <w:szCs w:val="18"/>
              </w:rPr>
              <w:t>,</w:t>
            </w:r>
            <w:r w:rsidR="00C70AEC">
              <w:rPr>
                <w:sz w:val="18"/>
                <w:szCs w:val="18"/>
              </w:rPr>
              <w:t xml:space="preserve"> if needed</w:t>
            </w:r>
            <w:r>
              <w:rPr>
                <w:sz w:val="18"/>
                <w:szCs w:val="18"/>
              </w:rPr>
              <w:t xml:space="preserve">, both </w:t>
            </w:r>
            <w:r w:rsidR="00C70AEC">
              <w:rPr>
                <w:sz w:val="18"/>
                <w:szCs w:val="18"/>
              </w:rPr>
              <w:t xml:space="preserve">the </w:t>
            </w:r>
            <w:r>
              <w:rPr>
                <w:sz w:val="18"/>
                <w:szCs w:val="18"/>
              </w:rPr>
              <w:t xml:space="preserve">PT and the physician independently choose the next treatment step from 3 </w:t>
            </w:r>
            <w:r w:rsidR="007E07ED">
              <w:rPr>
                <w:sz w:val="18"/>
                <w:szCs w:val="18"/>
              </w:rPr>
              <w:t>options</w:t>
            </w:r>
            <w:r>
              <w:rPr>
                <w:sz w:val="18"/>
                <w:szCs w:val="18"/>
              </w:rPr>
              <w:t>: conservative, surgical or undecided.</w:t>
            </w:r>
          </w:p>
        </w:tc>
      </w:tr>
      <w:tr w:rsidR="0000738B" w:rsidRPr="002F16E1" w14:paraId="389D4981" w14:textId="77777777" w:rsidTr="00B82150">
        <w:tc>
          <w:tcPr>
            <w:tcW w:w="10421" w:type="dxa"/>
            <w:shd w:val="clear" w:color="auto" w:fill="E6E6E6"/>
          </w:tcPr>
          <w:p w14:paraId="1911D296" w14:textId="77777777" w:rsidR="0000738B" w:rsidRPr="002F16E1" w:rsidRDefault="0000738B" w:rsidP="00B82150">
            <w:pPr>
              <w:spacing w:before="120" w:after="120"/>
              <w:rPr>
                <w:b/>
                <w:sz w:val="18"/>
                <w:szCs w:val="18"/>
              </w:rPr>
            </w:pPr>
            <w:r w:rsidRPr="002F16E1">
              <w:rPr>
                <w:b/>
                <w:sz w:val="18"/>
                <w:szCs w:val="18"/>
              </w:rPr>
              <w:t>Setting</w:t>
            </w:r>
          </w:p>
          <w:p w14:paraId="5BC89231" w14:textId="77777777" w:rsidR="0000738B" w:rsidRPr="002F16E1" w:rsidRDefault="0000738B" w:rsidP="00B82150">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0C6C9EDB" w14:textId="77777777" w:rsidTr="00B82150">
        <w:tc>
          <w:tcPr>
            <w:tcW w:w="10421" w:type="dxa"/>
            <w:tcBorders>
              <w:bottom w:val="single" w:sz="4" w:space="0" w:color="auto"/>
            </w:tcBorders>
            <w:shd w:val="clear" w:color="auto" w:fill="auto"/>
          </w:tcPr>
          <w:p w14:paraId="02297B52" w14:textId="497E8089" w:rsidR="0000738B" w:rsidRPr="002F16E1" w:rsidRDefault="00077B5C" w:rsidP="00077B5C">
            <w:pPr>
              <w:spacing w:before="120" w:after="120"/>
              <w:rPr>
                <w:sz w:val="18"/>
                <w:szCs w:val="18"/>
              </w:rPr>
            </w:pPr>
            <w:r>
              <w:rPr>
                <w:sz w:val="18"/>
                <w:szCs w:val="18"/>
              </w:rPr>
              <w:t xml:space="preserve">The exact location and clinic names were not provided. Participants were recruited from an outpatient orthopaedic clinic, primary care family medicine clinic, and university community.  All of the authors of the article have academic experience in Montréal, Canada.  French is the primary language spoken in Montreal, </w:t>
            </w:r>
            <w:r>
              <w:rPr>
                <w:sz w:val="18"/>
                <w:szCs w:val="18"/>
              </w:rPr>
              <w:lastRenderedPageBreak/>
              <w:t>and fluency in French is an inclusion criterion for this study.  It is likely this study took place in Montreal, or a nearby area.</w:t>
            </w:r>
          </w:p>
        </w:tc>
      </w:tr>
      <w:tr w:rsidR="0000738B" w:rsidRPr="002F16E1" w14:paraId="170CD269" w14:textId="77777777" w:rsidTr="00B82150">
        <w:tc>
          <w:tcPr>
            <w:tcW w:w="10421" w:type="dxa"/>
            <w:shd w:val="clear" w:color="auto" w:fill="E6E6E6"/>
          </w:tcPr>
          <w:p w14:paraId="3E16F587" w14:textId="77777777" w:rsidR="0000738B" w:rsidRPr="002F16E1" w:rsidRDefault="0000738B" w:rsidP="00B82150">
            <w:pPr>
              <w:spacing w:before="120" w:after="120"/>
              <w:rPr>
                <w:b/>
                <w:sz w:val="18"/>
                <w:szCs w:val="18"/>
              </w:rPr>
            </w:pPr>
            <w:r w:rsidRPr="002F16E1">
              <w:rPr>
                <w:b/>
                <w:sz w:val="18"/>
                <w:szCs w:val="18"/>
              </w:rPr>
              <w:lastRenderedPageBreak/>
              <w:t>Participants</w:t>
            </w:r>
          </w:p>
          <w:p w14:paraId="11D60ED5" w14:textId="77777777" w:rsidR="0000738B" w:rsidRDefault="0000738B" w:rsidP="00B82150">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5C03C0EB" w14:textId="77777777" w:rsidR="0000738B" w:rsidRPr="002F16E1" w:rsidRDefault="0000738B" w:rsidP="00B82150">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406C38DC" w14:textId="77777777" w:rsidTr="00B82150">
        <w:tc>
          <w:tcPr>
            <w:tcW w:w="10421" w:type="dxa"/>
            <w:tcBorders>
              <w:bottom w:val="single" w:sz="4" w:space="0" w:color="auto"/>
            </w:tcBorders>
            <w:shd w:val="clear" w:color="auto" w:fill="auto"/>
          </w:tcPr>
          <w:p w14:paraId="4349F694" w14:textId="31453830" w:rsidR="00824F08" w:rsidRDefault="007D2F52" w:rsidP="00C70AEC">
            <w:pPr>
              <w:spacing w:before="120" w:after="120"/>
              <w:rPr>
                <w:color w:val="111111"/>
                <w:sz w:val="18"/>
                <w:szCs w:val="18"/>
              </w:rPr>
            </w:pPr>
            <w:r>
              <w:rPr>
                <w:sz w:val="18"/>
                <w:szCs w:val="18"/>
              </w:rPr>
              <w:t xml:space="preserve">Participants were recruited from an outpatient orthopaedic clinic and primary care family practice.  All patients who visited with new knee complaints between November 2014 and January 2016 were recruited.  </w:t>
            </w:r>
            <w:r w:rsidR="00824F08">
              <w:rPr>
                <w:sz w:val="18"/>
                <w:szCs w:val="18"/>
              </w:rPr>
              <w:t xml:space="preserve">Participants were also recruited from a university community.  </w:t>
            </w:r>
            <w:r>
              <w:rPr>
                <w:sz w:val="18"/>
                <w:szCs w:val="18"/>
              </w:rPr>
              <w:t xml:space="preserve">Eligibility criteria </w:t>
            </w:r>
            <w:proofErr w:type="gramStart"/>
            <w:r>
              <w:rPr>
                <w:sz w:val="18"/>
                <w:szCs w:val="18"/>
              </w:rPr>
              <w:t>was</w:t>
            </w:r>
            <w:r w:rsidR="007E07ED">
              <w:rPr>
                <w:sz w:val="18"/>
                <w:szCs w:val="18"/>
              </w:rPr>
              <w:t>:</w:t>
            </w:r>
            <w:proofErr w:type="gramEnd"/>
            <w:r>
              <w:rPr>
                <w:sz w:val="18"/>
                <w:szCs w:val="18"/>
              </w:rPr>
              <w:t xml:space="preserve"> at least 18 years old, knee injury with desire for a diagnosis, and fluency in French.  Patients previously diagnosed and treated by one of the speciality physicians, patients who had undergone surgery within 6 months, patients with a history of knee arthroplasty, patients with &gt;3 lower limb pathologies, and patients with systemic inflammatory disorder were excluded.  It was decided patients would be removed from the study if their pain moderately or severely increased according to the 3-point </w:t>
            </w:r>
            <w:r w:rsidR="007E07ED">
              <w:rPr>
                <w:sz w:val="18"/>
                <w:szCs w:val="18"/>
              </w:rPr>
              <w:t>Likert</w:t>
            </w:r>
            <w:r>
              <w:rPr>
                <w:sz w:val="18"/>
                <w:szCs w:val="18"/>
              </w:rPr>
              <w:t xml:space="preserve"> scale during the course of the PT evaluation, but this was never necessary.  In the end</w:t>
            </w:r>
            <w:r w:rsidR="007E07ED">
              <w:rPr>
                <w:sz w:val="18"/>
                <w:szCs w:val="18"/>
              </w:rPr>
              <w:t>,</w:t>
            </w:r>
            <w:r>
              <w:rPr>
                <w:sz w:val="18"/>
                <w:szCs w:val="18"/>
              </w:rPr>
              <w:t xml:space="preserve"> 179 patients were participants in the study.  The minimum sample size required to detect an 80% power was set at 71 participants, which the study exceeded.  The mean age of participants was 49.9</w:t>
            </w:r>
            <w:r w:rsidRPr="007D2F52">
              <w:rPr>
                <w:color w:val="111111"/>
                <w:sz w:val="18"/>
                <w:szCs w:val="18"/>
              </w:rPr>
              <w:t>±</w:t>
            </w:r>
            <w:r>
              <w:rPr>
                <w:color w:val="111111"/>
                <w:sz w:val="18"/>
                <w:szCs w:val="18"/>
              </w:rPr>
              <w:t>16.1 year</w:t>
            </w:r>
            <w:r w:rsidR="00C70AEC">
              <w:rPr>
                <w:color w:val="111111"/>
                <w:sz w:val="18"/>
                <w:szCs w:val="18"/>
              </w:rPr>
              <w:t>s</w:t>
            </w:r>
            <w:r>
              <w:rPr>
                <w:color w:val="111111"/>
                <w:sz w:val="18"/>
                <w:szCs w:val="18"/>
              </w:rPr>
              <w:t xml:space="preserve"> old and the mean BMI was 29.1</w:t>
            </w:r>
            <w:r w:rsidRPr="007D2F52">
              <w:rPr>
                <w:color w:val="111111"/>
                <w:sz w:val="18"/>
                <w:szCs w:val="18"/>
              </w:rPr>
              <w:t>±</w:t>
            </w:r>
            <w:r>
              <w:rPr>
                <w:color w:val="111111"/>
                <w:sz w:val="18"/>
                <w:szCs w:val="18"/>
              </w:rPr>
              <w:t>6.5 kg/m</w:t>
            </w:r>
            <w:r w:rsidRPr="007D2F52">
              <w:rPr>
                <w:color w:val="111111"/>
                <w:sz w:val="18"/>
                <w:szCs w:val="18"/>
                <w:vertAlign w:val="superscript"/>
              </w:rPr>
              <w:t>2</w:t>
            </w:r>
            <w:r>
              <w:rPr>
                <w:color w:val="111111"/>
                <w:sz w:val="18"/>
                <w:szCs w:val="18"/>
              </w:rPr>
              <w:t>.  The majority of participants were female, 63.7%.</w:t>
            </w:r>
            <w:r w:rsidR="00824F08">
              <w:rPr>
                <w:color w:val="111111"/>
                <w:sz w:val="18"/>
                <w:szCs w:val="18"/>
              </w:rPr>
              <w:t xml:space="preserve">  Below</w:t>
            </w:r>
            <w:r w:rsidR="00794B37">
              <w:rPr>
                <w:color w:val="111111"/>
                <w:sz w:val="18"/>
                <w:szCs w:val="18"/>
              </w:rPr>
              <w:t>,</w:t>
            </w:r>
            <w:r w:rsidR="00824F08">
              <w:rPr>
                <w:color w:val="111111"/>
                <w:sz w:val="18"/>
                <w:szCs w:val="18"/>
              </w:rPr>
              <w:t xml:space="preserve"> a chart with more participant information is provided. </w:t>
            </w:r>
          </w:p>
          <w:p w14:paraId="69A9BCED" w14:textId="2EA7FBFB" w:rsidR="00824F08" w:rsidRDefault="00824F08" w:rsidP="00824F08">
            <w:pPr>
              <w:rPr>
                <w:color w:val="111111"/>
                <w:sz w:val="18"/>
                <w:szCs w:val="18"/>
              </w:rPr>
            </w:pPr>
            <w:r w:rsidRPr="00824F08">
              <w:rPr>
                <w:color w:val="76923C" w:themeColor="accent3" w:themeShade="BF"/>
                <w:sz w:val="18"/>
                <w:szCs w:val="18"/>
              </w:rPr>
              <w:t xml:space="preserve">Table 1 </w:t>
            </w:r>
            <w:r w:rsidRPr="00824F08">
              <w:rPr>
                <w:b/>
                <w:bCs/>
                <w:color w:val="111111"/>
                <w:sz w:val="18"/>
                <w:szCs w:val="18"/>
              </w:rPr>
              <w:t>Participant Characteristics</w:t>
            </w:r>
            <w:r>
              <w:rPr>
                <w:color w:val="111111"/>
                <w:sz w:val="18"/>
                <w:szCs w:val="18"/>
              </w:rPr>
              <w:t xml:space="preserve"> </w:t>
            </w:r>
          </w:p>
          <w:p w14:paraId="7FC74E8D" w14:textId="7CD3FD71" w:rsidR="00824F08" w:rsidRPr="00824F08" w:rsidRDefault="00824F08" w:rsidP="00824F08">
            <w:pPr>
              <w:rPr>
                <w:i/>
                <w:iCs/>
                <w:sz w:val="18"/>
                <w:szCs w:val="18"/>
              </w:rPr>
            </w:pPr>
            <w:r>
              <w:rPr>
                <w:i/>
                <w:iCs/>
                <w:sz w:val="18"/>
                <w:szCs w:val="18"/>
              </w:rPr>
              <w:t>Adapted from Table 1 on page 4 of article.</w:t>
            </w:r>
          </w:p>
          <w:tbl>
            <w:tblPr>
              <w:tblStyle w:val="TableSubtle1"/>
              <w:tblW w:w="0" w:type="auto"/>
              <w:tblLook w:val="04A0" w:firstRow="1" w:lastRow="0" w:firstColumn="1" w:lastColumn="0" w:noHBand="0" w:noVBand="1"/>
            </w:tblPr>
            <w:tblGrid>
              <w:gridCol w:w="3476"/>
              <w:gridCol w:w="1080"/>
              <w:gridCol w:w="1710"/>
            </w:tblGrid>
            <w:tr w:rsidR="007E07ED" w14:paraId="177AF452" w14:textId="77777777" w:rsidTr="00824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tcPr>
                <w:p w14:paraId="3474975E" w14:textId="05A7FB2D" w:rsidR="007E07ED" w:rsidRPr="007E07ED" w:rsidRDefault="007E07ED" w:rsidP="00C762D1">
                  <w:pPr>
                    <w:rPr>
                      <w:b/>
                      <w:bCs/>
                      <w:color w:val="111111"/>
                      <w:sz w:val="18"/>
                      <w:szCs w:val="18"/>
                    </w:rPr>
                  </w:pPr>
                  <w:r>
                    <w:rPr>
                      <w:b/>
                      <w:bCs/>
                      <w:color w:val="111111"/>
                      <w:sz w:val="18"/>
                      <w:szCs w:val="18"/>
                    </w:rPr>
                    <w:t>Characteristic</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7DFBABA" w14:textId="3A084BDA" w:rsidR="007E07ED" w:rsidRPr="007E07ED" w:rsidRDefault="007E07ED" w:rsidP="00C762D1">
                  <w:pPr>
                    <w:cnfStyle w:val="100000000000" w:firstRow="1" w:lastRow="0" w:firstColumn="0" w:lastColumn="0" w:oddVBand="0" w:evenVBand="0" w:oddHBand="0" w:evenHBand="0" w:firstRowFirstColumn="0" w:firstRowLastColumn="0" w:lastRowFirstColumn="0" w:lastRowLastColumn="0"/>
                    <w:rPr>
                      <w:b/>
                      <w:bCs/>
                      <w:color w:val="111111"/>
                      <w:sz w:val="18"/>
                      <w:szCs w:val="18"/>
                    </w:rPr>
                  </w:pPr>
                  <w:r w:rsidRPr="007E07ED">
                    <w:rPr>
                      <w:b/>
                      <w:bCs/>
                      <w:color w:val="111111"/>
                      <w:sz w:val="18"/>
                      <w:szCs w:val="18"/>
                    </w:rPr>
                    <w:t>N (%)</w:t>
                  </w:r>
                </w:p>
              </w:tc>
              <w:tc>
                <w:tcPr>
                  <w:tcW w:w="1710" w:type="dxa"/>
                  <w:tcBorders>
                    <w:top w:val="single" w:sz="12" w:space="0" w:color="9BBB59" w:themeColor="accent3"/>
                    <w:left w:val="single" w:sz="12" w:space="0" w:color="9BBB59" w:themeColor="accent3"/>
                    <w:bottom w:val="single" w:sz="12" w:space="0" w:color="9BBB59" w:themeColor="accent3"/>
                  </w:tcBorders>
                </w:tcPr>
                <w:p w14:paraId="5D0B59A5" w14:textId="37D530E2" w:rsidR="007E07ED" w:rsidRPr="007E07ED" w:rsidRDefault="007E07ED" w:rsidP="00C762D1">
                  <w:pPr>
                    <w:cnfStyle w:val="100000000000" w:firstRow="1" w:lastRow="0" w:firstColumn="0" w:lastColumn="0" w:oddVBand="0" w:evenVBand="0" w:oddHBand="0" w:evenHBand="0" w:firstRowFirstColumn="0" w:firstRowLastColumn="0" w:lastRowFirstColumn="0" w:lastRowLastColumn="0"/>
                    <w:rPr>
                      <w:b/>
                      <w:bCs/>
                      <w:color w:val="111111"/>
                      <w:sz w:val="18"/>
                      <w:szCs w:val="18"/>
                    </w:rPr>
                  </w:pPr>
                  <w:r w:rsidRPr="007E07ED">
                    <w:rPr>
                      <w:b/>
                      <w:bCs/>
                      <w:color w:val="111111"/>
                      <w:sz w:val="18"/>
                      <w:szCs w:val="18"/>
                    </w:rPr>
                    <w:t>Mean (SD)</w:t>
                  </w:r>
                </w:p>
              </w:tc>
            </w:tr>
            <w:tr w:rsidR="007E07ED" w14:paraId="33C09EDC" w14:textId="77777777" w:rsidTr="007E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7CAE11BD" w14:textId="6B2E6E52" w:rsidR="007E07ED" w:rsidRDefault="007E07ED" w:rsidP="007E07ED">
                  <w:pPr>
                    <w:rPr>
                      <w:b/>
                      <w:bCs/>
                      <w:color w:val="111111"/>
                      <w:sz w:val="18"/>
                      <w:szCs w:val="18"/>
                    </w:rPr>
                  </w:pPr>
                  <w:r>
                    <w:rPr>
                      <w:color w:val="111111"/>
                      <w:sz w:val="18"/>
                      <w:szCs w:val="18"/>
                    </w:rPr>
                    <w:t>Age</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3CEB6ACF" w14:textId="77777777" w:rsidR="007E07ED" w:rsidRPr="007E07ED" w:rsidRDefault="007E07ED" w:rsidP="007E07ED">
                  <w:pPr>
                    <w:cnfStyle w:val="000000100000" w:firstRow="0" w:lastRow="0" w:firstColumn="0" w:lastColumn="0" w:oddVBand="0" w:evenVBand="0" w:oddHBand="1" w:evenHBand="0" w:firstRowFirstColumn="0" w:firstRowLastColumn="0" w:lastRowFirstColumn="0" w:lastRowLastColumn="0"/>
                    <w:rPr>
                      <w:b/>
                      <w:bCs/>
                      <w:color w:val="111111"/>
                      <w:sz w:val="18"/>
                      <w:szCs w:val="18"/>
                    </w:rPr>
                  </w:pPr>
                </w:p>
              </w:tc>
              <w:tc>
                <w:tcPr>
                  <w:tcW w:w="1710" w:type="dxa"/>
                  <w:tcBorders>
                    <w:top w:val="single" w:sz="12" w:space="0" w:color="9BBB59" w:themeColor="accent3"/>
                    <w:left w:val="single" w:sz="12" w:space="0" w:color="9BBB59" w:themeColor="accent3"/>
                    <w:bottom w:val="single" w:sz="12" w:space="0" w:color="9BBB59" w:themeColor="accent3"/>
                  </w:tcBorders>
                  <w:shd w:val="clear" w:color="auto" w:fill="EAF1DD" w:themeFill="accent3" w:themeFillTint="33"/>
                </w:tcPr>
                <w:p w14:paraId="2E6D5773" w14:textId="6F4B2D1B" w:rsidR="007E07ED" w:rsidRPr="007E07ED" w:rsidRDefault="007E07ED" w:rsidP="007E07ED">
                  <w:pPr>
                    <w:cnfStyle w:val="000000100000" w:firstRow="0" w:lastRow="0" w:firstColumn="0" w:lastColumn="0" w:oddVBand="0" w:evenVBand="0" w:oddHBand="1" w:evenHBand="0" w:firstRowFirstColumn="0" w:firstRowLastColumn="0" w:lastRowFirstColumn="0" w:lastRowLastColumn="0"/>
                    <w:rPr>
                      <w:b/>
                      <w:bCs/>
                      <w:color w:val="111111"/>
                      <w:sz w:val="18"/>
                      <w:szCs w:val="18"/>
                    </w:rPr>
                  </w:pPr>
                  <w:r>
                    <w:rPr>
                      <w:color w:val="111111"/>
                      <w:sz w:val="18"/>
                      <w:szCs w:val="18"/>
                    </w:rPr>
                    <w:t>49.9 (16.1)</w:t>
                  </w:r>
                </w:p>
              </w:tc>
            </w:tr>
            <w:tr w:rsidR="007E07ED" w14:paraId="5CDB83E4" w14:textId="77777777" w:rsidTr="00824F08">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tcPr>
                <w:p w14:paraId="4BCE72B9" w14:textId="77777777" w:rsidR="007E07ED" w:rsidRDefault="007E07ED" w:rsidP="007E07ED">
                  <w:pPr>
                    <w:rPr>
                      <w:color w:val="111111"/>
                      <w:sz w:val="18"/>
                      <w:szCs w:val="18"/>
                    </w:rPr>
                  </w:pPr>
                  <w:r>
                    <w:rPr>
                      <w:color w:val="111111"/>
                      <w:sz w:val="18"/>
                      <w:szCs w:val="18"/>
                    </w:rPr>
                    <w:t>Sex</w:t>
                  </w:r>
                </w:p>
                <w:p w14:paraId="4A1410E7" w14:textId="77777777" w:rsidR="007E07ED" w:rsidRDefault="007E07ED" w:rsidP="007E07ED">
                  <w:pPr>
                    <w:rPr>
                      <w:color w:val="111111"/>
                      <w:sz w:val="18"/>
                      <w:szCs w:val="18"/>
                    </w:rPr>
                  </w:pPr>
                  <w:r>
                    <w:rPr>
                      <w:color w:val="111111"/>
                      <w:sz w:val="18"/>
                      <w:szCs w:val="18"/>
                    </w:rPr>
                    <w:t xml:space="preserve">   Female</w:t>
                  </w:r>
                </w:p>
                <w:p w14:paraId="184D8FE2" w14:textId="7ED944C2" w:rsidR="007E07ED" w:rsidRDefault="007E07ED" w:rsidP="007E07ED">
                  <w:pPr>
                    <w:rPr>
                      <w:color w:val="111111"/>
                      <w:sz w:val="18"/>
                      <w:szCs w:val="18"/>
                    </w:rPr>
                  </w:pPr>
                  <w:r>
                    <w:rPr>
                      <w:color w:val="111111"/>
                      <w:sz w:val="18"/>
                      <w:szCs w:val="18"/>
                    </w:rPr>
                    <w:t xml:space="preserve">   Male</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02FB452" w14:textId="77777777" w:rsidR="007E07ED" w:rsidRDefault="007E07ED" w:rsidP="007E07ED">
                  <w:pPr>
                    <w:cnfStyle w:val="000000000000" w:firstRow="0" w:lastRow="0" w:firstColumn="0" w:lastColumn="0" w:oddVBand="0" w:evenVBand="0" w:oddHBand="0" w:evenHBand="0" w:firstRowFirstColumn="0" w:firstRowLastColumn="0" w:lastRowFirstColumn="0" w:lastRowLastColumn="0"/>
                    <w:rPr>
                      <w:color w:val="111111"/>
                      <w:sz w:val="18"/>
                      <w:szCs w:val="18"/>
                    </w:rPr>
                  </w:pPr>
                </w:p>
                <w:p w14:paraId="712592B7" w14:textId="77777777" w:rsidR="007E07ED" w:rsidRDefault="007E07ED" w:rsidP="007E07ED">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114 (64)</w:t>
                  </w:r>
                </w:p>
                <w:p w14:paraId="72958C4B" w14:textId="497A6A18" w:rsidR="007E07ED" w:rsidRPr="007E07ED" w:rsidRDefault="007E07ED" w:rsidP="007E07ED">
                  <w:pPr>
                    <w:cnfStyle w:val="000000000000" w:firstRow="0" w:lastRow="0" w:firstColumn="0" w:lastColumn="0" w:oddVBand="0" w:evenVBand="0" w:oddHBand="0" w:evenHBand="0" w:firstRowFirstColumn="0" w:firstRowLastColumn="0" w:lastRowFirstColumn="0" w:lastRowLastColumn="0"/>
                    <w:rPr>
                      <w:b/>
                      <w:bCs/>
                      <w:color w:val="111111"/>
                      <w:sz w:val="18"/>
                      <w:szCs w:val="18"/>
                    </w:rPr>
                  </w:pPr>
                  <w:r>
                    <w:rPr>
                      <w:color w:val="111111"/>
                      <w:sz w:val="18"/>
                      <w:szCs w:val="18"/>
                    </w:rPr>
                    <w:t>65 (36)</w:t>
                  </w:r>
                </w:p>
              </w:tc>
              <w:tc>
                <w:tcPr>
                  <w:tcW w:w="1710" w:type="dxa"/>
                  <w:tcBorders>
                    <w:top w:val="single" w:sz="12" w:space="0" w:color="9BBB59" w:themeColor="accent3"/>
                    <w:left w:val="single" w:sz="12" w:space="0" w:color="9BBB59" w:themeColor="accent3"/>
                    <w:bottom w:val="single" w:sz="12" w:space="0" w:color="9BBB59" w:themeColor="accent3"/>
                  </w:tcBorders>
                </w:tcPr>
                <w:p w14:paraId="7844FF0B" w14:textId="77777777" w:rsidR="007E07ED" w:rsidRDefault="007E07ED" w:rsidP="007E07ED">
                  <w:pPr>
                    <w:cnfStyle w:val="000000000000" w:firstRow="0" w:lastRow="0" w:firstColumn="0" w:lastColumn="0" w:oddVBand="0" w:evenVBand="0" w:oddHBand="0" w:evenHBand="0" w:firstRowFirstColumn="0" w:firstRowLastColumn="0" w:lastRowFirstColumn="0" w:lastRowLastColumn="0"/>
                    <w:rPr>
                      <w:color w:val="111111"/>
                      <w:sz w:val="18"/>
                      <w:szCs w:val="18"/>
                    </w:rPr>
                  </w:pPr>
                </w:p>
                <w:p w14:paraId="6E34061D" w14:textId="77777777" w:rsidR="007E07ED" w:rsidRDefault="007E07ED" w:rsidP="007E07ED">
                  <w:pPr>
                    <w:cnfStyle w:val="000000000000" w:firstRow="0" w:lastRow="0" w:firstColumn="0" w:lastColumn="0" w:oddVBand="0" w:evenVBand="0" w:oddHBand="0" w:evenHBand="0" w:firstRowFirstColumn="0" w:firstRowLastColumn="0" w:lastRowFirstColumn="0" w:lastRowLastColumn="0"/>
                    <w:rPr>
                      <w:color w:val="111111"/>
                      <w:sz w:val="18"/>
                      <w:szCs w:val="18"/>
                    </w:rPr>
                  </w:pPr>
                </w:p>
              </w:tc>
            </w:tr>
            <w:tr w:rsidR="007E07ED" w14:paraId="343A1B49" w14:textId="77777777" w:rsidTr="007E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384FB22E" w14:textId="09F95185" w:rsidR="007E07ED" w:rsidRDefault="007E07ED" w:rsidP="007E07ED">
                  <w:pPr>
                    <w:rPr>
                      <w:color w:val="111111"/>
                      <w:sz w:val="18"/>
                      <w:szCs w:val="18"/>
                    </w:rPr>
                  </w:pPr>
                  <w:r>
                    <w:rPr>
                      <w:color w:val="111111"/>
                      <w:sz w:val="18"/>
                      <w:szCs w:val="18"/>
                    </w:rPr>
                    <w:t>Body Mass Index (Kg/m</w:t>
                  </w:r>
                  <w:r w:rsidRPr="00824F08">
                    <w:rPr>
                      <w:color w:val="111111"/>
                      <w:sz w:val="18"/>
                      <w:szCs w:val="18"/>
                      <w:vertAlign w:val="superscript"/>
                    </w:rPr>
                    <w:t>2</w:t>
                  </w:r>
                  <w:r>
                    <w:rPr>
                      <w:color w:val="111111"/>
                      <w:sz w:val="18"/>
                      <w:szCs w:val="18"/>
                    </w:rPr>
                    <w:t>)</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647366E7" w14:textId="77777777" w:rsidR="007E07ED" w:rsidRPr="007E07ED" w:rsidRDefault="007E07ED" w:rsidP="007E07ED">
                  <w:pPr>
                    <w:cnfStyle w:val="000000100000" w:firstRow="0" w:lastRow="0" w:firstColumn="0" w:lastColumn="0" w:oddVBand="0" w:evenVBand="0" w:oddHBand="1" w:evenHBand="0" w:firstRowFirstColumn="0" w:firstRowLastColumn="0" w:lastRowFirstColumn="0" w:lastRowLastColumn="0"/>
                    <w:rPr>
                      <w:b/>
                      <w:bCs/>
                      <w:color w:val="111111"/>
                      <w:sz w:val="18"/>
                      <w:szCs w:val="18"/>
                    </w:rPr>
                  </w:pPr>
                </w:p>
              </w:tc>
              <w:tc>
                <w:tcPr>
                  <w:tcW w:w="1710" w:type="dxa"/>
                  <w:tcBorders>
                    <w:top w:val="single" w:sz="12" w:space="0" w:color="9BBB59" w:themeColor="accent3"/>
                    <w:left w:val="single" w:sz="12" w:space="0" w:color="9BBB59" w:themeColor="accent3"/>
                    <w:bottom w:val="single" w:sz="12" w:space="0" w:color="9BBB59" w:themeColor="accent3"/>
                  </w:tcBorders>
                  <w:shd w:val="clear" w:color="auto" w:fill="EAF1DD" w:themeFill="accent3" w:themeFillTint="33"/>
                </w:tcPr>
                <w:p w14:paraId="3A3F94BE" w14:textId="3CB90CFF" w:rsidR="007E07ED" w:rsidRDefault="007E07ED" w:rsidP="007E07ED">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29.1 (6.5)</w:t>
                  </w:r>
                </w:p>
              </w:tc>
            </w:tr>
            <w:tr w:rsidR="00824F08" w14:paraId="50AEE553" w14:textId="77777777" w:rsidTr="007E07ED">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shd w:val="clear" w:color="auto" w:fill="FFFFFF" w:themeFill="background1"/>
                </w:tcPr>
                <w:p w14:paraId="5F72DDFD" w14:textId="77777777" w:rsidR="00824F08" w:rsidRDefault="00824F08" w:rsidP="00C762D1">
                  <w:pPr>
                    <w:rPr>
                      <w:color w:val="111111"/>
                      <w:sz w:val="18"/>
                      <w:szCs w:val="18"/>
                    </w:rPr>
                  </w:pPr>
                  <w:r>
                    <w:rPr>
                      <w:color w:val="111111"/>
                      <w:sz w:val="18"/>
                      <w:szCs w:val="18"/>
                    </w:rPr>
                    <w:t>Recruitment Site</w:t>
                  </w:r>
                </w:p>
                <w:p w14:paraId="54BB197C" w14:textId="77777777" w:rsidR="00824F08" w:rsidRDefault="00824F08" w:rsidP="00C762D1">
                  <w:pPr>
                    <w:rPr>
                      <w:color w:val="111111"/>
                      <w:sz w:val="18"/>
                      <w:szCs w:val="18"/>
                    </w:rPr>
                  </w:pPr>
                  <w:r>
                    <w:rPr>
                      <w:color w:val="111111"/>
                      <w:sz w:val="18"/>
                      <w:szCs w:val="18"/>
                    </w:rPr>
                    <w:t xml:space="preserve">   Orthopaedic clinic</w:t>
                  </w:r>
                </w:p>
                <w:p w14:paraId="28CD9D70" w14:textId="77777777" w:rsidR="00824F08" w:rsidRDefault="00824F08" w:rsidP="00C762D1">
                  <w:pPr>
                    <w:rPr>
                      <w:color w:val="111111"/>
                      <w:sz w:val="18"/>
                      <w:szCs w:val="18"/>
                    </w:rPr>
                  </w:pPr>
                  <w:r>
                    <w:rPr>
                      <w:color w:val="111111"/>
                      <w:sz w:val="18"/>
                      <w:szCs w:val="18"/>
                    </w:rPr>
                    <w:t xml:space="preserve">   Family medicine unit</w:t>
                  </w:r>
                </w:p>
                <w:p w14:paraId="731DA109" w14:textId="77777777" w:rsidR="00824F08" w:rsidRDefault="00824F08" w:rsidP="00C762D1">
                  <w:pPr>
                    <w:rPr>
                      <w:color w:val="111111"/>
                      <w:sz w:val="18"/>
                      <w:szCs w:val="18"/>
                    </w:rPr>
                  </w:pPr>
                  <w:r>
                    <w:rPr>
                      <w:color w:val="111111"/>
                      <w:sz w:val="18"/>
                      <w:szCs w:val="18"/>
                    </w:rPr>
                    <w:t xml:space="preserve">   University community</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themeFill="background1"/>
                </w:tcPr>
                <w:p w14:paraId="52B7BDD2"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p w14:paraId="6DF9FC53"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142 (80)</w:t>
                  </w:r>
                </w:p>
                <w:p w14:paraId="2A51F098"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15 (8)</w:t>
                  </w:r>
                </w:p>
                <w:p w14:paraId="2487B530"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22 (12)</w:t>
                  </w:r>
                </w:p>
              </w:tc>
              <w:tc>
                <w:tcPr>
                  <w:tcW w:w="1710" w:type="dxa"/>
                  <w:tcBorders>
                    <w:top w:val="single" w:sz="12" w:space="0" w:color="9BBB59" w:themeColor="accent3"/>
                    <w:left w:val="single" w:sz="12" w:space="0" w:color="9BBB59" w:themeColor="accent3"/>
                    <w:bottom w:val="single" w:sz="12" w:space="0" w:color="9BBB59" w:themeColor="accent3"/>
                  </w:tcBorders>
                  <w:shd w:val="clear" w:color="auto" w:fill="FFFFFF" w:themeFill="background1"/>
                </w:tcPr>
                <w:p w14:paraId="053EAE3C"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tc>
            </w:tr>
            <w:tr w:rsidR="00824F08" w14:paraId="4D966940" w14:textId="77777777" w:rsidTr="00824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60A07D76" w14:textId="77777777" w:rsidR="00824F08" w:rsidRDefault="00824F08" w:rsidP="00C762D1">
                  <w:pPr>
                    <w:rPr>
                      <w:color w:val="111111"/>
                      <w:sz w:val="18"/>
                      <w:szCs w:val="18"/>
                    </w:rPr>
                  </w:pPr>
                  <w:r>
                    <w:rPr>
                      <w:color w:val="111111"/>
                      <w:sz w:val="18"/>
                      <w:szCs w:val="18"/>
                    </w:rPr>
                    <w:t xml:space="preserve">History of trauma </w:t>
                  </w:r>
                </w:p>
              </w:tc>
              <w:tc>
                <w:tcPr>
                  <w:tcW w:w="1080"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07FA0FAE"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47 (26)</w:t>
                  </w:r>
                </w:p>
              </w:tc>
              <w:tc>
                <w:tcPr>
                  <w:tcW w:w="1710" w:type="dxa"/>
                  <w:tcBorders>
                    <w:top w:val="single" w:sz="12" w:space="0" w:color="9BBB59" w:themeColor="accent3"/>
                    <w:left w:val="single" w:sz="12" w:space="0" w:color="9BBB59" w:themeColor="accent3"/>
                    <w:bottom w:val="single" w:sz="12" w:space="0" w:color="9BBB59" w:themeColor="accent3"/>
                  </w:tcBorders>
                  <w:shd w:val="clear" w:color="auto" w:fill="EAF1DD" w:themeFill="accent3" w:themeFillTint="33"/>
                </w:tcPr>
                <w:p w14:paraId="1F384AB3"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p>
              </w:tc>
            </w:tr>
            <w:tr w:rsidR="007E07ED" w14:paraId="2713F0B5" w14:textId="77777777" w:rsidTr="007E07ED">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right w:val="single" w:sz="12" w:space="0" w:color="9BBB59" w:themeColor="accent3"/>
                  </w:tcBorders>
                  <w:shd w:val="clear" w:color="auto" w:fill="FFFFFF" w:themeFill="background1"/>
                </w:tcPr>
                <w:p w14:paraId="1E50AD3F" w14:textId="77777777" w:rsidR="00824F08" w:rsidRDefault="00824F08" w:rsidP="00C762D1">
                  <w:pPr>
                    <w:rPr>
                      <w:color w:val="111111"/>
                      <w:sz w:val="18"/>
                      <w:szCs w:val="18"/>
                    </w:rPr>
                  </w:pPr>
                  <w:r>
                    <w:rPr>
                      <w:color w:val="111111"/>
                      <w:sz w:val="18"/>
                      <w:szCs w:val="18"/>
                    </w:rPr>
                    <w:t>Bilateral knee pain</w:t>
                  </w:r>
                </w:p>
              </w:tc>
              <w:tc>
                <w:tcPr>
                  <w:tcW w:w="1080" w:type="dxa"/>
                  <w:tcBorders>
                    <w:top w:val="single" w:sz="12" w:space="0" w:color="9BBB59" w:themeColor="accent3"/>
                    <w:left w:val="single" w:sz="12" w:space="0" w:color="9BBB59" w:themeColor="accent3"/>
                    <w:right w:val="single" w:sz="12" w:space="0" w:color="9BBB59" w:themeColor="accent3"/>
                  </w:tcBorders>
                  <w:shd w:val="clear" w:color="auto" w:fill="FFFFFF" w:themeFill="background1"/>
                </w:tcPr>
                <w:p w14:paraId="1812FA12"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39 (22)</w:t>
                  </w:r>
                </w:p>
              </w:tc>
              <w:tc>
                <w:tcPr>
                  <w:tcW w:w="1710" w:type="dxa"/>
                  <w:tcBorders>
                    <w:top w:val="single" w:sz="12" w:space="0" w:color="9BBB59" w:themeColor="accent3"/>
                    <w:left w:val="single" w:sz="12" w:space="0" w:color="9BBB59" w:themeColor="accent3"/>
                  </w:tcBorders>
                  <w:shd w:val="clear" w:color="auto" w:fill="FFFFFF" w:themeFill="background1"/>
                </w:tcPr>
                <w:p w14:paraId="2B103026"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tc>
            </w:tr>
            <w:tr w:rsidR="00824F08" w14:paraId="25C8A099" w14:textId="77777777" w:rsidTr="00C76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bottom w:val="single" w:sz="12" w:space="0" w:color="9BBB59" w:themeColor="accent3"/>
                    <w:right w:val="single" w:sz="12" w:space="0" w:color="9BBB59" w:themeColor="accent3"/>
                  </w:tcBorders>
                  <w:shd w:val="clear" w:color="auto" w:fill="EAF1DD" w:themeFill="accent3" w:themeFillTint="33"/>
                </w:tcPr>
                <w:p w14:paraId="43060D7F" w14:textId="77777777" w:rsidR="00824F08" w:rsidRDefault="00824F08" w:rsidP="00C762D1">
                  <w:pPr>
                    <w:rPr>
                      <w:color w:val="111111"/>
                      <w:sz w:val="18"/>
                      <w:szCs w:val="18"/>
                    </w:rPr>
                  </w:pPr>
                  <w:r>
                    <w:rPr>
                      <w:color w:val="111111"/>
                      <w:sz w:val="18"/>
                      <w:szCs w:val="18"/>
                    </w:rPr>
                    <w:t>Duration of pain at the time of consultation</w:t>
                  </w:r>
                </w:p>
                <w:p w14:paraId="5A408E63" w14:textId="77777777" w:rsidR="00824F08" w:rsidRDefault="00824F08" w:rsidP="00C762D1">
                  <w:pPr>
                    <w:rPr>
                      <w:color w:val="111111"/>
                      <w:sz w:val="18"/>
                      <w:szCs w:val="18"/>
                    </w:rPr>
                  </w:pPr>
                  <w:r>
                    <w:rPr>
                      <w:color w:val="111111"/>
                      <w:sz w:val="18"/>
                      <w:szCs w:val="18"/>
                    </w:rPr>
                    <w:t xml:space="preserve">   &lt;3 months</w:t>
                  </w:r>
                </w:p>
                <w:p w14:paraId="79A35037" w14:textId="77777777" w:rsidR="00824F08" w:rsidRDefault="00824F08" w:rsidP="00C762D1">
                  <w:pPr>
                    <w:rPr>
                      <w:color w:val="111111"/>
                      <w:sz w:val="18"/>
                      <w:szCs w:val="18"/>
                    </w:rPr>
                  </w:pPr>
                  <w:r>
                    <w:rPr>
                      <w:color w:val="111111"/>
                      <w:sz w:val="18"/>
                      <w:szCs w:val="18"/>
                    </w:rPr>
                    <w:t xml:space="preserve">   3-13 months</w:t>
                  </w:r>
                </w:p>
                <w:p w14:paraId="09494F89" w14:textId="77777777" w:rsidR="00824F08" w:rsidRDefault="00824F08" w:rsidP="00C762D1">
                  <w:pPr>
                    <w:rPr>
                      <w:color w:val="111111"/>
                      <w:sz w:val="18"/>
                      <w:szCs w:val="18"/>
                    </w:rPr>
                  </w:pPr>
                  <w:r>
                    <w:rPr>
                      <w:color w:val="111111"/>
                      <w:sz w:val="18"/>
                      <w:szCs w:val="18"/>
                    </w:rPr>
                    <w:t xml:space="preserve">   </w:t>
                  </w:r>
                  <w:r>
                    <w:rPr>
                      <w:color w:val="111111"/>
                      <w:sz w:val="18"/>
                      <w:szCs w:val="18"/>
                      <w:u w:val="single"/>
                    </w:rPr>
                    <w:t>&gt;</w:t>
                  </w:r>
                  <w:r>
                    <w:rPr>
                      <w:color w:val="111111"/>
                      <w:sz w:val="18"/>
                      <w:szCs w:val="18"/>
                    </w:rPr>
                    <w:t xml:space="preserve"> 12 months </w:t>
                  </w:r>
                </w:p>
              </w:tc>
              <w:tc>
                <w:tcPr>
                  <w:tcW w:w="1080" w:type="dxa"/>
                  <w:tcBorders>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5C7CF07E"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p>
                <w:p w14:paraId="4022F4AE"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17 (10)</w:t>
                  </w:r>
                </w:p>
                <w:p w14:paraId="18118810"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45 (25)</w:t>
                  </w:r>
                </w:p>
                <w:p w14:paraId="739D80E9"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39 (22)</w:t>
                  </w:r>
                </w:p>
              </w:tc>
              <w:tc>
                <w:tcPr>
                  <w:tcW w:w="1710" w:type="dxa"/>
                  <w:tcBorders>
                    <w:left w:val="single" w:sz="12" w:space="0" w:color="9BBB59" w:themeColor="accent3"/>
                    <w:bottom w:val="single" w:sz="12" w:space="0" w:color="9BBB59" w:themeColor="accent3"/>
                  </w:tcBorders>
                  <w:shd w:val="clear" w:color="auto" w:fill="EAF1DD" w:themeFill="accent3" w:themeFillTint="33"/>
                </w:tcPr>
                <w:p w14:paraId="7C676633"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p>
              </w:tc>
            </w:tr>
            <w:tr w:rsidR="007E07ED" w14:paraId="1B03CDF9" w14:textId="77777777" w:rsidTr="007E07ED">
              <w:tc>
                <w:tcPr>
                  <w:cnfStyle w:val="001000000000" w:firstRow="0" w:lastRow="0" w:firstColumn="1" w:lastColumn="0" w:oddVBand="0" w:evenVBand="0" w:oddHBand="0" w:evenHBand="0" w:firstRowFirstColumn="0" w:firstRowLastColumn="0" w:lastRowFirstColumn="0" w:lastRowLastColumn="0"/>
                  <w:tcW w:w="3476" w:type="dxa"/>
                  <w:tcBorders>
                    <w:top w:val="single" w:sz="12" w:space="0" w:color="9BBB59" w:themeColor="accent3"/>
                    <w:right w:val="single" w:sz="12" w:space="0" w:color="9BBB59" w:themeColor="accent3"/>
                  </w:tcBorders>
                  <w:shd w:val="clear" w:color="auto" w:fill="FFFFFF" w:themeFill="background1"/>
                </w:tcPr>
                <w:p w14:paraId="1CC5E0FB" w14:textId="77777777" w:rsidR="00824F08" w:rsidRDefault="00824F08" w:rsidP="00C762D1">
                  <w:pPr>
                    <w:rPr>
                      <w:color w:val="111111"/>
                      <w:sz w:val="18"/>
                      <w:szCs w:val="18"/>
                    </w:rPr>
                  </w:pPr>
                  <w:r>
                    <w:rPr>
                      <w:color w:val="111111"/>
                      <w:sz w:val="18"/>
                      <w:szCs w:val="18"/>
                    </w:rPr>
                    <w:t xml:space="preserve">KOOS – Knee Injury and Osteoarthritis Outcomes Score (%) </w:t>
                  </w:r>
                </w:p>
                <w:p w14:paraId="6E54B707" w14:textId="77777777" w:rsidR="00824F08" w:rsidRDefault="00824F08" w:rsidP="00C762D1">
                  <w:pPr>
                    <w:rPr>
                      <w:color w:val="111111"/>
                      <w:sz w:val="18"/>
                      <w:szCs w:val="18"/>
                    </w:rPr>
                  </w:pPr>
                  <w:r>
                    <w:rPr>
                      <w:color w:val="111111"/>
                      <w:sz w:val="18"/>
                      <w:szCs w:val="18"/>
                    </w:rPr>
                    <w:t xml:space="preserve">   Pain</w:t>
                  </w:r>
                </w:p>
                <w:p w14:paraId="42FE6A13" w14:textId="77777777" w:rsidR="00824F08" w:rsidRDefault="00824F08" w:rsidP="00C762D1">
                  <w:pPr>
                    <w:rPr>
                      <w:color w:val="111111"/>
                      <w:sz w:val="18"/>
                      <w:szCs w:val="18"/>
                    </w:rPr>
                  </w:pPr>
                  <w:r>
                    <w:rPr>
                      <w:color w:val="111111"/>
                      <w:sz w:val="18"/>
                      <w:szCs w:val="18"/>
                    </w:rPr>
                    <w:t xml:space="preserve">   Symptoms</w:t>
                  </w:r>
                </w:p>
                <w:p w14:paraId="35382F59" w14:textId="77777777" w:rsidR="00824F08" w:rsidRDefault="00824F08" w:rsidP="00C762D1">
                  <w:pPr>
                    <w:rPr>
                      <w:color w:val="111111"/>
                      <w:sz w:val="18"/>
                      <w:szCs w:val="18"/>
                    </w:rPr>
                  </w:pPr>
                  <w:r>
                    <w:rPr>
                      <w:color w:val="111111"/>
                      <w:sz w:val="18"/>
                      <w:szCs w:val="18"/>
                    </w:rPr>
                    <w:t xml:space="preserve">   Activities of Daily Living</w:t>
                  </w:r>
                </w:p>
                <w:p w14:paraId="477D3802" w14:textId="77777777" w:rsidR="00824F08" w:rsidRDefault="00824F08" w:rsidP="00C762D1">
                  <w:pPr>
                    <w:rPr>
                      <w:color w:val="111111"/>
                      <w:sz w:val="18"/>
                      <w:szCs w:val="18"/>
                    </w:rPr>
                  </w:pPr>
                  <w:r>
                    <w:rPr>
                      <w:color w:val="111111"/>
                      <w:sz w:val="18"/>
                      <w:szCs w:val="18"/>
                    </w:rPr>
                    <w:t xml:space="preserve">   Sports</w:t>
                  </w:r>
                </w:p>
                <w:p w14:paraId="29DA73ED" w14:textId="77777777" w:rsidR="00824F08" w:rsidRDefault="00824F08" w:rsidP="00C762D1">
                  <w:pPr>
                    <w:rPr>
                      <w:color w:val="111111"/>
                      <w:sz w:val="18"/>
                      <w:szCs w:val="18"/>
                    </w:rPr>
                  </w:pPr>
                  <w:r>
                    <w:rPr>
                      <w:color w:val="111111"/>
                      <w:sz w:val="18"/>
                      <w:szCs w:val="18"/>
                    </w:rPr>
                    <w:t xml:space="preserve">   Quality of Life</w:t>
                  </w:r>
                </w:p>
              </w:tc>
              <w:tc>
                <w:tcPr>
                  <w:tcW w:w="1080" w:type="dxa"/>
                  <w:tcBorders>
                    <w:top w:val="single" w:sz="12" w:space="0" w:color="9BBB59" w:themeColor="accent3"/>
                    <w:left w:val="single" w:sz="12" w:space="0" w:color="9BBB59" w:themeColor="accent3"/>
                    <w:right w:val="single" w:sz="12" w:space="0" w:color="9BBB59" w:themeColor="accent3"/>
                  </w:tcBorders>
                  <w:shd w:val="clear" w:color="auto" w:fill="FFFFFF" w:themeFill="background1"/>
                </w:tcPr>
                <w:p w14:paraId="3C9E24B6"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tc>
              <w:tc>
                <w:tcPr>
                  <w:tcW w:w="1710" w:type="dxa"/>
                  <w:tcBorders>
                    <w:top w:val="single" w:sz="12" w:space="0" w:color="9BBB59" w:themeColor="accent3"/>
                    <w:left w:val="single" w:sz="12" w:space="0" w:color="9BBB59" w:themeColor="accent3"/>
                  </w:tcBorders>
                  <w:shd w:val="clear" w:color="auto" w:fill="FFFFFF" w:themeFill="background1"/>
                </w:tcPr>
                <w:p w14:paraId="19F33D40"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p w14:paraId="23817FA4"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p>
                <w:p w14:paraId="3A0A83AE"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58.6 (19.7)</w:t>
                  </w:r>
                </w:p>
                <w:p w14:paraId="406A8087"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71.0 (19.6)</w:t>
                  </w:r>
                </w:p>
                <w:p w14:paraId="50D19E79"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66.1 (21.8)</w:t>
                  </w:r>
                </w:p>
                <w:p w14:paraId="14B96339"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31.4 (24.8)</w:t>
                  </w:r>
                </w:p>
                <w:p w14:paraId="27203E53" w14:textId="77777777" w:rsidR="00824F08" w:rsidRDefault="00824F08" w:rsidP="00C762D1">
                  <w:pPr>
                    <w:cnfStyle w:val="000000000000" w:firstRow="0" w:lastRow="0" w:firstColumn="0" w:lastColumn="0" w:oddVBand="0" w:evenVBand="0" w:oddHBand="0" w:evenHBand="0" w:firstRowFirstColumn="0" w:firstRowLastColumn="0" w:lastRowFirstColumn="0" w:lastRowLastColumn="0"/>
                    <w:rPr>
                      <w:color w:val="111111"/>
                      <w:sz w:val="18"/>
                      <w:szCs w:val="18"/>
                    </w:rPr>
                  </w:pPr>
                  <w:r>
                    <w:rPr>
                      <w:color w:val="111111"/>
                      <w:sz w:val="18"/>
                      <w:szCs w:val="18"/>
                    </w:rPr>
                    <w:t>40.9 (20.3)</w:t>
                  </w:r>
                </w:p>
              </w:tc>
            </w:tr>
            <w:tr w:rsidR="00824F08" w14:paraId="52EF57D8" w14:textId="77777777" w:rsidTr="007E0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6" w:type="dxa"/>
                  <w:tcBorders>
                    <w:bottom w:val="single" w:sz="12" w:space="0" w:color="9BBB59" w:themeColor="accent3"/>
                    <w:right w:val="single" w:sz="12" w:space="0" w:color="9BBB59" w:themeColor="accent3"/>
                  </w:tcBorders>
                  <w:shd w:val="clear" w:color="auto" w:fill="EAF1DD" w:themeFill="accent3" w:themeFillTint="33"/>
                </w:tcPr>
                <w:p w14:paraId="7C01786F" w14:textId="77777777" w:rsidR="00824F08" w:rsidRDefault="00824F08" w:rsidP="00C762D1">
                  <w:pPr>
                    <w:rPr>
                      <w:color w:val="111111"/>
                      <w:sz w:val="18"/>
                      <w:szCs w:val="18"/>
                    </w:rPr>
                  </w:pPr>
                  <w:r>
                    <w:rPr>
                      <w:color w:val="111111"/>
                      <w:sz w:val="18"/>
                      <w:szCs w:val="18"/>
                    </w:rPr>
                    <w:t>K6 psychological distress scale (/30)</w:t>
                  </w:r>
                </w:p>
              </w:tc>
              <w:tc>
                <w:tcPr>
                  <w:tcW w:w="1080" w:type="dxa"/>
                  <w:tcBorders>
                    <w:left w:val="single" w:sz="12" w:space="0" w:color="9BBB59" w:themeColor="accent3"/>
                    <w:bottom w:val="single" w:sz="12" w:space="0" w:color="9BBB59" w:themeColor="accent3"/>
                    <w:right w:val="single" w:sz="12" w:space="0" w:color="9BBB59" w:themeColor="accent3"/>
                  </w:tcBorders>
                  <w:shd w:val="clear" w:color="auto" w:fill="EAF1DD" w:themeFill="accent3" w:themeFillTint="33"/>
                </w:tcPr>
                <w:p w14:paraId="5F763641"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p>
              </w:tc>
              <w:tc>
                <w:tcPr>
                  <w:tcW w:w="1710" w:type="dxa"/>
                  <w:tcBorders>
                    <w:left w:val="single" w:sz="12" w:space="0" w:color="9BBB59" w:themeColor="accent3"/>
                    <w:bottom w:val="single" w:sz="12" w:space="0" w:color="9BBB59" w:themeColor="accent3"/>
                  </w:tcBorders>
                  <w:shd w:val="clear" w:color="auto" w:fill="EAF1DD" w:themeFill="accent3" w:themeFillTint="33"/>
                </w:tcPr>
                <w:p w14:paraId="550C463C" w14:textId="77777777" w:rsidR="00824F08" w:rsidRDefault="00824F08" w:rsidP="00C762D1">
                  <w:pPr>
                    <w:cnfStyle w:val="000000100000" w:firstRow="0" w:lastRow="0" w:firstColumn="0" w:lastColumn="0" w:oddVBand="0" w:evenVBand="0" w:oddHBand="1" w:evenHBand="0" w:firstRowFirstColumn="0" w:firstRowLastColumn="0" w:lastRowFirstColumn="0" w:lastRowLastColumn="0"/>
                    <w:rPr>
                      <w:color w:val="111111"/>
                      <w:sz w:val="18"/>
                      <w:szCs w:val="18"/>
                    </w:rPr>
                  </w:pPr>
                  <w:r>
                    <w:rPr>
                      <w:color w:val="111111"/>
                      <w:sz w:val="18"/>
                      <w:szCs w:val="18"/>
                    </w:rPr>
                    <w:t>26.0 (4.5)</w:t>
                  </w:r>
                </w:p>
              </w:tc>
            </w:tr>
          </w:tbl>
          <w:p w14:paraId="0CF57A94" w14:textId="2A6F5518" w:rsidR="0000738B" w:rsidRPr="002F16E1" w:rsidRDefault="0000738B" w:rsidP="00C70AEC">
            <w:pPr>
              <w:spacing w:before="120" w:after="120"/>
              <w:rPr>
                <w:sz w:val="18"/>
                <w:szCs w:val="18"/>
              </w:rPr>
            </w:pPr>
          </w:p>
        </w:tc>
      </w:tr>
      <w:tr w:rsidR="0000738B" w:rsidRPr="002F16E1" w14:paraId="3BC82B05" w14:textId="77777777" w:rsidTr="00B82150">
        <w:tc>
          <w:tcPr>
            <w:tcW w:w="10421" w:type="dxa"/>
            <w:shd w:val="clear" w:color="auto" w:fill="E6E6E6"/>
          </w:tcPr>
          <w:p w14:paraId="12CE3980" w14:textId="77777777" w:rsidR="0000738B" w:rsidRPr="002F16E1" w:rsidRDefault="0000738B" w:rsidP="00B82150">
            <w:pPr>
              <w:spacing w:before="120" w:after="120"/>
              <w:rPr>
                <w:b/>
                <w:sz w:val="18"/>
                <w:szCs w:val="18"/>
              </w:rPr>
            </w:pPr>
            <w:r w:rsidRPr="002F16E1">
              <w:rPr>
                <w:b/>
                <w:sz w:val="18"/>
                <w:szCs w:val="18"/>
              </w:rPr>
              <w:t>Intervention Investigated</w:t>
            </w:r>
          </w:p>
          <w:p w14:paraId="0C80945B" w14:textId="77777777" w:rsidR="0000738B" w:rsidRPr="002F16E1" w:rsidRDefault="0000738B" w:rsidP="00B82150">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3F428763" w14:textId="77777777" w:rsidTr="00B82150">
        <w:tc>
          <w:tcPr>
            <w:tcW w:w="10421" w:type="dxa"/>
            <w:shd w:val="clear" w:color="auto" w:fill="auto"/>
          </w:tcPr>
          <w:p w14:paraId="09272EFE" w14:textId="77777777" w:rsidR="0000738B" w:rsidRPr="002F16E1" w:rsidRDefault="0000738B" w:rsidP="00B82150">
            <w:pPr>
              <w:spacing w:before="120" w:after="120"/>
              <w:rPr>
                <w:i/>
                <w:sz w:val="18"/>
                <w:szCs w:val="18"/>
              </w:rPr>
            </w:pPr>
            <w:r w:rsidRPr="002F16E1">
              <w:rPr>
                <w:i/>
                <w:sz w:val="18"/>
                <w:szCs w:val="18"/>
              </w:rPr>
              <w:t>Control</w:t>
            </w:r>
          </w:p>
        </w:tc>
      </w:tr>
      <w:tr w:rsidR="0000738B" w:rsidRPr="002F16E1" w14:paraId="2109D850" w14:textId="77777777" w:rsidTr="00B82150">
        <w:tc>
          <w:tcPr>
            <w:tcW w:w="10421" w:type="dxa"/>
            <w:shd w:val="clear" w:color="auto" w:fill="auto"/>
          </w:tcPr>
          <w:p w14:paraId="26C9A69F" w14:textId="38584CAA" w:rsidR="0000738B" w:rsidRPr="002F16E1" w:rsidRDefault="00C70AEC" w:rsidP="00B82150">
            <w:pPr>
              <w:spacing w:before="120" w:after="120"/>
              <w:rPr>
                <w:sz w:val="18"/>
                <w:szCs w:val="18"/>
              </w:rPr>
            </w:pPr>
            <w:r>
              <w:rPr>
                <w:sz w:val="18"/>
                <w:szCs w:val="18"/>
              </w:rPr>
              <w:t xml:space="preserve">This was a prospective diagnostic cohort study attempting to </w:t>
            </w:r>
            <w:r w:rsidR="00077B5C">
              <w:rPr>
                <w:sz w:val="18"/>
                <w:szCs w:val="18"/>
              </w:rPr>
              <w:t xml:space="preserve">1) </w:t>
            </w:r>
            <w:r>
              <w:rPr>
                <w:sz w:val="18"/>
                <w:szCs w:val="18"/>
              </w:rPr>
              <w:t xml:space="preserve">compare diagnosis and triage of knee injuries by </w:t>
            </w:r>
            <w:r w:rsidR="00077B5C">
              <w:rPr>
                <w:sz w:val="18"/>
                <w:szCs w:val="18"/>
              </w:rPr>
              <w:t>physiotherapists</w:t>
            </w:r>
            <w:r>
              <w:rPr>
                <w:sz w:val="18"/>
                <w:szCs w:val="18"/>
              </w:rPr>
              <w:t xml:space="preserve"> versus speciality physicians</w:t>
            </w:r>
            <w:r w:rsidR="00077B5C">
              <w:rPr>
                <w:sz w:val="18"/>
                <w:szCs w:val="18"/>
              </w:rPr>
              <w:t xml:space="preserve"> and 2) assess the validity of physiotherapists</w:t>
            </w:r>
            <w:r w:rsidR="003C1676">
              <w:rPr>
                <w:sz w:val="18"/>
                <w:szCs w:val="18"/>
              </w:rPr>
              <w:t>’</w:t>
            </w:r>
            <w:r w:rsidR="00077B5C">
              <w:rPr>
                <w:sz w:val="18"/>
                <w:szCs w:val="18"/>
              </w:rPr>
              <w:t xml:space="preserve"> musculoskeletal examination of the knee</w:t>
            </w:r>
            <w:r w:rsidR="003C1676">
              <w:rPr>
                <w:sz w:val="18"/>
                <w:szCs w:val="18"/>
              </w:rPr>
              <w:t>.</w:t>
            </w:r>
          </w:p>
        </w:tc>
      </w:tr>
      <w:tr w:rsidR="0000738B" w:rsidRPr="002F16E1" w14:paraId="7BC4F848" w14:textId="77777777" w:rsidTr="00B82150">
        <w:tc>
          <w:tcPr>
            <w:tcW w:w="10421" w:type="dxa"/>
            <w:shd w:val="clear" w:color="auto" w:fill="auto"/>
          </w:tcPr>
          <w:p w14:paraId="11BC3188" w14:textId="77777777" w:rsidR="0000738B" w:rsidRPr="002F16E1" w:rsidRDefault="0000738B" w:rsidP="00B82150">
            <w:pPr>
              <w:spacing w:before="120" w:after="120"/>
              <w:rPr>
                <w:i/>
                <w:sz w:val="18"/>
                <w:szCs w:val="18"/>
              </w:rPr>
            </w:pPr>
            <w:r w:rsidRPr="002F16E1">
              <w:rPr>
                <w:i/>
                <w:sz w:val="18"/>
                <w:szCs w:val="18"/>
              </w:rPr>
              <w:t>Experimental</w:t>
            </w:r>
          </w:p>
        </w:tc>
      </w:tr>
      <w:tr w:rsidR="0000738B" w:rsidRPr="002F16E1" w14:paraId="73DBFD04" w14:textId="77777777" w:rsidTr="00B82150">
        <w:tc>
          <w:tcPr>
            <w:tcW w:w="10421" w:type="dxa"/>
            <w:tcBorders>
              <w:bottom w:val="single" w:sz="4" w:space="0" w:color="auto"/>
            </w:tcBorders>
            <w:shd w:val="clear" w:color="auto" w:fill="auto"/>
          </w:tcPr>
          <w:p w14:paraId="04DB8077" w14:textId="48D0E953" w:rsidR="0000738B" w:rsidRPr="002F16E1" w:rsidRDefault="00C70AEC" w:rsidP="00142789">
            <w:pPr>
              <w:spacing w:before="120" w:after="120"/>
              <w:rPr>
                <w:sz w:val="18"/>
                <w:szCs w:val="18"/>
              </w:rPr>
            </w:pPr>
            <w:r w:rsidRPr="00C70AEC">
              <w:rPr>
                <w:sz w:val="18"/>
                <w:szCs w:val="18"/>
              </w:rPr>
              <w:t xml:space="preserve">As this study was a retrospective cohort study, there was no specific experimental group.  Instead </w:t>
            </w:r>
            <w:r>
              <w:rPr>
                <w:sz w:val="18"/>
                <w:szCs w:val="18"/>
              </w:rPr>
              <w:t>the physician diagnosis was held at the reference standard to compare with the PT</w:t>
            </w:r>
            <w:r w:rsidR="00142789">
              <w:rPr>
                <w:sz w:val="18"/>
                <w:szCs w:val="18"/>
              </w:rPr>
              <w:t>’s</w:t>
            </w:r>
            <w:r>
              <w:rPr>
                <w:sz w:val="18"/>
                <w:szCs w:val="18"/>
              </w:rPr>
              <w:t xml:space="preserve"> diagnosis</w:t>
            </w:r>
            <w:r w:rsidR="00142789">
              <w:rPr>
                <w:sz w:val="18"/>
                <w:szCs w:val="18"/>
              </w:rPr>
              <w:t xml:space="preserve"> and</w:t>
            </w:r>
            <w:r>
              <w:rPr>
                <w:sz w:val="18"/>
                <w:szCs w:val="18"/>
              </w:rPr>
              <w:t xml:space="preserve"> </w:t>
            </w:r>
            <w:r w:rsidR="00142789">
              <w:rPr>
                <w:sz w:val="18"/>
                <w:szCs w:val="18"/>
              </w:rPr>
              <w:t xml:space="preserve">triage </w:t>
            </w:r>
            <w:r w:rsidR="00142789">
              <w:rPr>
                <w:sz w:val="18"/>
                <w:szCs w:val="18"/>
              </w:rPr>
              <w:lastRenderedPageBreak/>
              <w:t>recommendation.  The physician diagnosis and triage choice could be considered the control and the PT diagnosis and triage choice could be considered the experimental group.</w:t>
            </w:r>
          </w:p>
        </w:tc>
      </w:tr>
      <w:tr w:rsidR="0000738B" w:rsidRPr="002F16E1" w14:paraId="26FAAF3F" w14:textId="77777777" w:rsidTr="00B82150">
        <w:tc>
          <w:tcPr>
            <w:tcW w:w="10421" w:type="dxa"/>
            <w:shd w:val="clear" w:color="auto" w:fill="E6E6E6"/>
          </w:tcPr>
          <w:p w14:paraId="59866D99" w14:textId="77777777" w:rsidR="0000738B" w:rsidRPr="002F16E1" w:rsidRDefault="0000738B" w:rsidP="00B82150">
            <w:pPr>
              <w:spacing w:before="120" w:after="120"/>
              <w:rPr>
                <w:sz w:val="18"/>
                <w:szCs w:val="18"/>
              </w:rPr>
            </w:pPr>
            <w:r w:rsidRPr="002F16E1">
              <w:rPr>
                <w:b/>
                <w:sz w:val="18"/>
                <w:szCs w:val="18"/>
              </w:rPr>
              <w:lastRenderedPageBreak/>
              <w:t>Outcome Measures</w:t>
            </w:r>
          </w:p>
          <w:p w14:paraId="15277D32" w14:textId="77777777" w:rsidR="0000738B" w:rsidRPr="002F16E1" w:rsidRDefault="0000738B" w:rsidP="00B82150">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44B636C7" w14:textId="77777777" w:rsidTr="00B82150">
        <w:tc>
          <w:tcPr>
            <w:tcW w:w="10421" w:type="dxa"/>
            <w:tcBorders>
              <w:bottom w:val="single" w:sz="4" w:space="0" w:color="auto"/>
            </w:tcBorders>
            <w:shd w:val="clear" w:color="auto" w:fill="auto"/>
          </w:tcPr>
          <w:p w14:paraId="7A21D3AF" w14:textId="48C4AF9D" w:rsidR="0000738B" w:rsidRPr="002F16E1" w:rsidRDefault="00142789" w:rsidP="00B82150">
            <w:pPr>
              <w:spacing w:before="120" w:after="120"/>
              <w:rPr>
                <w:sz w:val="18"/>
                <w:szCs w:val="18"/>
              </w:rPr>
            </w:pPr>
            <w:r>
              <w:rPr>
                <w:sz w:val="18"/>
                <w:szCs w:val="18"/>
              </w:rPr>
              <w:t xml:space="preserve">The </w:t>
            </w:r>
            <w:r w:rsidR="00347B77">
              <w:rPr>
                <w:sz w:val="18"/>
                <w:szCs w:val="18"/>
              </w:rPr>
              <w:t>first main</w:t>
            </w:r>
            <w:r>
              <w:rPr>
                <w:sz w:val="18"/>
                <w:szCs w:val="18"/>
              </w:rPr>
              <w:t xml:space="preserve"> outcome w</w:t>
            </w:r>
            <w:r w:rsidR="00347B77">
              <w:rPr>
                <w:sz w:val="18"/>
                <w:szCs w:val="18"/>
              </w:rPr>
              <w:t>as</w:t>
            </w:r>
            <w:r>
              <w:rPr>
                <w:sz w:val="18"/>
                <w:szCs w:val="18"/>
              </w:rPr>
              <w:t xml:space="preserve"> concordance between PT and physician diagnos</w:t>
            </w:r>
            <w:r w:rsidR="0011059D">
              <w:rPr>
                <w:sz w:val="18"/>
                <w:szCs w:val="18"/>
              </w:rPr>
              <w:t>i</w:t>
            </w:r>
            <w:r>
              <w:rPr>
                <w:sz w:val="18"/>
                <w:szCs w:val="18"/>
              </w:rPr>
              <w:t xml:space="preserve">s. </w:t>
            </w:r>
            <w:r w:rsidR="00347B77">
              <w:rPr>
                <w:sz w:val="18"/>
                <w:szCs w:val="18"/>
              </w:rPr>
              <w:t xml:space="preserve"> </w:t>
            </w:r>
            <w:r>
              <w:rPr>
                <w:sz w:val="18"/>
                <w:szCs w:val="18"/>
              </w:rPr>
              <w:t xml:space="preserve">Descriptive statistics were used for all outcomes.  The primary diagnoses were categorized as follows: ACL injury, meniscal injury, patellofemoral pain, osteoarthritis, </w:t>
            </w:r>
            <w:r w:rsidR="00347B77">
              <w:rPr>
                <w:sz w:val="18"/>
                <w:szCs w:val="18"/>
              </w:rPr>
              <w:t>or</w:t>
            </w:r>
            <w:r>
              <w:rPr>
                <w:sz w:val="18"/>
                <w:szCs w:val="18"/>
              </w:rPr>
              <w:t xml:space="preserve"> other injuries.  Inter-rate</w:t>
            </w:r>
            <w:r w:rsidR="007E07ED">
              <w:rPr>
                <w:sz w:val="18"/>
                <w:szCs w:val="18"/>
              </w:rPr>
              <w:t>r</w:t>
            </w:r>
            <w:r>
              <w:rPr>
                <w:sz w:val="18"/>
                <w:szCs w:val="18"/>
              </w:rPr>
              <w:t xml:space="preserve"> agreement for diagnosis was measure</w:t>
            </w:r>
            <w:r w:rsidR="00347B77">
              <w:rPr>
                <w:sz w:val="18"/>
                <w:szCs w:val="18"/>
              </w:rPr>
              <w:t>d</w:t>
            </w:r>
            <w:r>
              <w:rPr>
                <w:sz w:val="18"/>
                <w:szCs w:val="18"/>
              </w:rPr>
              <w:t xml:space="preserve"> using proportions of raw agreement and Cohen’s Kappa with a 95% confidence interval (CI)</w:t>
            </w:r>
            <w:r w:rsidR="00347B77">
              <w:rPr>
                <w:sz w:val="18"/>
                <w:szCs w:val="18"/>
              </w:rPr>
              <w:t xml:space="preserve">.  The Landis and Koch scale </w:t>
            </w:r>
            <w:proofErr w:type="gramStart"/>
            <w:r w:rsidR="00347B77">
              <w:rPr>
                <w:sz w:val="18"/>
                <w:szCs w:val="18"/>
              </w:rPr>
              <w:t>was</w:t>
            </w:r>
            <w:proofErr w:type="gramEnd"/>
            <w:r w:rsidR="00347B77">
              <w:rPr>
                <w:sz w:val="18"/>
                <w:szCs w:val="18"/>
              </w:rPr>
              <w:t xml:space="preserve"> </w:t>
            </w:r>
            <w:r w:rsidR="009436AF">
              <w:rPr>
                <w:sz w:val="18"/>
                <w:szCs w:val="18"/>
              </w:rPr>
              <w:t xml:space="preserve">used </w:t>
            </w:r>
            <w:r w:rsidR="00347B77">
              <w:rPr>
                <w:sz w:val="18"/>
                <w:szCs w:val="18"/>
              </w:rPr>
              <w:t xml:space="preserve">to interpret </w:t>
            </w:r>
            <w:r w:rsidR="00D71D4F">
              <w:rPr>
                <w:sz w:val="18"/>
                <w:szCs w:val="18"/>
              </w:rPr>
              <w:t xml:space="preserve">the </w:t>
            </w:r>
            <w:r w:rsidR="00347B77">
              <w:rPr>
                <w:sz w:val="18"/>
                <w:szCs w:val="18"/>
              </w:rPr>
              <w:t xml:space="preserve">magnitude of Cohen’s Kappa.  </w:t>
            </w:r>
            <w:proofErr w:type="spellStart"/>
            <w:r w:rsidR="00347B77">
              <w:rPr>
                <w:sz w:val="18"/>
                <w:szCs w:val="18"/>
              </w:rPr>
              <w:t>Décary</w:t>
            </w:r>
            <w:proofErr w:type="spellEnd"/>
            <w:r w:rsidR="00347B77">
              <w:rPr>
                <w:sz w:val="18"/>
                <w:szCs w:val="18"/>
              </w:rPr>
              <w:t xml:space="preserve"> et al</w:t>
            </w:r>
            <w:r w:rsidR="007D0E3D">
              <w:rPr>
                <w:sz w:val="18"/>
                <w:szCs w:val="18"/>
              </w:rPr>
              <w:t>.</w:t>
            </w:r>
            <w:r w:rsidR="00347B77">
              <w:rPr>
                <w:sz w:val="18"/>
                <w:szCs w:val="18"/>
              </w:rPr>
              <w:t xml:space="preserve"> expressed bias may be an issue </w:t>
            </w:r>
            <w:r w:rsidR="00BE4CAB">
              <w:rPr>
                <w:sz w:val="18"/>
                <w:szCs w:val="18"/>
              </w:rPr>
              <w:t xml:space="preserve">due </w:t>
            </w:r>
            <w:r w:rsidR="00347B77">
              <w:rPr>
                <w:sz w:val="18"/>
                <w:szCs w:val="18"/>
              </w:rPr>
              <w:t xml:space="preserve">to high or low prevalence of a </w:t>
            </w:r>
            <w:r w:rsidR="00347B77" w:rsidRPr="007E07ED">
              <w:rPr>
                <w:sz w:val="18"/>
                <w:szCs w:val="18"/>
              </w:rPr>
              <w:t xml:space="preserve">diagnosis.  As a result, bias index, prevalence index, and </w:t>
            </w:r>
            <w:r w:rsidR="00BE4CAB" w:rsidRPr="007E07ED">
              <w:rPr>
                <w:sz w:val="18"/>
                <w:szCs w:val="18"/>
              </w:rPr>
              <w:t>P</w:t>
            </w:r>
            <w:r w:rsidR="00347B77" w:rsidRPr="007E07ED">
              <w:rPr>
                <w:sz w:val="18"/>
                <w:szCs w:val="18"/>
              </w:rPr>
              <w:t xml:space="preserve">revalence and </w:t>
            </w:r>
            <w:r w:rsidR="00BE4CAB" w:rsidRPr="007E07ED">
              <w:rPr>
                <w:sz w:val="18"/>
                <w:szCs w:val="18"/>
              </w:rPr>
              <w:t>B</w:t>
            </w:r>
            <w:r w:rsidR="00347B77" w:rsidRPr="007E07ED">
              <w:rPr>
                <w:sz w:val="18"/>
                <w:szCs w:val="18"/>
              </w:rPr>
              <w:t xml:space="preserve">ias </w:t>
            </w:r>
            <w:r w:rsidR="00BE4CAB" w:rsidRPr="007E07ED">
              <w:rPr>
                <w:sz w:val="18"/>
                <w:szCs w:val="18"/>
              </w:rPr>
              <w:t>A</w:t>
            </w:r>
            <w:r w:rsidR="00347B77" w:rsidRPr="007E07ED">
              <w:rPr>
                <w:sz w:val="18"/>
                <w:szCs w:val="18"/>
              </w:rPr>
              <w:t xml:space="preserve">djusted </w:t>
            </w:r>
            <w:proofErr w:type="spellStart"/>
            <w:r w:rsidR="00BE4CAB" w:rsidRPr="007E07ED">
              <w:rPr>
                <w:sz w:val="18"/>
                <w:szCs w:val="18"/>
              </w:rPr>
              <w:t>K</w:t>
            </w:r>
            <w:r w:rsidR="00347B77" w:rsidRPr="007E07ED">
              <w:rPr>
                <w:sz w:val="18"/>
                <w:szCs w:val="18"/>
              </w:rPr>
              <w:t>appas</w:t>
            </w:r>
            <w:proofErr w:type="spellEnd"/>
            <w:r w:rsidR="00347B77" w:rsidRPr="007E07ED">
              <w:rPr>
                <w:sz w:val="18"/>
                <w:szCs w:val="18"/>
              </w:rPr>
              <w:t xml:space="preserve"> (PABAK) were calculated for </w:t>
            </w:r>
            <w:r w:rsidR="007E07ED" w:rsidRPr="007E07ED">
              <w:rPr>
                <w:sz w:val="18"/>
                <w:szCs w:val="18"/>
              </w:rPr>
              <w:t xml:space="preserve">each </w:t>
            </w:r>
            <w:r w:rsidR="00347B77" w:rsidRPr="007E07ED">
              <w:rPr>
                <w:sz w:val="18"/>
                <w:szCs w:val="18"/>
              </w:rPr>
              <w:t>diagnos</w:t>
            </w:r>
            <w:r w:rsidR="007E07ED" w:rsidRPr="007E07ED">
              <w:rPr>
                <w:sz w:val="18"/>
                <w:szCs w:val="18"/>
              </w:rPr>
              <w:t>i</w:t>
            </w:r>
            <w:r w:rsidR="00347B77" w:rsidRPr="007E07ED">
              <w:rPr>
                <w:sz w:val="18"/>
                <w:szCs w:val="18"/>
              </w:rPr>
              <w:t>s</w:t>
            </w:r>
            <w:r w:rsidR="00BE4CAB" w:rsidRPr="007E07ED">
              <w:rPr>
                <w:sz w:val="18"/>
                <w:szCs w:val="18"/>
              </w:rPr>
              <w:t>.</w:t>
            </w:r>
            <w:r w:rsidR="00347B77">
              <w:rPr>
                <w:sz w:val="18"/>
                <w:szCs w:val="18"/>
              </w:rPr>
              <w:t xml:space="preserve"> </w:t>
            </w:r>
            <w:r w:rsidR="007D0E3D">
              <w:rPr>
                <w:sz w:val="18"/>
                <w:szCs w:val="18"/>
              </w:rPr>
              <w:t xml:space="preserve"> </w:t>
            </w:r>
          </w:p>
          <w:p w14:paraId="3140A534" w14:textId="4DE1E60E" w:rsidR="00347B77" w:rsidRDefault="00347B77" w:rsidP="00347B77">
            <w:pPr>
              <w:spacing w:before="120" w:after="120"/>
              <w:rPr>
                <w:sz w:val="18"/>
                <w:szCs w:val="18"/>
              </w:rPr>
            </w:pPr>
            <w:r>
              <w:rPr>
                <w:sz w:val="18"/>
                <w:szCs w:val="18"/>
              </w:rPr>
              <w:t>The second main outcome was concordance between PT and physician of triage recommendation following the examination.  The triage categories were “surgical candidate,” “conservative care candidate,” and “uncertain.”  Inter-rate</w:t>
            </w:r>
            <w:r w:rsidR="007E07ED">
              <w:rPr>
                <w:sz w:val="18"/>
                <w:szCs w:val="18"/>
              </w:rPr>
              <w:t>r</w:t>
            </w:r>
            <w:r>
              <w:rPr>
                <w:sz w:val="18"/>
                <w:szCs w:val="18"/>
              </w:rPr>
              <w:t xml:space="preserve"> agreement for triage recommendation was measured using proportions of raw agreement and Cohen’s Kappa with a 95% confidence interval (CI).  Again, the magnitude of Cohen’s Kappa was interpreted using the Landis and Koch scale.  No bias calculations were made, likely because the researchers felt </w:t>
            </w:r>
            <w:r w:rsidR="00575999">
              <w:rPr>
                <w:sz w:val="18"/>
                <w:szCs w:val="18"/>
              </w:rPr>
              <w:t xml:space="preserve">the </w:t>
            </w:r>
            <w:r>
              <w:rPr>
                <w:sz w:val="18"/>
                <w:szCs w:val="18"/>
              </w:rPr>
              <w:t xml:space="preserve">prevalence of each treatment option was </w:t>
            </w:r>
            <w:r w:rsidR="007E07ED">
              <w:rPr>
                <w:sz w:val="18"/>
                <w:szCs w:val="18"/>
              </w:rPr>
              <w:t>r</w:t>
            </w:r>
            <w:r>
              <w:rPr>
                <w:sz w:val="18"/>
                <w:szCs w:val="18"/>
              </w:rPr>
              <w:t>e</w:t>
            </w:r>
            <w:r w:rsidR="007E07ED">
              <w:rPr>
                <w:sz w:val="18"/>
                <w:szCs w:val="18"/>
              </w:rPr>
              <w:t>flective</w:t>
            </w:r>
            <w:r>
              <w:rPr>
                <w:sz w:val="18"/>
                <w:szCs w:val="18"/>
              </w:rPr>
              <w:t xml:space="preserve"> of </w:t>
            </w:r>
            <w:r w:rsidR="007E07ED">
              <w:rPr>
                <w:sz w:val="18"/>
                <w:szCs w:val="18"/>
              </w:rPr>
              <w:t>the</w:t>
            </w:r>
            <w:r>
              <w:rPr>
                <w:sz w:val="18"/>
                <w:szCs w:val="18"/>
              </w:rPr>
              <w:t xml:space="preserve"> broad</w:t>
            </w:r>
            <w:r w:rsidR="007E07ED">
              <w:rPr>
                <w:sz w:val="18"/>
                <w:szCs w:val="18"/>
              </w:rPr>
              <w:t>er</w:t>
            </w:r>
            <w:r>
              <w:rPr>
                <w:sz w:val="18"/>
                <w:szCs w:val="18"/>
              </w:rPr>
              <w:t xml:space="preserve"> population.</w:t>
            </w:r>
          </w:p>
          <w:p w14:paraId="02424DFB" w14:textId="38789755" w:rsidR="00347B77" w:rsidRPr="007E07ED" w:rsidRDefault="00347B77" w:rsidP="00347B77">
            <w:pPr>
              <w:spacing w:before="120" w:after="120"/>
              <w:rPr>
                <w:sz w:val="18"/>
                <w:szCs w:val="18"/>
              </w:rPr>
            </w:pPr>
            <w:r>
              <w:rPr>
                <w:sz w:val="18"/>
                <w:szCs w:val="18"/>
              </w:rPr>
              <w:t>The diagnostic validity of the PT’s musculoskeletal examination was compared to the physicians’ final diagnosis based off their own musculoskeletal exam, radiographs and MRI when applicable.  Diagnostic validity was measure</w:t>
            </w:r>
            <w:r w:rsidR="007E07ED">
              <w:rPr>
                <w:sz w:val="18"/>
                <w:szCs w:val="18"/>
              </w:rPr>
              <w:t>d</w:t>
            </w:r>
            <w:r>
              <w:rPr>
                <w:sz w:val="18"/>
                <w:szCs w:val="18"/>
              </w:rPr>
              <w:t xml:space="preserve"> using sensitivity, specificity, and positive and negative likelihood ratios (LRs).  The cut-off values were determined to </w:t>
            </w:r>
            <w:r w:rsidR="007E07ED">
              <w:rPr>
                <w:sz w:val="18"/>
                <w:szCs w:val="18"/>
              </w:rPr>
              <w:t>be</w:t>
            </w:r>
            <w:r>
              <w:rPr>
                <w:sz w:val="18"/>
                <w:szCs w:val="18"/>
              </w:rPr>
              <w:t xml:space="preserve"> a +LR </w:t>
            </w:r>
            <w:r>
              <w:rPr>
                <w:sz w:val="18"/>
                <w:szCs w:val="18"/>
                <w:u w:val="single"/>
              </w:rPr>
              <w:t>&gt;</w:t>
            </w:r>
            <w:r>
              <w:rPr>
                <w:sz w:val="18"/>
                <w:szCs w:val="18"/>
              </w:rPr>
              <w:t xml:space="preserve">5 to include a disorder and a -LR </w:t>
            </w:r>
            <w:r>
              <w:rPr>
                <w:sz w:val="18"/>
                <w:szCs w:val="18"/>
                <w:u w:val="single"/>
              </w:rPr>
              <w:t>&lt;</w:t>
            </w:r>
            <w:r>
              <w:rPr>
                <w:sz w:val="18"/>
                <w:szCs w:val="18"/>
              </w:rPr>
              <w:t>0.2 to exclude a disorder.  “Analysis was performed using SPSS version 21 and R version 3.2.3.”</w:t>
            </w:r>
            <w:r w:rsidR="007E07ED">
              <w:rPr>
                <w:sz w:val="18"/>
                <w:szCs w:val="18"/>
              </w:rPr>
              <w:t xml:space="preserve"> (</w:t>
            </w:r>
            <w:r w:rsidR="007E07ED">
              <w:rPr>
                <w:i/>
                <w:iCs/>
                <w:sz w:val="18"/>
                <w:szCs w:val="18"/>
              </w:rPr>
              <w:t>page 4</w:t>
            </w:r>
            <w:r w:rsidR="007E07ED">
              <w:rPr>
                <w:sz w:val="18"/>
                <w:szCs w:val="18"/>
              </w:rPr>
              <w:t>)</w:t>
            </w:r>
          </w:p>
        </w:tc>
      </w:tr>
      <w:tr w:rsidR="0000738B" w:rsidRPr="002F16E1" w14:paraId="7DE73919" w14:textId="77777777" w:rsidTr="00B82150">
        <w:tc>
          <w:tcPr>
            <w:tcW w:w="10421" w:type="dxa"/>
            <w:tcBorders>
              <w:bottom w:val="single" w:sz="4" w:space="0" w:color="auto"/>
            </w:tcBorders>
            <w:shd w:val="clear" w:color="auto" w:fill="E6E6E6"/>
          </w:tcPr>
          <w:p w14:paraId="1D604AA9" w14:textId="04CE5790" w:rsidR="0000738B" w:rsidRPr="002F16E1" w:rsidRDefault="0000738B" w:rsidP="00B82150">
            <w:pPr>
              <w:spacing w:before="120" w:after="120"/>
              <w:rPr>
                <w:b/>
                <w:sz w:val="18"/>
                <w:szCs w:val="18"/>
              </w:rPr>
            </w:pPr>
            <w:r w:rsidRPr="002F16E1">
              <w:rPr>
                <w:b/>
                <w:sz w:val="18"/>
                <w:szCs w:val="18"/>
              </w:rPr>
              <w:t>Main Finding</w:t>
            </w:r>
            <w:r w:rsidR="00347B77">
              <w:rPr>
                <w:b/>
                <w:sz w:val="18"/>
                <w:szCs w:val="18"/>
              </w:rPr>
              <w:t>s</w:t>
            </w:r>
          </w:p>
          <w:p w14:paraId="121D0220" w14:textId="77777777" w:rsidR="0000738B" w:rsidRPr="002F16E1" w:rsidRDefault="0000738B" w:rsidP="00B82150">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0DA1B63A" w14:textId="77777777" w:rsidTr="00B82150">
        <w:tc>
          <w:tcPr>
            <w:tcW w:w="10421" w:type="dxa"/>
            <w:tcBorders>
              <w:bottom w:val="single" w:sz="4" w:space="0" w:color="auto"/>
            </w:tcBorders>
            <w:shd w:val="clear" w:color="auto" w:fill="auto"/>
          </w:tcPr>
          <w:p w14:paraId="2A866C1E" w14:textId="6DF7A720" w:rsidR="0000738B" w:rsidRDefault="00A3409F" w:rsidP="00A3409F">
            <w:pPr>
              <w:rPr>
                <w:b/>
                <w:bCs/>
                <w:sz w:val="18"/>
                <w:szCs w:val="18"/>
              </w:rPr>
            </w:pPr>
            <w:r>
              <w:rPr>
                <w:color w:val="31849B" w:themeColor="accent5" w:themeShade="BF"/>
                <w:sz w:val="18"/>
                <w:szCs w:val="18"/>
              </w:rPr>
              <w:t>Table</w:t>
            </w:r>
            <w:r w:rsidR="00142789" w:rsidRPr="00BE4CAB">
              <w:rPr>
                <w:color w:val="31849B" w:themeColor="accent5" w:themeShade="BF"/>
                <w:sz w:val="18"/>
                <w:szCs w:val="18"/>
              </w:rPr>
              <w:t xml:space="preserve"> </w:t>
            </w:r>
            <w:r w:rsidR="00824F08">
              <w:rPr>
                <w:color w:val="31849B" w:themeColor="accent5" w:themeShade="BF"/>
                <w:sz w:val="18"/>
                <w:szCs w:val="18"/>
              </w:rPr>
              <w:t>2</w:t>
            </w:r>
            <w:r w:rsidR="00142789" w:rsidRPr="00BE4CAB">
              <w:rPr>
                <w:color w:val="31849B" w:themeColor="accent5" w:themeShade="BF"/>
                <w:sz w:val="18"/>
                <w:szCs w:val="18"/>
              </w:rPr>
              <w:t xml:space="preserve"> </w:t>
            </w:r>
            <w:r w:rsidR="00142789">
              <w:rPr>
                <w:b/>
                <w:bCs/>
                <w:sz w:val="18"/>
                <w:szCs w:val="18"/>
              </w:rPr>
              <w:t>Concordance between the physiotherapist and physician’s composite or imaging only diagnosis</w:t>
            </w:r>
          </w:p>
          <w:p w14:paraId="7DAE54ED" w14:textId="6372F92B" w:rsidR="00A3409F" w:rsidRPr="00A3409F" w:rsidRDefault="00A3409F" w:rsidP="00A3409F">
            <w:pPr>
              <w:rPr>
                <w:i/>
                <w:iCs/>
                <w:sz w:val="18"/>
                <w:szCs w:val="18"/>
              </w:rPr>
            </w:pPr>
            <w:r>
              <w:rPr>
                <w:i/>
                <w:iCs/>
                <w:sz w:val="18"/>
                <w:szCs w:val="18"/>
              </w:rPr>
              <w:t>Adapted from Table 3 on page 5 of article.</w:t>
            </w:r>
          </w:p>
          <w:tbl>
            <w:tblPr>
              <w:tblStyle w:val="GridTable2-Accent5"/>
              <w:tblW w:w="0" w:type="auto"/>
              <w:tblLook w:val="04A0" w:firstRow="1" w:lastRow="0" w:firstColumn="1" w:lastColumn="0" w:noHBand="0" w:noVBand="1"/>
            </w:tblPr>
            <w:tblGrid>
              <w:gridCol w:w="2401"/>
              <w:gridCol w:w="1809"/>
              <w:gridCol w:w="1330"/>
              <w:gridCol w:w="1142"/>
              <w:gridCol w:w="1064"/>
              <w:gridCol w:w="1329"/>
              <w:gridCol w:w="904"/>
            </w:tblGrid>
            <w:tr w:rsidR="00BE4CAB" w14:paraId="695EB37A" w14:textId="4CF9CB92" w:rsidTr="00BE4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14:paraId="35FA860A" w14:textId="20227545" w:rsidR="00142789" w:rsidRDefault="00142789" w:rsidP="00BE4CAB">
                  <w:pPr>
                    <w:rPr>
                      <w:sz w:val="18"/>
                      <w:szCs w:val="18"/>
                    </w:rPr>
                  </w:pPr>
                </w:p>
              </w:tc>
              <w:tc>
                <w:tcPr>
                  <w:tcW w:w="1809" w:type="dxa"/>
                </w:tcPr>
                <w:p w14:paraId="66F5024D" w14:textId="18E53399"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Raw agreement</w:t>
                  </w:r>
                </w:p>
              </w:tc>
              <w:tc>
                <w:tcPr>
                  <w:tcW w:w="1330" w:type="dxa"/>
                </w:tcPr>
                <w:p w14:paraId="6066278D" w14:textId="4274F322"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Cohen’s kappa</w:t>
                  </w:r>
                </w:p>
              </w:tc>
              <w:tc>
                <w:tcPr>
                  <w:tcW w:w="1142" w:type="dxa"/>
                </w:tcPr>
                <w:p w14:paraId="4A08356C" w14:textId="7C1336F7"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95% CI</w:t>
                  </w:r>
                </w:p>
              </w:tc>
              <w:tc>
                <w:tcPr>
                  <w:tcW w:w="1064" w:type="dxa"/>
                </w:tcPr>
                <w:p w14:paraId="37F64AF9" w14:textId="6FDC57C1"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Bias Index</w:t>
                  </w:r>
                </w:p>
              </w:tc>
              <w:tc>
                <w:tcPr>
                  <w:tcW w:w="1329" w:type="dxa"/>
                </w:tcPr>
                <w:p w14:paraId="7EA70B05" w14:textId="7BBFDB26"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Prevalence Index</w:t>
                  </w:r>
                </w:p>
              </w:tc>
              <w:tc>
                <w:tcPr>
                  <w:tcW w:w="904" w:type="dxa"/>
                </w:tcPr>
                <w:p w14:paraId="26039142" w14:textId="5B2041B8"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PABAK</w:t>
                  </w:r>
                </w:p>
              </w:tc>
            </w:tr>
            <w:tr w:rsidR="00BE4CAB" w14:paraId="5ECF1DD0" w14:textId="71E8560F"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14:paraId="7118487A" w14:textId="35E94B73" w:rsidR="00142789" w:rsidRDefault="00142789" w:rsidP="00BE4CAB">
                  <w:pPr>
                    <w:rPr>
                      <w:sz w:val="18"/>
                      <w:szCs w:val="18"/>
                    </w:rPr>
                  </w:pPr>
                  <w:r>
                    <w:rPr>
                      <w:sz w:val="18"/>
                      <w:szCs w:val="18"/>
                    </w:rPr>
                    <w:t>Overall concordance with the physicians’ composite diagnosis</w:t>
                  </w:r>
                </w:p>
              </w:tc>
              <w:tc>
                <w:tcPr>
                  <w:tcW w:w="1809" w:type="dxa"/>
                </w:tcPr>
                <w:p w14:paraId="4BA16582" w14:textId="7F6AD79C" w:rsidR="007D0E3D" w:rsidRPr="007D0E3D"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92.2% (165/179)</w:t>
                  </w:r>
                </w:p>
              </w:tc>
              <w:tc>
                <w:tcPr>
                  <w:tcW w:w="1330" w:type="dxa"/>
                </w:tcPr>
                <w:p w14:paraId="09C0095E" w14:textId="2DA4985A"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0.89</w:t>
                  </w:r>
                </w:p>
              </w:tc>
              <w:tc>
                <w:tcPr>
                  <w:tcW w:w="1142" w:type="dxa"/>
                </w:tcPr>
                <w:p w14:paraId="7BEC36E3" w14:textId="439CF726" w:rsidR="007D0E3D" w:rsidRPr="007D0E3D" w:rsidRDefault="007D0E3D"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rPr>
                  </w:pPr>
                  <w:r w:rsidRPr="007D0E3D">
                    <w:rPr>
                      <w:rFonts w:ascii="Verdana" w:hAnsi="Verdana"/>
                      <w:sz w:val="16"/>
                      <w:szCs w:val="16"/>
                    </w:rPr>
                    <w:t>0.83–0.9</w:t>
                  </w:r>
                  <w:r w:rsidR="007E07ED">
                    <w:rPr>
                      <w:rFonts w:ascii="Verdana" w:hAnsi="Verdana"/>
                      <w:sz w:val="16"/>
                      <w:szCs w:val="16"/>
                    </w:rPr>
                    <w:t>4</w:t>
                  </w:r>
                </w:p>
                <w:p w14:paraId="27340629" w14:textId="77777777" w:rsidR="00142789" w:rsidRPr="007D0E3D" w:rsidRDefault="00142789" w:rsidP="00BE4CAB">
                  <w:pPr>
                    <w:cnfStyle w:val="000000100000" w:firstRow="0" w:lastRow="0" w:firstColumn="0" w:lastColumn="0" w:oddVBand="0" w:evenVBand="0" w:oddHBand="1" w:evenHBand="0" w:firstRowFirstColumn="0" w:firstRowLastColumn="0" w:lastRowFirstColumn="0" w:lastRowLastColumn="0"/>
                    <w:rPr>
                      <w:sz w:val="18"/>
                      <w:szCs w:val="18"/>
                    </w:rPr>
                  </w:pPr>
                </w:p>
              </w:tc>
              <w:tc>
                <w:tcPr>
                  <w:tcW w:w="1064" w:type="dxa"/>
                </w:tcPr>
                <w:p w14:paraId="11DD106A" w14:textId="39EB1DEF"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329" w:type="dxa"/>
                </w:tcPr>
                <w:p w14:paraId="68CB6ADA" w14:textId="11EE4354"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904" w:type="dxa"/>
                </w:tcPr>
                <w:p w14:paraId="793A696B" w14:textId="4988B122"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BE4CAB" w14:paraId="1C3AA083" w14:textId="50EB2455" w:rsidTr="00BE4CAB">
              <w:tc>
                <w:tcPr>
                  <w:cnfStyle w:val="001000000000" w:firstRow="0" w:lastRow="0" w:firstColumn="1" w:lastColumn="0" w:oddVBand="0" w:evenVBand="0" w:oddHBand="0" w:evenHBand="0" w:firstRowFirstColumn="0" w:firstRowLastColumn="0" w:lastRowFirstColumn="0" w:lastRowLastColumn="0"/>
                  <w:tcW w:w="2401" w:type="dxa"/>
                </w:tcPr>
                <w:p w14:paraId="4AB78EA0" w14:textId="703414A8" w:rsidR="00142789" w:rsidRDefault="00142789" w:rsidP="00BE4CAB">
                  <w:pPr>
                    <w:rPr>
                      <w:sz w:val="18"/>
                      <w:szCs w:val="18"/>
                    </w:rPr>
                  </w:pPr>
                  <w:r>
                    <w:rPr>
                      <w:sz w:val="18"/>
                      <w:szCs w:val="18"/>
                    </w:rPr>
                    <w:t xml:space="preserve">   ACL injury</w:t>
                  </w:r>
                </w:p>
              </w:tc>
              <w:tc>
                <w:tcPr>
                  <w:tcW w:w="1809" w:type="dxa"/>
                </w:tcPr>
                <w:p w14:paraId="7EE776B3" w14:textId="679D5C08" w:rsidR="00142789"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7D0E3D">
                    <w:rPr>
                      <w:sz w:val="18"/>
                      <w:szCs w:val="18"/>
                    </w:rPr>
                    <w:t>100.0% (8/8)</w:t>
                  </w:r>
                </w:p>
              </w:tc>
              <w:tc>
                <w:tcPr>
                  <w:tcW w:w="1330" w:type="dxa"/>
                </w:tcPr>
                <w:p w14:paraId="10C1A46C" w14:textId="4D452F0F"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0.94</w:t>
                  </w:r>
                </w:p>
              </w:tc>
              <w:tc>
                <w:tcPr>
                  <w:tcW w:w="1142" w:type="dxa"/>
                </w:tcPr>
                <w:p w14:paraId="6FCD6C38" w14:textId="2835A275" w:rsidR="00142789" w:rsidRPr="007D0E3D" w:rsidRDefault="007D0E3D"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rPr>
                  </w:pPr>
                  <w:r w:rsidRPr="007D0E3D">
                    <w:rPr>
                      <w:rFonts w:ascii="Verdana" w:hAnsi="Verdana"/>
                      <w:sz w:val="16"/>
                      <w:szCs w:val="16"/>
                    </w:rPr>
                    <w:t xml:space="preserve">0.82–1.00 </w:t>
                  </w:r>
                </w:p>
              </w:tc>
              <w:tc>
                <w:tcPr>
                  <w:tcW w:w="1064" w:type="dxa"/>
                </w:tcPr>
                <w:p w14:paraId="36BD87E5" w14:textId="207E5864"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w:t>
                  </w:r>
                </w:p>
              </w:tc>
              <w:tc>
                <w:tcPr>
                  <w:tcW w:w="1329" w:type="dxa"/>
                </w:tcPr>
                <w:p w14:paraId="2013373B" w14:textId="379801F3"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w:t>
                  </w:r>
                </w:p>
              </w:tc>
              <w:tc>
                <w:tcPr>
                  <w:tcW w:w="904" w:type="dxa"/>
                </w:tcPr>
                <w:p w14:paraId="67DDB176" w14:textId="0221005F"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0.99</w:t>
                  </w:r>
                </w:p>
              </w:tc>
            </w:tr>
            <w:tr w:rsidR="00BE4CAB" w14:paraId="72DC8FDF" w14:textId="3EEDDAE0"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14:paraId="102C7F69" w14:textId="17F9B730" w:rsidR="00142789" w:rsidRDefault="00142789" w:rsidP="00BE4CAB">
                  <w:pPr>
                    <w:rPr>
                      <w:sz w:val="18"/>
                      <w:szCs w:val="18"/>
                    </w:rPr>
                  </w:pPr>
                  <w:r>
                    <w:rPr>
                      <w:sz w:val="18"/>
                      <w:szCs w:val="18"/>
                    </w:rPr>
                    <w:t xml:space="preserve">   Meniscal injury</w:t>
                  </w:r>
                </w:p>
              </w:tc>
              <w:tc>
                <w:tcPr>
                  <w:tcW w:w="1809" w:type="dxa"/>
                </w:tcPr>
                <w:p w14:paraId="16208D01" w14:textId="61B8A8A3" w:rsidR="00142789"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7D0E3D">
                    <w:rPr>
                      <w:sz w:val="18"/>
                      <w:szCs w:val="18"/>
                    </w:rPr>
                    <w:t>97.2% (35/36)</w:t>
                  </w:r>
                </w:p>
              </w:tc>
              <w:tc>
                <w:tcPr>
                  <w:tcW w:w="1330" w:type="dxa"/>
                </w:tcPr>
                <w:p w14:paraId="79CE1921" w14:textId="283BCEBF"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0.88</w:t>
                  </w:r>
                </w:p>
              </w:tc>
              <w:tc>
                <w:tcPr>
                  <w:tcW w:w="1142" w:type="dxa"/>
                </w:tcPr>
                <w:p w14:paraId="72A708E9" w14:textId="6667D35F" w:rsidR="00142789" w:rsidRPr="007D0E3D" w:rsidRDefault="007D0E3D"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rPr>
                  </w:pPr>
                  <w:r w:rsidRPr="007D0E3D">
                    <w:rPr>
                      <w:rFonts w:ascii="Verdana" w:hAnsi="Verdana"/>
                      <w:sz w:val="16"/>
                      <w:szCs w:val="16"/>
                    </w:rPr>
                    <w:t xml:space="preserve">0.80–0.93 </w:t>
                  </w:r>
                </w:p>
              </w:tc>
              <w:tc>
                <w:tcPr>
                  <w:tcW w:w="1064" w:type="dxa"/>
                </w:tcPr>
                <w:p w14:paraId="0D0DD1A7" w14:textId="22C38CA7"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0.03</w:t>
                  </w:r>
                </w:p>
              </w:tc>
              <w:tc>
                <w:tcPr>
                  <w:tcW w:w="1329" w:type="dxa"/>
                </w:tcPr>
                <w:p w14:paraId="6630A2A5" w14:textId="6C010EC0"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0.57</w:t>
                  </w:r>
                </w:p>
              </w:tc>
              <w:tc>
                <w:tcPr>
                  <w:tcW w:w="904" w:type="dxa"/>
                </w:tcPr>
                <w:p w14:paraId="45F2A981" w14:textId="5AA6A76A"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0.92</w:t>
                  </w:r>
                </w:p>
              </w:tc>
            </w:tr>
            <w:tr w:rsidR="00BE4CAB" w14:paraId="6C9AFA06" w14:textId="095D8372" w:rsidTr="00BE4CAB">
              <w:tc>
                <w:tcPr>
                  <w:cnfStyle w:val="001000000000" w:firstRow="0" w:lastRow="0" w:firstColumn="1" w:lastColumn="0" w:oddVBand="0" w:evenVBand="0" w:oddHBand="0" w:evenHBand="0" w:firstRowFirstColumn="0" w:firstRowLastColumn="0" w:lastRowFirstColumn="0" w:lastRowLastColumn="0"/>
                  <w:tcW w:w="2401" w:type="dxa"/>
                </w:tcPr>
                <w:p w14:paraId="1288487D" w14:textId="1F2531E5" w:rsidR="00142789" w:rsidRDefault="00142789" w:rsidP="00BE4CAB">
                  <w:pPr>
                    <w:rPr>
                      <w:sz w:val="18"/>
                      <w:szCs w:val="18"/>
                    </w:rPr>
                  </w:pPr>
                  <w:r>
                    <w:rPr>
                      <w:sz w:val="18"/>
                      <w:szCs w:val="18"/>
                    </w:rPr>
                    <w:t xml:space="preserve">   Patellofemoral pain </w:t>
                  </w:r>
                </w:p>
              </w:tc>
              <w:tc>
                <w:tcPr>
                  <w:tcW w:w="1809" w:type="dxa"/>
                </w:tcPr>
                <w:p w14:paraId="11519B3C" w14:textId="4FB1610B" w:rsidR="00142789"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7D0E3D">
                    <w:rPr>
                      <w:sz w:val="18"/>
                      <w:szCs w:val="18"/>
                    </w:rPr>
                    <w:t>91.1 (41/45)</w:t>
                  </w:r>
                </w:p>
              </w:tc>
              <w:tc>
                <w:tcPr>
                  <w:tcW w:w="1330" w:type="dxa"/>
                </w:tcPr>
                <w:p w14:paraId="02BD0CA4" w14:textId="31FBAA55"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0.88</w:t>
                  </w:r>
                </w:p>
              </w:tc>
              <w:tc>
                <w:tcPr>
                  <w:tcW w:w="1142" w:type="dxa"/>
                </w:tcPr>
                <w:p w14:paraId="1D2E1DEE" w14:textId="77777777" w:rsidR="007D0E3D" w:rsidRPr="007D0E3D" w:rsidRDefault="007D0E3D"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rPr>
                  </w:pPr>
                  <w:r w:rsidRPr="007D0E3D">
                    <w:rPr>
                      <w:rFonts w:ascii="Verdana" w:hAnsi="Verdana"/>
                      <w:sz w:val="16"/>
                      <w:szCs w:val="16"/>
                    </w:rPr>
                    <w:t xml:space="preserve">0.80–0.96 </w:t>
                  </w:r>
                </w:p>
                <w:p w14:paraId="299A99C4" w14:textId="77777777" w:rsidR="00142789" w:rsidRPr="007D0E3D" w:rsidRDefault="00142789" w:rsidP="00BE4CAB">
                  <w:pPr>
                    <w:cnfStyle w:val="000000000000" w:firstRow="0" w:lastRow="0" w:firstColumn="0" w:lastColumn="0" w:oddVBand="0" w:evenVBand="0" w:oddHBand="0" w:evenHBand="0" w:firstRowFirstColumn="0" w:firstRowLastColumn="0" w:lastRowFirstColumn="0" w:lastRowLastColumn="0"/>
                    <w:rPr>
                      <w:sz w:val="18"/>
                      <w:szCs w:val="18"/>
                    </w:rPr>
                  </w:pPr>
                </w:p>
              </w:tc>
              <w:tc>
                <w:tcPr>
                  <w:tcW w:w="1064" w:type="dxa"/>
                </w:tcPr>
                <w:p w14:paraId="2B09B1CC" w14:textId="545B6D29"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0.05</w:t>
                  </w:r>
                </w:p>
              </w:tc>
              <w:tc>
                <w:tcPr>
                  <w:tcW w:w="1329" w:type="dxa"/>
                </w:tcPr>
                <w:p w14:paraId="2DF6B56E" w14:textId="1FFDD58E"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0.50</w:t>
                  </w:r>
                </w:p>
              </w:tc>
              <w:tc>
                <w:tcPr>
                  <w:tcW w:w="904" w:type="dxa"/>
                </w:tcPr>
                <w:p w14:paraId="63886E20" w14:textId="486C09FB"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0.91</w:t>
                  </w:r>
                </w:p>
              </w:tc>
            </w:tr>
            <w:tr w:rsidR="00BE4CAB" w14:paraId="537B7290" w14:textId="03F5A6EF"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14:paraId="1076B9CF" w14:textId="7160DA31" w:rsidR="00142789" w:rsidRDefault="00142789" w:rsidP="00BE4CAB">
                  <w:pPr>
                    <w:rPr>
                      <w:sz w:val="18"/>
                      <w:szCs w:val="18"/>
                    </w:rPr>
                  </w:pPr>
                  <w:r>
                    <w:rPr>
                      <w:sz w:val="18"/>
                      <w:szCs w:val="18"/>
                    </w:rPr>
                    <w:t xml:space="preserve">   Osteoarthritis</w:t>
                  </w:r>
                </w:p>
              </w:tc>
              <w:tc>
                <w:tcPr>
                  <w:tcW w:w="1809" w:type="dxa"/>
                </w:tcPr>
                <w:p w14:paraId="35C2F6F8" w14:textId="2D3606B8" w:rsidR="00142789"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007D0E3D">
                    <w:rPr>
                      <w:sz w:val="18"/>
                      <w:szCs w:val="18"/>
                    </w:rPr>
                    <w:t>91.1 (72/79)</w:t>
                  </w:r>
                </w:p>
              </w:tc>
              <w:tc>
                <w:tcPr>
                  <w:tcW w:w="1330" w:type="dxa"/>
                </w:tcPr>
                <w:p w14:paraId="1389477C" w14:textId="254BA151"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0.89</w:t>
                  </w:r>
                </w:p>
              </w:tc>
              <w:tc>
                <w:tcPr>
                  <w:tcW w:w="1142" w:type="dxa"/>
                </w:tcPr>
                <w:p w14:paraId="14882D27" w14:textId="4AA26CC8" w:rsidR="00142789" w:rsidRPr="007D0E3D" w:rsidRDefault="007D0E3D"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rPr>
                  </w:pPr>
                  <w:r w:rsidRPr="007D0E3D">
                    <w:rPr>
                      <w:rFonts w:ascii="Verdana" w:hAnsi="Verdana"/>
                      <w:sz w:val="16"/>
                      <w:szCs w:val="16"/>
                    </w:rPr>
                    <w:t xml:space="preserve">0.82–0.95 </w:t>
                  </w:r>
                </w:p>
              </w:tc>
              <w:tc>
                <w:tcPr>
                  <w:tcW w:w="1064" w:type="dxa"/>
                </w:tcPr>
                <w:p w14:paraId="4738E11F" w14:textId="1A8386FE"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0.02</w:t>
                  </w:r>
                </w:p>
              </w:tc>
              <w:tc>
                <w:tcPr>
                  <w:tcW w:w="1329" w:type="dxa"/>
                </w:tcPr>
                <w:p w14:paraId="6C2145B0" w14:textId="1814AA05"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0.14</w:t>
                  </w:r>
                </w:p>
              </w:tc>
              <w:tc>
                <w:tcPr>
                  <w:tcW w:w="904" w:type="dxa"/>
                </w:tcPr>
                <w:p w14:paraId="0211C21F" w14:textId="0FF8C2E4"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0.89</w:t>
                  </w:r>
                </w:p>
              </w:tc>
            </w:tr>
            <w:tr w:rsidR="00BE4CAB" w14:paraId="294DE735" w14:textId="7E50C193" w:rsidTr="00BE4CAB">
              <w:tc>
                <w:tcPr>
                  <w:cnfStyle w:val="001000000000" w:firstRow="0" w:lastRow="0" w:firstColumn="1" w:lastColumn="0" w:oddVBand="0" w:evenVBand="0" w:oddHBand="0" w:evenHBand="0" w:firstRowFirstColumn="0" w:firstRowLastColumn="0" w:lastRowFirstColumn="0" w:lastRowLastColumn="0"/>
                  <w:tcW w:w="2401" w:type="dxa"/>
                </w:tcPr>
                <w:p w14:paraId="41E6E171" w14:textId="2B9F7A45" w:rsidR="00142789" w:rsidRDefault="00142789" w:rsidP="00BE4CAB">
                  <w:pPr>
                    <w:rPr>
                      <w:sz w:val="18"/>
                      <w:szCs w:val="18"/>
                    </w:rPr>
                  </w:pPr>
                  <w:r>
                    <w:rPr>
                      <w:sz w:val="18"/>
                      <w:szCs w:val="18"/>
                    </w:rPr>
                    <w:t xml:space="preserve">   Other</w:t>
                  </w:r>
                </w:p>
              </w:tc>
              <w:tc>
                <w:tcPr>
                  <w:tcW w:w="1809" w:type="dxa"/>
                </w:tcPr>
                <w:p w14:paraId="516391CD" w14:textId="5EA5072A" w:rsidR="00142789"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7D0E3D">
                    <w:rPr>
                      <w:sz w:val="18"/>
                      <w:szCs w:val="18"/>
                    </w:rPr>
                    <w:t>81.8 (9/11)</w:t>
                  </w:r>
                </w:p>
              </w:tc>
              <w:tc>
                <w:tcPr>
                  <w:tcW w:w="1330" w:type="dxa"/>
                </w:tcPr>
                <w:p w14:paraId="73DD58EF" w14:textId="2C7BA5BB"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c>
                <w:tcPr>
                  <w:tcW w:w="1142" w:type="dxa"/>
                </w:tcPr>
                <w:p w14:paraId="0DA9C582" w14:textId="61BBE9FD" w:rsidR="00142789" w:rsidRPr="007D0E3D" w:rsidRDefault="007D0E3D"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rPr>
                  </w:pPr>
                  <w:r w:rsidRPr="007D0E3D">
                    <w:rPr>
                      <w:rFonts w:ascii="Verdana" w:hAnsi="Verdana"/>
                      <w:sz w:val="16"/>
                      <w:szCs w:val="16"/>
                    </w:rPr>
                    <w:t xml:space="preserve">0.75–1.00 </w:t>
                  </w:r>
                </w:p>
              </w:tc>
              <w:tc>
                <w:tcPr>
                  <w:tcW w:w="1064" w:type="dxa"/>
                </w:tcPr>
                <w:p w14:paraId="450AC94B" w14:textId="3B7E43E9"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0.01</w:t>
                  </w:r>
                </w:p>
              </w:tc>
              <w:tc>
                <w:tcPr>
                  <w:tcW w:w="1329" w:type="dxa"/>
                </w:tcPr>
                <w:p w14:paraId="49D91D82" w14:textId="74CF2343"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0.89</w:t>
                  </w:r>
                </w:p>
              </w:tc>
              <w:tc>
                <w:tcPr>
                  <w:tcW w:w="904" w:type="dxa"/>
                </w:tcPr>
                <w:p w14:paraId="7B1F2BF2" w14:textId="2BA973B9" w:rsidR="00142789" w:rsidRDefault="007D0E3D"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0.98</w:t>
                  </w:r>
                </w:p>
              </w:tc>
            </w:tr>
            <w:tr w:rsidR="00BE4CAB" w14:paraId="4BD30C6B" w14:textId="75E5EA4E"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1" w:type="dxa"/>
                </w:tcPr>
                <w:p w14:paraId="2CABB412" w14:textId="4B86E59F" w:rsidR="00142789" w:rsidRDefault="00142789" w:rsidP="00BE4CAB">
                  <w:pPr>
                    <w:rPr>
                      <w:sz w:val="18"/>
                      <w:szCs w:val="18"/>
                    </w:rPr>
                  </w:pPr>
                  <w:r>
                    <w:rPr>
                      <w:sz w:val="18"/>
                      <w:szCs w:val="18"/>
                    </w:rPr>
                    <w:t>Overall concordance with imaging only diagnosis</w:t>
                  </w:r>
                </w:p>
              </w:tc>
              <w:tc>
                <w:tcPr>
                  <w:tcW w:w="1809" w:type="dxa"/>
                </w:tcPr>
                <w:p w14:paraId="13ACF06C" w14:textId="77777777"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84.4% (151/179)</w:t>
                  </w:r>
                </w:p>
                <w:p w14:paraId="5227EBE2" w14:textId="40DE8251" w:rsidR="007D0E3D" w:rsidRPr="007D0E3D" w:rsidRDefault="007D0E3D" w:rsidP="00BE4CAB">
                  <w:pPr>
                    <w:cnfStyle w:val="000000100000" w:firstRow="0" w:lastRow="0" w:firstColumn="0" w:lastColumn="0" w:oddVBand="0" w:evenVBand="0" w:oddHBand="1" w:evenHBand="0" w:firstRowFirstColumn="0" w:firstRowLastColumn="0" w:lastRowFirstColumn="0" w:lastRowLastColumn="0"/>
                    <w:rPr>
                      <w:i/>
                      <w:iCs/>
                      <w:sz w:val="18"/>
                      <w:szCs w:val="18"/>
                    </w:rPr>
                  </w:pPr>
                </w:p>
              </w:tc>
              <w:tc>
                <w:tcPr>
                  <w:tcW w:w="1330" w:type="dxa"/>
                </w:tcPr>
                <w:p w14:paraId="609112AB" w14:textId="337257BF"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0.77</w:t>
                  </w:r>
                </w:p>
              </w:tc>
              <w:tc>
                <w:tcPr>
                  <w:tcW w:w="1142" w:type="dxa"/>
                </w:tcPr>
                <w:p w14:paraId="42330246" w14:textId="77777777" w:rsidR="007D0E3D" w:rsidRPr="007D0E3D" w:rsidRDefault="007D0E3D"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rPr>
                  </w:pPr>
                  <w:r w:rsidRPr="007D0E3D">
                    <w:rPr>
                      <w:rFonts w:ascii="Verdana" w:hAnsi="Verdana"/>
                      <w:sz w:val="16"/>
                      <w:szCs w:val="16"/>
                    </w:rPr>
                    <w:t xml:space="preserve">0.68–0.85 </w:t>
                  </w:r>
                </w:p>
                <w:p w14:paraId="38861498" w14:textId="77777777" w:rsidR="00142789" w:rsidRPr="007D0E3D" w:rsidRDefault="00142789" w:rsidP="00BE4CAB">
                  <w:pPr>
                    <w:cnfStyle w:val="000000100000" w:firstRow="0" w:lastRow="0" w:firstColumn="0" w:lastColumn="0" w:oddVBand="0" w:evenVBand="0" w:oddHBand="1" w:evenHBand="0" w:firstRowFirstColumn="0" w:firstRowLastColumn="0" w:lastRowFirstColumn="0" w:lastRowLastColumn="0"/>
                    <w:rPr>
                      <w:sz w:val="18"/>
                      <w:szCs w:val="18"/>
                    </w:rPr>
                  </w:pPr>
                </w:p>
              </w:tc>
              <w:tc>
                <w:tcPr>
                  <w:tcW w:w="1064" w:type="dxa"/>
                </w:tcPr>
                <w:p w14:paraId="0AD0E955" w14:textId="760014F6"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329" w:type="dxa"/>
                </w:tcPr>
                <w:p w14:paraId="0B941AC1" w14:textId="7C99BB96"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904" w:type="dxa"/>
                </w:tcPr>
                <w:p w14:paraId="105ABB3C" w14:textId="1EC95AF3" w:rsidR="00142789" w:rsidRDefault="007D0E3D"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bl>
          <w:p w14:paraId="7AC81869" w14:textId="4264BF25" w:rsidR="00A3409F" w:rsidRDefault="007D0E3D" w:rsidP="00A3409F">
            <w:pPr>
              <w:pStyle w:val="NormalWeb"/>
              <w:spacing w:before="120" w:beforeAutospacing="0" w:after="120" w:afterAutospacing="0"/>
              <w:rPr>
                <w:rFonts w:ascii="Verdana" w:hAnsi="Verdana"/>
                <w:sz w:val="18"/>
                <w:szCs w:val="18"/>
              </w:rPr>
            </w:pPr>
            <w:r w:rsidRPr="00A3409F">
              <w:rPr>
                <w:rFonts w:ascii="Verdana" w:hAnsi="Verdana"/>
                <w:sz w:val="18"/>
                <w:szCs w:val="18"/>
              </w:rPr>
              <w:t xml:space="preserve">Overall </w:t>
            </w:r>
            <w:r w:rsidR="00A3409F">
              <w:rPr>
                <w:rFonts w:ascii="Verdana" w:hAnsi="Verdana"/>
                <w:sz w:val="18"/>
                <w:szCs w:val="18"/>
              </w:rPr>
              <w:t xml:space="preserve">concordance </w:t>
            </w:r>
            <w:r w:rsidR="00A3409F" w:rsidRPr="00A3409F">
              <w:rPr>
                <w:rFonts w:ascii="Verdana" w:hAnsi="Verdana"/>
                <w:sz w:val="18"/>
                <w:szCs w:val="18"/>
              </w:rPr>
              <w:t xml:space="preserve">between </w:t>
            </w:r>
            <w:r w:rsidR="00A3409F" w:rsidRPr="00A3409F">
              <w:rPr>
                <w:rFonts w:ascii="Verdana" w:hAnsi="Verdana"/>
                <w:b/>
                <w:bCs/>
                <w:sz w:val="18"/>
                <w:szCs w:val="18"/>
              </w:rPr>
              <w:t xml:space="preserve">physiotherapist and physicians’ composite diagnosis </w:t>
            </w:r>
            <w:r w:rsidR="00A3409F" w:rsidRPr="00A3409F">
              <w:rPr>
                <w:rFonts w:ascii="Verdana" w:hAnsi="Verdana"/>
                <w:sz w:val="18"/>
                <w:szCs w:val="18"/>
              </w:rPr>
              <w:t xml:space="preserve">was 92.2% and </w:t>
            </w:r>
            <w:r w:rsidRPr="00A3409F">
              <w:rPr>
                <w:rFonts w:ascii="Verdana" w:hAnsi="Verdana"/>
                <w:sz w:val="18"/>
                <w:szCs w:val="18"/>
              </w:rPr>
              <w:t xml:space="preserve">inter-rater agreement was </w:t>
            </w:r>
            <w:r w:rsidRPr="00A3409F">
              <w:rPr>
                <w:rFonts w:ascii="Verdana" w:hAnsi="Verdana"/>
                <w:b/>
                <w:bCs/>
                <w:sz w:val="18"/>
                <w:szCs w:val="18"/>
              </w:rPr>
              <w:t>high</w:t>
            </w:r>
            <w:r w:rsidR="00A3409F" w:rsidRPr="00A3409F">
              <w:rPr>
                <w:rFonts w:ascii="Verdana" w:hAnsi="Verdana"/>
                <w:b/>
                <w:bCs/>
                <w:sz w:val="18"/>
                <w:szCs w:val="18"/>
              </w:rPr>
              <w:t xml:space="preserve"> </w:t>
            </w:r>
            <w:r w:rsidR="00A3409F" w:rsidRPr="00A3409F">
              <w:rPr>
                <w:rFonts w:ascii="Verdana" w:hAnsi="Verdana"/>
                <w:sz w:val="18"/>
                <w:szCs w:val="18"/>
              </w:rPr>
              <w:t>(</w:t>
            </w:r>
            <w:r w:rsidR="00A3409F" w:rsidRPr="00A3409F">
              <w:rPr>
                <w:rFonts w:ascii="WxqgjmAdvTT86d47313+03" w:hAnsi="WxqgjmAdvTT86d47313+03"/>
                <w:color w:val="111111"/>
                <w:sz w:val="20"/>
                <w:szCs w:val="20"/>
              </w:rPr>
              <w:t>κ</w:t>
            </w:r>
            <w:r w:rsidR="00A3409F" w:rsidRPr="00A3409F">
              <w:rPr>
                <w:rFonts w:ascii="Verdana" w:hAnsi="Verdana"/>
                <w:color w:val="111111"/>
                <w:sz w:val="18"/>
                <w:szCs w:val="18"/>
              </w:rPr>
              <w:t>=0.89, 95% CI: 0.83–0.94)</w:t>
            </w:r>
            <w:r w:rsidRPr="00A3409F">
              <w:rPr>
                <w:rFonts w:ascii="Verdana" w:hAnsi="Verdana"/>
                <w:sz w:val="18"/>
                <w:szCs w:val="18"/>
              </w:rPr>
              <w:t xml:space="preserve">.  </w:t>
            </w:r>
            <w:r w:rsidRPr="007E07ED">
              <w:rPr>
                <w:rFonts w:ascii="Verdana" w:hAnsi="Verdana"/>
                <w:sz w:val="18"/>
                <w:szCs w:val="18"/>
              </w:rPr>
              <w:t>All PABAK estimates were within the Cohen’s Kappa 95% CI suggesting bias did not influence the Kappa estimate.</w:t>
            </w:r>
            <w:r w:rsidRPr="00A3409F">
              <w:rPr>
                <w:rFonts w:ascii="Verdana" w:hAnsi="Verdana"/>
                <w:sz w:val="18"/>
                <w:szCs w:val="18"/>
              </w:rPr>
              <w:t xml:space="preserve">  Overall </w:t>
            </w:r>
            <w:r w:rsidR="00A3409F">
              <w:rPr>
                <w:rFonts w:ascii="Verdana" w:hAnsi="Verdana"/>
                <w:sz w:val="18"/>
                <w:szCs w:val="18"/>
              </w:rPr>
              <w:t xml:space="preserve">concordance </w:t>
            </w:r>
            <w:r w:rsidR="00A3409F" w:rsidRPr="00A3409F">
              <w:rPr>
                <w:rFonts w:ascii="Verdana" w:hAnsi="Verdana"/>
                <w:sz w:val="18"/>
                <w:szCs w:val="18"/>
              </w:rPr>
              <w:t xml:space="preserve">agreement between </w:t>
            </w:r>
            <w:r w:rsidR="00A3409F" w:rsidRPr="00A3409F">
              <w:rPr>
                <w:rFonts w:ascii="Verdana" w:hAnsi="Verdana"/>
                <w:b/>
                <w:bCs/>
                <w:sz w:val="18"/>
                <w:szCs w:val="18"/>
              </w:rPr>
              <w:t>physiotherapist and physicians’ diagnosis with imaging only</w:t>
            </w:r>
            <w:r w:rsidR="00A3409F">
              <w:rPr>
                <w:rFonts w:ascii="Verdana" w:hAnsi="Verdana"/>
                <w:b/>
                <w:bCs/>
                <w:sz w:val="18"/>
                <w:szCs w:val="18"/>
              </w:rPr>
              <w:t xml:space="preserve"> </w:t>
            </w:r>
            <w:r w:rsidR="00A3409F">
              <w:rPr>
                <w:rFonts w:ascii="Verdana" w:hAnsi="Verdana"/>
                <w:sz w:val="18"/>
                <w:szCs w:val="18"/>
              </w:rPr>
              <w:t>was 84.4% and</w:t>
            </w:r>
            <w:r w:rsidR="00A3409F" w:rsidRPr="00A3409F">
              <w:rPr>
                <w:rFonts w:ascii="Verdana" w:hAnsi="Verdana"/>
                <w:sz w:val="18"/>
                <w:szCs w:val="18"/>
              </w:rPr>
              <w:t xml:space="preserve"> </w:t>
            </w:r>
            <w:r w:rsidRPr="00A3409F">
              <w:rPr>
                <w:rFonts w:ascii="Verdana" w:hAnsi="Verdana"/>
                <w:sz w:val="18"/>
                <w:szCs w:val="18"/>
              </w:rPr>
              <w:t xml:space="preserve">inter-rater was </w:t>
            </w:r>
            <w:r w:rsidRPr="00A3409F">
              <w:rPr>
                <w:rFonts w:ascii="Verdana" w:hAnsi="Verdana"/>
                <w:b/>
                <w:bCs/>
                <w:sz w:val="18"/>
                <w:szCs w:val="18"/>
              </w:rPr>
              <w:t>good</w:t>
            </w:r>
            <w:r w:rsidR="00A3409F">
              <w:rPr>
                <w:rFonts w:ascii="Verdana" w:hAnsi="Verdana"/>
                <w:b/>
                <w:bCs/>
                <w:sz w:val="18"/>
                <w:szCs w:val="18"/>
              </w:rPr>
              <w:t xml:space="preserve"> </w:t>
            </w:r>
            <w:r w:rsidR="00A3409F" w:rsidRPr="00A3409F">
              <w:rPr>
                <w:rFonts w:ascii="Verdana" w:hAnsi="Verdana"/>
                <w:sz w:val="18"/>
                <w:szCs w:val="18"/>
              </w:rPr>
              <w:t>(</w:t>
            </w:r>
            <w:r w:rsidR="00A3409F" w:rsidRPr="00A3409F">
              <w:rPr>
                <w:rFonts w:ascii="WxqgjmAdvTT86d47313+03" w:hAnsi="WxqgjmAdvTT86d47313+03"/>
                <w:color w:val="111111"/>
                <w:sz w:val="20"/>
                <w:szCs w:val="20"/>
              </w:rPr>
              <w:t>κ</w:t>
            </w:r>
            <w:r w:rsidR="00A3409F" w:rsidRPr="00A3409F">
              <w:rPr>
                <w:rFonts w:ascii="Verdana" w:hAnsi="Verdana"/>
                <w:color w:val="111111"/>
                <w:sz w:val="18"/>
                <w:szCs w:val="18"/>
              </w:rPr>
              <w:t>=0.</w:t>
            </w:r>
            <w:r w:rsidR="00A3409F">
              <w:rPr>
                <w:rFonts w:ascii="Verdana" w:hAnsi="Verdana"/>
                <w:color w:val="111111"/>
                <w:sz w:val="18"/>
                <w:szCs w:val="18"/>
              </w:rPr>
              <w:t>77</w:t>
            </w:r>
            <w:r w:rsidR="00A3409F" w:rsidRPr="00A3409F">
              <w:rPr>
                <w:rFonts w:ascii="Verdana" w:hAnsi="Verdana"/>
                <w:color w:val="111111"/>
                <w:sz w:val="18"/>
                <w:szCs w:val="18"/>
              </w:rPr>
              <w:t>, 95% CI: 0.</w:t>
            </w:r>
            <w:r w:rsidR="00A3409F">
              <w:rPr>
                <w:rFonts w:ascii="Verdana" w:hAnsi="Verdana"/>
                <w:color w:val="111111"/>
                <w:sz w:val="18"/>
                <w:szCs w:val="18"/>
              </w:rPr>
              <w:t>68</w:t>
            </w:r>
            <w:r w:rsidR="00A3409F" w:rsidRPr="00A3409F">
              <w:rPr>
                <w:rFonts w:ascii="Verdana" w:hAnsi="Verdana"/>
                <w:color w:val="111111"/>
                <w:sz w:val="18"/>
                <w:szCs w:val="18"/>
              </w:rPr>
              <w:t>–0.</w:t>
            </w:r>
            <w:r w:rsidR="00A3409F">
              <w:rPr>
                <w:rFonts w:ascii="Verdana" w:hAnsi="Verdana"/>
                <w:color w:val="111111"/>
                <w:sz w:val="18"/>
                <w:szCs w:val="18"/>
              </w:rPr>
              <w:t>85</w:t>
            </w:r>
            <w:r w:rsidR="00A3409F" w:rsidRPr="00A3409F">
              <w:rPr>
                <w:rFonts w:ascii="Verdana" w:hAnsi="Verdana"/>
                <w:color w:val="111111"/>
                <w:sz w:val="18"/>
                <w:szCs w:val="18"/>
              </w:rPr>
              <w:t>)</w:t>
            </w:r>
            <w:r w:rsidR="00A3409F" w:rsidRPr="00A3409F">
              <w:rPr>
                <w:rFonts w:ascii="Verdana" w:hAnsi="Verdana"/>
                <w:sz w:val="18"/>
                <w:szCs w:val="18"/>
              </w:rPr>
              <w:t xml:space="preserve">.  </w:t>
            </w:r>
          </w:p>
          <w:p w14:paraId="2E05D8B1" w14:textId="77777777" w:rsidR="00A3409F" w:rsidRPr="00A3409F" w:rsidRDefault="00A3409F" w:rsidP="00A3409F">
            <w:pPr>
              <w:pStyle w:val="NormalWeb"/>
              <w:spacing w:before="120" w:beforeAutospacing="0" w:after="120" w:afterAutospacing="0"/>
              <w:rPr>
                <w:rFonts w:ascii="Verdana" w:hAnsi="Verdana"/>
                <w:sz w:val="18"/>
                <w:szCs w:val="18"/>
              </w:rPr>
            </w:pPr>
          </w:p>
          <w:p w14:paraId="37E6E260" w14:textId="58241B8F" w:rsidR="00142789" w:rsidRDefault="00A3409F" w:rsidP="00A3409F">
            <w:pPr>
              <w:rPr>
                <w:b/>
                <w:bCs/>
                <w:sz w:val="18"/>
                <w:szCs w:val="18"/>
              </w:rPr>
            </w:pPr>
            <w:r>
              <w:rPr>
                <w:color w:val="E36C0A" w:themeColor="accent6" w:themeShade="BF"/>
                <w:sz w:val="18"/>
                <w:szCs w:val="18"/>
              </w:rPr>
              <w:t xml:space="preserve">Table </w:t>
            </w:r>
            <w:r w:rsidR="00824F08">
              <w:rPr>
                <w:color w:val="E36C0A" w:themeColor="accent6" w:themeShade="BF"/>
                <w:sz w:val="18"/>
                <w:szCs w:val="18"/>
              </w:rPr>
              <w:t>3</w:t>
            </w:r>
            <w:r w:rsidR="00142789" w:rsidRPr="00BE4CAB">
              <w:rPr>
                <w:color w:val="E36C0A" w:themeColor="accent6" w:themeShade="BF"/>
                <w:sz w:val="18"/>
                <w:szCs w:val="18"/>
              </w:rPr>
              <w:t xml:space="preserve"> </w:t>
            </w:r>
            <w:r w:rsidR="00142789">
              <w:rPr>
                <w:b/>
                <w:bCs/>
                <w:sz w:val="18"/>
                <w:szCs w:val="18"/>
              </w:rPr>
              <w:t>Concordance between the physiotherapist and physician for the triage recommendation following consultation</w:t>
            </w:r>
          </w:p>
          <w:p w14:paraId="66EBE2BF" w14:textId="26E52260" w:rsidR="00A3409F" w:rsidRPr="00A3409F" w:rsidRDefault="00A3409F" w:rsidP="00A3409F">
            <w:pPr>
              <w:rPr>
                <w:i/>
                <w:iCs/>
                <w:sz w:val="18"/>
                <w:szCs w:val="18"/>
              </w:rPr>
            </w:pPr>
            <w:r>
              <w:rPr>
                <w:i/>
                <w:iCs/>
                <w:sz w:val="18"/>
                <w:szCs w:val="18"/>
              </w:rPr>
              <w:t>Adapted from Table 5 on page 6 of article.</w:t>
            </w:r>
          </w:p>
          <w:tbl>
            <w:tblPr>
              <w:tblStyle w:val="GridTable2-Accent6"/>
              <w:tblW w:w="0" w:type="auto"/>
              <w:tblLook w:val="04A0" w:firstRow="1" w:lastRow="0" w:firstColumn="1" w:lastColumn="0" w:noHBand="0" w:noVBand="1"/>
            </w:tblPr>
            <w:tblGrid>
              <w:gridCol w:w="3391"/>
              <w:gridCol w:w="2070"/>
              <w:gridCol w:w="1800"/>
              <w:gridCol w:w="1260"/>
            </w:tblGrid>
            <w:tr w:rsidR="00142789" w14:paraId="6D92A411" w14:textId="77777777" w:rsidTr="00BE4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5FA409E1" w14:textId="77777777" w:rsidR="00142789" w:rsidRDefault="00142789" w:rsidP="00BE4CAB">
                  <w:pPr>
                    <w:rPr>
                      <w:sz w:val="18"/>
                      <w:szCs w:val="18"/>
                    </w:rPr>
                  </w:pPr>
                </w:p>
              </w:tc>
              <w:tc>
                <w:tcPr>
                  <w:tcW w:w="2070" w:type="dxa"/>
                </w:tcPr>
                <w:p w14:paraId="331BF107" w14:textId="00E4526E"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Raw Agreement</w:t>
                  </w:r>
                </w:p>
              </w:tc>
              <w:tc>
                <w:tcPr>
                  <w:tcW w:w="1800" w:type="dxa"/>
                </w:tcPr>
                <w:p w14:paraId="51FA6FC9" w14:textId="55A3D0B1"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Cohen’s kappa</w:t>
                  </w:r>
                </w:p>
              </w:tc>
              <w:tc>
                <w:tcPr>
                  <w:tcW w:w="1260" w:type="dxa"/>
                </w:tcPr>
                <w:p w14:paraId="0F9F4E7C" w14:textId="07461269" w:rsidR="00142789" w:rsidRDefault="00142789" w:rsidP="00BE4CAB">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95% CI</w:t>
                  </w:r>
                </w:p>
              </w:tc>
            </w:tr>
            <w:tr w:rsidR="00142789" w14:paraId="2D267623" w14:textId="77777777"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2DAD02C8" w14:textId="01EB941F" w:rsidR="00142789" w:rsidRDefault="00142789" w:rsidP="00BE4CAB">
                  <w:pPr>
                    <w:rPr>
                      <w:sz w:val="18"/>
                      <w:szCs w:val="18"/>
                    </w:rPr>
                  </w:pPr>
                  <w:r>
                    <w:rPr>
                      <w:sz w:val="18"/>
                      <w:szCs w:val="18"/>
                    </w:rPr>
                    <w:t>Overall</w:t>
                  </w:r>
                </w:p>
              </w:tc>
              <w:tc>
                <w:tcPr>
                  <w:tcW w:w="2070" w:type="dxa"/>
                </w:tcPr>
                <w:p w14:paraId="61508DFE" w14:textId="7E67D62D" w:rsidR="00142789"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91.6% (164/179)</w:t>
                  </w:r>
                </w:p>
              </w:tc>
              <w:tc>
                <w:tcPr>
                  <w:tcW w:w="1800" w:type="dxa"/>
                </w:tcPr>
                <w:p w14:paraId="6A643338" w14:textId="6E9771CF" w:rsidR="00142789"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0.73</w:t>
                  </w:r>
                </w:p>
              </w:tc>
              <w:tc>
                <w:tcPr>
                  <w:tcW w:w="1260" w:type="dxa"/>
                </w:tcPr>
                <w:p w14:paraId="210DE567" w14:textId="62175496" w:rsidR="00142789"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0.60-0.86</w:t>
                  </w:r>
                </w:p>
              </w:tc>
            </w:tr>
            <w:tr w:rsidR="00BE4CAB" w14:paraId="38A747CB" w14:textId="77777777" w:rsidTr="008964BA">
              <w:tc>
                <w:tcPr>
                  <w:cnfStyle w:val="001000000000" w:firstRow="0" w:lastRow="0" w:firstColumn="1" w:lastColumn="0" w:oddVBand="0" w:evenVBand="0" w:oddHBand="0" w:evenHBand="0" w:firstRowFirstColumn="0" w:firstRowLastColumn="0" w:lastRowFirstColumn="0" w:lastRowLastColumn="0"/>
                  <w:tcW w:w="3391" w:type="dxa"/>
                </w:tcPr>
                <w:p w14:paraId="378EEEC3" w14:textId="09B96B76" w:rsidR="00BE4CAB" w:rsidRDefault="00BE4CAB" w:rsidP="00BE4CAB">
                  <w:pPr>
                    <w:rPr>
                      <w:sz w:val="18"/>
                      <w:szCs w:val="18"/>
                    </w:rPr>
                  </w:pPr>
                  <w:r>
                    <w:rPr>
                      <w:sz w:val="18"/>
                      <w:szCs w:val="18"/>
                    </w:rPr>
                    <w:t xml:space="preserve">   Surgical candidates</w:t>
                  </w:r>
                </w:p>
              </w:tc>
              <w:tc>
                <w:tcPr>
                  <w:tcW w:w="2070" w:type="dxa"/>
                </w:tcPr>
                <w:p w14:paraId="016A84B6" w14:textId="30783BF8" w:rsidR="00BE4CAB"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91.3% (21/23)</w:t>
                  </w:r>
                </w:p>
              </w:tc>
              <w:tc>
                <w:tcPr>
                  <w:tcW w:w="3060" w:type="dxa"/>
                  <w:gridSpan w:val="2"/>
                  <w:vMerge w:val="restart"/>
                </w:tcPr>
                <w:p w14:paraId="24A0674A" w14:textId="77777777" w:rsidR="00BE4CAB"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p>
              </w:tc>
            </w:tr>
            <w:tr w:rsidR="00BE4CAB" w14:paraId="4E243629" w14:textId="77777777" w:rsidTr="00896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1" w:type="dxa"/>
                </w:tcPr>
                <w:p w14:paraId="0479FC49" w14:textId="24832187" w:rsidR="00BE4CAB" w:rsidRDefault="00BE4CAB" w:rsidP="00BE4CAB">
                  <w:pPr>
                    <w:rPr>
                      <w:sz w:val="18"/>
                      <w:szCs w:val="18"/>
                    </w:rPr>
                  </w:pPr>
                  <w:r>
                    <w:rPr>
                      <w:sz w:val="18"/>
                      <w:szCs w:val="18"/>
                    </w:rPr>
                    <w:t xml:space="preserve">   Conservative care candidates</w:t>
                  </w:r>
                </w:p>
              </w:tc>
              <w:tc>
                <w:tcPr>
                  <w:tcW w:w="2070" w:type="dxa"/>
                </w:tcPr>
                <w:p w14:paraId="56D01F36" w14:textId="3C50E0E3" w:rsidR="00BE4CAB"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92.6% (139/150)</w:t>
                  </w:r>
                </w:p>
              </w:tc>
              <w:tc>
                <w:tcPr>
                  <w:tcW w:w="3060" w:type="dxa"/>
                  <w:gridSpan w:val="2"/>
                  <w:vMerge/>
                </w:tcPr>
                <w:p w14:paraId="7F5DD794" w14:textId="77777777" w:rsidR="00BE4CAB" w:rsidRDefault="00BE4CAB" w:rsidP="00BE4CAB">
                  <w:pPr>
                    <w:cnfStyle w:val="000000100000" w:firstRow="0" w:lastRow="0" w:firstColumn="0" w:lastColumn="0" w:oddVBand="0" w:evenVBand="0" w:oddHBand="1" w:evenHBand="0" w:firstRowFirstColumn="0" w:firstRowLastColumn="0" w:lastRowFirstColumn="0" w:lastRowLastColumn="0"/>
                    <w:rPr>
                      <w:sz w:val="18"/>
                      <w:szCs w:val="18"/>
                    </w:rPr>
                  </w:pPr>
                </w:p>
              </w:tc>
            </w:tr>
            <w:tr w:rsidR="00BE4CAB" w14:paraId="6ED60914" w14:textId="77777777" w:rsidTr="008964BA">
              <w:tc>
                <w:tcPr>
                  <w:cnfStyle w:val="001000000000" w:firstRow="0" w:lastRow="0" w:firstColumn="1" w:lastColumn="0" w:oddVBand="0" w:evenVBand="0" w:oddHBand="0" w:evenHBand="0" w:firstRowFirstColumn="0" w:firstRowLastColumn="0" w:lastRowFirstColumn="0" w:lastRowLastColumn="0"/>
                  <w:tcW w:w="3391" w:type="dxa"/>
                </w:tcPr>
                <w:p w14:paraId="5E3EA43A" w14:textId="343DD4C7" w:rsidR="00BE4CAB" w:rsidRDefault="00BE4CAB" w:rsidP="00BE4CAB">
                  <w:pPr>
                    <w:rPr>
                      <w:sz w:val="18"/>
                      <w:szCs w:val="18"/>
                    </w:rPr>
                  </w:pPr>
                  <w:r>
                    <w:rPr>
                      <w:sz w:val="18"/>
                      <w:szCs w:val="18"/>
                    </w:rPr>
                    <w:t xml:space="preserve">   Uncertain</w:t>
                  </w:r>
                </w:p>
              </w:tc>
              <w:tc>
                <w:tcPr>
                  <w:tcW w:w="2070" w:type="dxa"/>
                </w:tcPr>
                <w:p w14:paraId="242F1D0A" w14:textId="40C1451B" w:rsidR="00BE4CAB"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66.7 (4/6)</w:t>
                  </w:r>
                </w:p>
              </w:tc>
              <w:tc>
                <w:tcPr>
                  <w:tcW w:w="3060" w:type="dxa"/>
                  <w:gridSpan w:val="2"/>
                  <w:vMerge/>
                </w:tcPr>
                <w:p w14:paraId="609C7F8C" w14:textId="77777777" w:rsidR="00BE4CAB" w:rsidRDefault="00BE4CAB" w:rsidP="00BE4CAB">
                  <w:pPr>
                    <w:cnfStyle w:val="000000000000" w:firstRow="0" w:lastRow="0" w:firstColumn="0" w:lastColumn="0" w:oddVBand="0" w:evenVBand="0" w:oddHBand="0" w:evenHBand="0" w:firstRowFirstColumn="0" w:firstRowLastColumn="0" w:lastRowFirstColumn="0" w:lastRowLastColumn="0"/>
                    <w:rPr>
                      <w:sz w:val="18"/>
                      <w:szCs w:val="18"/>
                    </w:rPr>
                  </w:pPr>
                </w:p>
              </w:tc>
            </w:tr>
          </w:tbl>
          <w:p w14:paraId="38C168DA" w14:textId="408552EC" w:rsidR="0000738B" w:rsidRDefault="00BE4CAB" w:rsidP="00B82150">
            <w:pPr>
              <w:spacing w:before="120" w:after="120"/>
              <w:rPr>
                <w:sz w:val="18"/>
                <w:szCs w:val="18"/>
              </w:rPr>
            </w:pPr>
            <w:r>
              <w:rPr>
                <w:sz w:val="18"/>
                <w:szCs w:val="18"/>
              </w:rPr>
              <w:t xml:space="preserve">Overall inter-rater agreement </w:t>
            </w:r>
            <w:r w:rsidRPr="00BE4CAB">
              <w:rPr>
                <w:b/>
                <w:bCs/>
                <w:sz w:val="18"/>
                <w:szCs w:val="18"/>
              </w:rPr>
              <w:t>physiotherapist and physicians’ triage</w:t>
            </w:r>
            <w:r>
              <w:rPr>
                <w:b/>
                <w:bCs/>
                <w:sz w:val="18"/>
                <w:szCs w:val="18"/>
              </w:rPr>
              <w:t xml:space="preserve"> recommendation </w:t>
            </w:r>
            <w:r w:rsidRPr="00BE4CAB">
              <w:rPr>
                <w:sz w:val="18"/>
                <w:szCs w:val="18"/>
              </w:rPr>
              <w:t>was</w:t>
            </w:r>
            <w:r>
              <w:rPr>
                <w:b/>
                <w:bCs/>
                <w:sz w:val="18"/>
                <w:szCs w:val="18"/>
              </w:rPr>
              <w:t xml:space="preserve"> good</w:t>
            </w:r>
            <w:r w:rsidR="00A3409F">
              <w:rPr>
                <w:b/>
                <w:bCs/>
                <w:sz w:val="18"/>
                <w:szCs w:val="18"/>
              </w:rPr>
              <w:t xml:space="preserve"> </w:t>
            </w:r>
            <w:r w:rsidR="00A3409F" w:rsidRPr="00A3409F">
              <w:rPr>
                <w:sz w:val="18"/>
                <w:szCs w:val="18"/>
              </w:rPr>
              <w:t>(</w:t>
            </w:r>
            <w:r w:rsidR="00A3409F" w:rsidRPr="00A3409F">
              <w:rPr>
                <w:rFonts w:ascii="WxqgjmAdvTT86d47313+03" w:hAnsi="WxqgjmAdvTT86d47313+03"/>
                <w:color w:val="111111"/>
              </w:rPr>
              <w:t>κ</w:t>
            </w:r>
            <w:r w:rsidR="00A3409F" w:rsidRPr="00A3409F">
              <w:rPr>
                <w:color w:val="111111"/>
                <w:sz w:val="18"/>
                <w:szCs w:val="18"/>
              </w:rPr>
              <w:t>=0.</w:t>
            </w:r>
            <w:r w:rsidR="00A3409F">
              <w:rPr>
                <w:color w:val="111111"/>
                <w:sz w:val="18"/>
                <w:szCs w:val="18"/>
              </w:rPr>
              <w:t>73</w:t>
            </w:r>
            <w:r w:rsidR="00A3409F" w:rsidRPr="00A3409F">
              <w:rPr>
                <w:color w:val="111111"/>
                <w:sz w:val="18"/>
                <w:szCs w:val="18"/>
              </w:rPr>
              <w:t>, 95% CI: 0.</w:t>
            </w:r>
            <w:r w:rsidR="00A3409F">
              <w:rPr>
                <w:color w:val="111111"/>
                <w:sz w:val="18"/>
                <w:szCs w:val="18"/>
              </w:rPr>
              <w:t>60</w:t>
            </w:r>
            <w:r w:rsidR="00A3409F" w:rsidRPr="00A3409F">
              <w:rPr>
                <w:color w:val="111111"/>
                <w:sz w:val="18"/>
                <w:szCs w:val="18"/>
              </w:rPr>
              <w:t>–0.</w:t>
            </w:r>
            <w:r w:rsidR="00A3409F">
              <w:rPr>
                <w:color w:val="111111"/>
                <w:sz w:val="18"/>
                <w:szCs w:val="18"/>
              </w:rPr>
              <w:t>86</w:t>
            </w:r>
            <w:r w:rsidR="00A3409F" w:rsidRPr="00A3409F">
              <w:rPr>
                <w:color w:val="111111"/>
                <w:sz w:val="18"/>
                <w:szCs w:val="18"/>
              </w:rPr>
              <w:t>)</w:t>
            </w:r>
            <w:r w:rsidR="00A3409F" w:rsidRPr="00A3409F">
              <w:rPr>
                <w:sz w:val="18"/>
                <w:szCs w:val="18"/>
              </w:rPr>
              <w:t>.</w:t>
            </w:r>
            <w:r w:rsidR="00A3409F">
              <w:rPr>
                <w:sz w:val="18"/>
                <w:szCs w:val="18"/>
              </w:rPr>
              <w:t xml:space="preserve">  </w:t>
            </w:r>
            <w:r>
              <w:rPr>
                <w:sz w:val="18"/>
                <w:szCs w:val="18"/>
              </w:rPr>
              <w:t xml:space="preserve">2 surgical recommendations did not match the physicians’ recommendations and 23 surgical cases were misclassified as conservative by physiotherapist. </w:t>
            </w:r>
          </w:p>
          <w:p w14:paraId="55CAFFC6" w14:textId="77777777" w:rsidR="00A3409F" w:rsidRPr="00BE4CAB" w:rsidRDefault="00A3409F" w:rsidP="00B82150">
            <w:pPr>
              <w:spacing w:before="120" w:after="120"/>
              <w:rPr>
                <w:sz w:val="18"/>
                <w:szCs w:val="18"/>
              </w:rPr>
            </w:pPr>
          </w:p>
          <w:p w14:paraId="78B37C90" w14:textId="10B89ACE" w:rsidR="00347B77" w:rsidRDefault="00347B77" w:rsidP="00A3409F">
            <w:pPr>
              <w:rPr>
                <w:b/>
                <w:bCs/>
                <w:sz w:val="18"/>
                <w:szCs w:val="18"/>
              </w:rPr>
            </w:pPr>
            <w:r w:rsidRPr="00BE4CAB">
              <w:rPr>
                <w:color w:val="943634" w:themeColor="accent2" w:themeShade="BF"/>
                <w:sz w:val="18"/>
                <w:szCs w:val="18"/>
              </w:rPr>
              <w:t xml:space="preserve">Figure </w:t>
            </w:r>
            <w:r w:rsidR="00824F08">
              <w:rPr>
                <w:color w:val="943634" w:themeColor="accent2" w:themeShade="BF"/>
                <w:sz w:val="18"/>
                <w:szCs w:val="18"/>
              </w:rPr>
              <w:t>4</w:t>
            </w:r>
            <w:r w:rsidRPr="00BE4CAB">
              <w:rPr>
                <w:color w:val="943634" w:themeColor="accent2" w:themeShade="BF"/>
                <w:sz w:val="18"/>
                <w:szCs w:val="18"/>
              </w:rPr>
              <w:t xml:space="preserve"> </w:t>
            </w:r>
            <w:r>
              <w:rPr>
                <w:b/>
                <w:bCs/>
                <w:sz w:val="18"/>
                <w:szCs w:val="18"/>
              </w:rPr>
              <w:t>Diagnostic validity of the musculoskeletal examination performed by the physiotherapist compared to the physicians’ composite diagnosis</w:t>
            </w:r>
          </w:p>
          <w:p w14:paraId="0BCF5784" w14:textId="0B86F050" w:rsidR="00A3409F" w:rsidRPr="00A3409F" w:rsidRDefault="00A3409F" w:rsidP="00A3409F">
            <w:pPr>
              <w:rPr>
                <w:i/>
                <w:iCs/>
                <w:sz w:val="18"/>
                <w:szCs w:val="18"/>
              </w:rPr>
            </w:pPr>
            <w:r>
              <w:rPr>
                <w:i/>
                <w:iCs/>
                <w:sz w:val="18"/>
                <w:szCs w:val="18"/>
              </w:rPr>
              <w:t>Adapted from Table 4 on page 6 of article.</w:t>
            </w:r>
          </w:p>
          <w:tbl>
            <w:tblPr>
              <w:tblStyle w:val="GridTable2-Accent2"/>
              <w:tblW w:w="0" w:type="auto"/>
              <w:tblLook w:val="04A0" w:firstRow="1" w:lastRow="0" w:firstColumn="1" w:lastColumn="0" w:noHBand="0" w:noVBand="1"/>
            </w:tblPr>
            <w:tblGrid>
              <w:gridCol w:w="1605"/>
              <w:gridCol w:w="2056"/>
              <w:gridCol w:w="2065"/>
              <w:gridCol w:w="2070"/>
              <w:gridCol w:w="2173"/>
            </w:tblGrid>
            <w:tr w:rsidR="00BE4CAB" w14:paraId="44FF9CDB" w14:textId="77777777" w:rsidTr="00BE4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8BE8DEF" w14:textId="77777777" w:rsidR="00347B77" w:rsidRPr="00BE4CAB" w:rsidRDefault="00347B77" w:rsidP="00BE4CAB">
                  <w:pPr>
                    <w:rPr>
                      <w:sz w:val="16"/>
                      <w:szCs w:val="16"/>
                    </w:rPr>
                  </w:pPr>
                </w:p>
              </w:tc>
              <w:tc>
                <w:tcPr>
                  <w:tcW w:w="2056" w:type="dxa"/>
                </w:tcPr>
                <w:p w14:paraId="6157D9C5" w14:textId="77777777" w:rsidR="00347B77" w:rsidRPr="00BE4CAB" w:rsidRDefault="00347B77" w:rsidP="00BE4CAB">
                  <w:pPr>
                    <w:cnfStyle w:val="100000000000" w:firstRow="1" w:lastRow="0" w:firstColumn="0" w:lastColumn="0" w:oddVBand="0" w:evenVBand="0" w:oddHBand="0" w:evenHBand="0" w:firstRowFirstColumn="0" w:firstRowLastColumn="0" w:lastRowFirstColumn="0" w:lastRowLastColumn="0"/>
                    <w:rPr>
                      <w:sz w:val="16"/>
                      <w:szCs w:val="16"/>
                    </w:rPr>
                  </w:pPr>
                  <w:r w:rsidRPr="00BE4CAB">
                    <w:rPr>
                      <w:sz w:val="16"/>
                      <w:szCs w:val="16"/>
                    </w:rPr>
                    <w:t>Sensitivity (95% CI)</w:t>
                  </w:r>
                </w:p>
              </w:tc>
              <w:tc>
                <w:tcPr>
                  <w:tcW w:w="2065" w:type="dxa"/>
                </w:tcPr>
                <w:p w14:paraId="024A5381" w14:textId="77777777" w:rsidR="00347B77" w:rsidRPr="00BE4CAB" w:rsidRDefault="00347B77" w:rsidP="00BE4CAB">
                  <w:pPr>
                    <w:cnfStyle w:val="100000000000" w:firstRow="1" w:lastRow="0" w:firstColumn="0" w:lastColumn="0" w:oddVBand="0" w:evenVBand="0" w:oddHBand="0" w:evenHBand="0" w:firstRowFirstColumn="0" w:firstRowLastColumn="0" w:lastRowFirstColumn="0" w:lastRowLastColumn="0"/>
                    <w:rPr>
                      <w:sz w:val="16"/>
                      <w:szCs w:val="16"/>
                    </w:rPr>
                  </w:pPr>
                  <w:r w:rsidRPr="00BE4CAB">
                    <w:rPr>
                      <w:sz w:val="16"/>
                      <w:szCs w:val="16"/>
                    </w:rPr>
                    <w:t>Specificity (95% CI)</w:t>
                  </w:r>
                </w:p>
              </w:tc>
              <w:tc>
                <w:tcPr>
                  <w:tcW w:w="2070" w:type="dxa"/>
                </w:tcPr>
                <w:p w14:paraId="787235C8" w14:textId="77777777" w:rsidR="00347B77" w:rsidRPr="00BE4CAB" w:rsidRDefault="00347B77" w:rsidP="00BE4CAB">
                  <w:pPr>
                    <w:cnfStyle w:val="100000000000" w:firstRow="1" w:lastRow="0" w:firstColumn="0" w:lastColumn="0" w:oddVBand="0" w:evenVBand="0" w:oddHBand="0" w:evenHBand="0" w:firstRowFirstColumn="0" w:firstRowLastColumn="0" w:lastRowFirstColumn="0" w:lastRowLastColumn="0"/>
                    <w:rPr>
                      <w:sz w:val="16"/>
                      <w:szCs w:val="16"/>
                    </w:rPr>
                  </w:pPr>
                  <w:r w:rsidRPr="00BE4CAB">
                    <w:rPr>
                      <w:sz w:val="16"/>
                      <w:szCs w:val="16"/>
                    </w:rPr>
                    <w:t>Positive Likelihood Ratio (95% CI)</w:t>
                  </w:r>
                </w:p>
              </w:tc>
              <w:tc>
                <w:tcPr>
                  <w:tcW w:w="2173" w:type="dxa"/>
                </w:tcPr>
                <w:p w14:paraId="50862328" w14:textId="77777777" w:rsidR="00347B77" w:rsidRPr="00BE4CAB" w:rsidRDefault="00347B77" w:rsidP="00BE4CAB">
                  <w:pPr>
                    <w:cnfStyle w:val="100000000000" w:firstRow="1" w:lastRow="0" w:firstColumn="0" w:lastColumn="0" w:oddVBand="0" w:evenVBand="0" w:oddHBand="0" w:evenHBand="0" w:firstRowFirstColumn="0" w:firstRowLastColumn="0" w:lastRowFirstColumn="0" w:lastRowLastColumn="0"/>
                    <w:rPr>
                      <w:sz w:val="16"/>
                      <w:szCs w:val="16"/>
                    </w:rPr>
                  </w:pPr>
                  <w:r w:rsidRPr="00BE4CAB">
                    <w:rPr>
                      <w:sz w:val="16"/>
                      <w:szCs w:val="16"/>
                    </w:rPr>
                    <w:t>Negative Likelihood Ratio (95% CI)</w:t>
                  </w:r>
                </w:p>
              </w:tc>
            </w:tr>
            <w:tr w:rsidR="00BE4CAB" w14:paraId="0DB0971A" w14:textId="77777777"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1D3169E8" w14:textId="77777777" w:rsidR="00347B77" w:rsidRPr="00BE4CAB" w:rsidRDefault="00347B77" w:rsidP="00BE4CAB">
                  <w:pPr>
                    <w:rPr>
                      <w:sz w:val="16"/>
                      <w:szCs w:val="16"/>
                    </w:rPr>
                  </w:pPr>
                  <w:r w:rsidRPr="00BE4CAB">
                    <w:rPr>
                      <w:sz w:val="16"/>
                      <w:szCs w:val="16"/>
                    </w:rPr>
                    <w:t>ACL injury</w:t>
                  </w:r>
                </w:p>
                <w:p w14:paraId="0BB8B5C9" w14:textId="77777777" w:rsidR="00347B77" w:rsidRPr="00BE4CAB" w:rsidRDefault="00347B77" w:rsidP="00BE4CAB">
                  <w:pPr>
                    <w:rPr>
                      <w:sz w:val="16"/>
                      <w:szCs w:val="16"/>
                    </w:rPr>
                  </w:pPr>
                  <w:r w:rsidRPr="00BE4CAB">
                    <w:rPr>
                      <w:sz w:val="16"/>
                      <w:szCs w:val="16"/>
                    </w:rPr>
                    <w:t>(n = 8)</w:t>
                  </w:r>
                </w:p>
              </w:tc>
              <w:tc>
                <w:tcPr>
                  <w:tcW w:w="2056" w:type="dxa"/>
                </w:tcPr>
                <w:p w14:paraId="4822A4F4" w14:textId="006CF93C"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100.0% (52.0–100.0) </w:t>
                  </w:r>
                </w:p>
              </w:tc>
              <w:tc>
                <w:tcPr>
                  <w:tcW w:w="2065" w:type="dxa"/>
                </w:tcPr>
                <w:p w14:paraId="741F02AC" w14:textId="31CCD911"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99.0% (97.0–100.0) </w:t>
                  </w:r>
                </w:p>
              </w:tc>
              <w:tc>
                <w:tcPr>
                  <w:tcW w:w="2070" w:type="dxa"/>
                </w:tcPr>
                <w:p w14:paraId="64B67F1C" w14:textId="5A0FA628"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171.0 (24.2–1207.0) </w:t>
                  </w:r>
                </w:p>
              </w:tc>
              <w:tc>
                <w:tcPr>
                  <w:tcW w:w="2173" w:type="dxa"/>
                </w:tcPr>
                <w:p w14:paraId="4837547A" w14:textId="142320D1"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0.00 (0.00–0.00) </w:t>
                  </w:r>
                </w:p>
              </w:tc>
            </w:tr>
            <w:tr w:rsidR="00BE4CAB" w14:paraId="32E5B03A" w14:textId="77777777" w:rsidTr="00BE4CAB">
              <w:tc>
                <w:tcPr>
                  <w:cnfStyle w:val="001000000000" w:firstRow="0" w:lastRow="0" w:firstColumn="1" w:lastColumn="0" w:oddVBand="0" w:evenVBand="0" w:oddHBand="0" w:evenHBand="0" w:firstRowFirstColumn="0" w:firstRowLastColumn="0" w:lastRowFirstColumn="0" w:lastRowLastColumn="0"/>
                  <w:tcW w:w="1605" w:type="dxa"/>
                </w:tcPr>
                <w:p w14:paraId="4AA17E8F" w14:textId="77777777" w:rsidR="00347B77" w:rsidRPr="00BE4CAB" w:rsidRDefault="00347B77" w:rsidP="00BE4CAB">
                  <w:pPr>
                    <w:rPr>
                      <w:sz w:val="16"/>
                      <w:szCs w:val="16"/>
                    </w:rPr>
                  </w:pPr>
                  <w:r w:rsidRPr="00BE4CAB">
                    <w:rPr>
                      <w:sz w:val="16"/>
                      <w:szCs w:val="16"/>
                    </w:rPr>
                    <w:t>Meniscal injury</w:t>
                  </w:r>
                </w:p>
                <w:p w14:paraId="3081240B" w14:textId="77777777" w:rsidR="00347B77" w:rsidRPr="00BE4CAB" w:rsidRDefault="00347B77" w:rsidP="00BE4CAB">
                  <w:pPr>
                    <w:rPr>
                      <w:sz w:val="16"/>
                      <w:szCs w:val="16"/>
                    </w:rPr>
                  </w:pPr>
                  <w:r w:rsidRPr="00BE4CAB">
                    <w:rPr>
                      <w:sz w:val="16"/>
                      <w:szCs w:val="16"/>
                    </w:rPr>
                    <w:t>(n = 36)</w:t>
                  </w:r>
                </w:p>
              </w:tc>
              <w:tc>
                <w:tcPr>
                  <w:tcW w:w="2056" w:type="dxa"/>
                </w:tcPr>
                <w:p w14:paraId="655089A5" w14:textId="4B9CE900"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97.0% (85.0–100.0) </w:t>
                  </w:r>
                </w:p>
              </w:tc>
              <w:tc>
                <w:tcPr>
                  <w:tcW w:w="2065" w:type="dxa"/>
                </w:tcPr>
                <w:p w14:paraId="5DBD5C00" w14:textId="0108C477"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96.0% (91.0–98.0) </w:t>
                  </w:r>
                </w:p>
              </w:tc>
              <w:tc>
                <w:tcPr>
                  <w:tcW w:w="2070" w:type="dxa"/>
                </w:tcPr>
                <w:p w14:paraId="447F5CC4" w14:textId="50EDF69D"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23.2 (10.6–50.8) </w:t>
                  </w:r>
                </w:p>
              </w:tc>
              <w:tc>
                <w:tcPr>
                  <w:tcW w:w="2173" w:type="dxa"/>
                </w:tcPr>
                <w:p w14:paraId="6516B334" w14:textId="36FAA07F"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0.03 (0.00–0.20) </w:t>
                  </w:r>
                </w:p>
              </w:tc>
            </w:tr>
            <w:tr w:rsidR="00BE4CAB" w14:paraId="4EF28B98" w14:textId="77777777"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30A66ED9" w14:textId="77777777" w:rsidR="00347B77" w:rsidRPr="00BE4CAB" w:rsidRDefault="00347B77" w:rsidP="00BE4CAB">
                  <w:pPr>
                    <w:rPr>
                      <w:sz w:val="16"/>
                      <w:szCs w:val="16"/>
                    </w:rPr>
                  </w:pPr>
                  <w:r w:rsidRPr="00BE4CAB">
                    <w:rPr>
                      <w:sz w:val="16"/>
                      <w:szCs w:val="16"/>
                    </w:rPr>
                    <w:t xml:space="preserve">Patellofemoral pain </w:t>
                  </w:r>
                </w:p>
                <w:p w14:paraId="7BF74322" w14:textId="77777777" w:rsidR="00347B77" w:rsidRPr="00BE4CAB" w:rsidRDefault="00347B77" w:rsidP="00BE4CAB">
                  <w:pPr>
                    <w:rPr>
                      <w:sz w:val="16"/>
                      <w:szCs w:val="16"/>
                    </w:rPr>
                  </w:pPr>
                  <w:r w:rsidRPr="00BE4CAB">
                    <w:rPr>
                      <w:sz w:val="16"/>
                      <w:szCs w:val="16"/>
                    </w:rPr>
                    <w:t>(n = 45)</w:t>
                  </w:r>
                </w:p>
              </w:tc>
              <w:tc>
                <w:tcPr>
                  <w:tcW w:w="2056" w:type="dxa"/>
                </w:tcPr>
                <w:p w14:paraId="57D77A6B" w14:textId="26CA6B1E"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91.0% (79.0–98.0) </w:t>
                  </w:r>
                </w:p>
              </w:tc>
              <w:tc>
                <w:tcPr>
                  <w:tcW w:w="2065" w:type="dxa"/>
                </w:tcPr>
                <w:p w14:paraId="00803982" w14:textId="5D0D2D73"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97.0% (93.0–99.0) </w:t>
                  </w:r>
                </w:p>
              </w:tc>
              <w:tc>
                <w:tcPr>
                  <w:tcW w:w="2070" w:type="dxa"/>
                </w:tcPr>
                <w:p w14:paraId="522AF383" w14:textId="497A23C3"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30.5 (11.6–80.5) </w:t>
                  </w:r>
                </w:p>
              </w:tc>
              <w:tc>
                <w:tcPr>
                  <w:tcW w:w="2173" w:type="dxa"/>
                </w:tcPr>
                <w:p w14:paraId="54CCC6C6" w14:textId="792DFBBF"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0.09 (0.04–0.23) </w:t>
                  </w:r>
                </w:p>
              </w:tc>
            </w:tr>
            <w:tr w:rsidR="00BE4CAB" w14:paraId="5286451D" w14:textId="77777777" w:rsidTr="00BE4CAB">
              <w:tc>
                <w:tcPr>
                  <w:cnfStyle w:val="001000000000" w:firstRow="0" w:lastRow="0" w:firstColumn="1" w:lastColumn="0" w:oddVBand="0" w:evenVBand="0" w:oddHBand="0" w:evenHBand="0" w:firstRowFirstColumn="0" w:firstRowLastColumn="0" w:lastRowFirstColumn="0" w:lastRowLastColumn="0"/>
                  <w:tcW w:w="1605" w:type="dxa"/>
                </w:tcPr>
                <w:p w14:paraId="49E2351D" w14:textId="77777777" w:rsidR="00347B77" w:rsidRPr="00BE4CAB" w:rsidRDefault="00347B77" w:rsidP="00BE4CAB">
                  <w:pPr>
                    <w:rPr>
                      <w:sz w:val="16"/>
                      <w:szCs w:val="16"/>
                    </w:rPr>
                  </w:pPr>
                  <w:r w:rsidRPr="00BE4CAB">
                    <w:rPr>
                      <w:sz w:val="16"/>
                      <w:szCs w:val="16"/>
                    </w:rPr>
                    <w:t>Osteoarthritis</w:t>
                  </w:r>
                </w:p>
                <w:p w14:paraId="061C6CC9" w14:textId="77777777" w:rsidR="00347B77" w:rsidRPr="00BE4CAB" w:rsidRDefault="00347B77" w:rsidP="00BE4CAB">
                  <w:pPr>
                    <w:rPr>
                      <w:sz w:val="16"/>
                      <w:szCs w:val="16"/>
                    </w:rPr>
                  </w:pPr>
                  <w:r w:rsidRPr="00BE4CAB">
                    <w:rPr>
                      <w:sz w:val="16"/>
                      <w:szCs w:val="16"/>
                    </w:rPr>
                    <w:t>(n = 79)</w:t>
                  </w:r>
                </w:p>
              </w:tc>
              <w:tc>
                <w:tcPr>
                  <w:tcW w:w="2056" w:type="dxa"/>
                </w:tcPr>
                <w:p w14:paraId="0B8606EE" w14:textId="7752CB8A"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91.0% (83.0–96.0) </w:t>
                  </w:r>
                </w:p>
              </w:tc>
              <w:tc>
                <w:tcPr>
                  <w:tcW w:w="2065" w:type="dxa"/>
                </w:tcPr>
                <w:p w14:paraId="2FC49CDF" w14:textId="3BD700DA"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97.0% (91.0–99.0) </w:t>
                  </w:r>
                </w:p>
              </w:tc>
              <w:tc>
                <w:tcPr>
                  <w:tcW w:w="2070" w:type="dxa"/>
                </w:tcPr>
                <w:p w14:paraId="24C2EAA2" w14:textId="43C8A806"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30.4 (10.0–92.8) </w:t>
                  </w:r>
                </w:p>
              </w:tc>
              <w:tc>
                <w:tcPr>
                  <w:tcW w:w="2173" w:type="dxa"/>
                </w:tcPr>
                <w:p w14:paraId="64B01799" w14:textId="0DB1FB5B" w:rsidR="00347B77" w:rsidRPr="00BE4CAB" w:rsidRDefault="00BE4CAB" w:rsidP="00BE4C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0.09 (0.04–0.19) </w:t>
                  </w:r>
                </w:p>
              </w:tc>
            </w:tr>
            <w:tr w:rsidR="00BE4CAB" w14:paraId="46EA13A9" w14:textId="77777777" w:rsidTr="00BE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04163F08" w14:textId="08839998" w:rsidR="00347B77" w:rsidRPr="00BE4CAB" w:rsidRDefault="00347B77" w:rsidP="00BE4CAB">
                  <w:pPr>
                    <w:rPr>
                      <w:sz w:val="16"/>
                      <w:szCs w:val="16"/>
                    </w:rPr>
                  </w:pPr>
                  <w:r w:rsidRPr="00BE4CAB">
                    <w:rPr>
                      <w:sz w:val="16"/>
                      <w:szCs w:val="16"/>
                    </w:rPr>
                    <w:t>Other</w:t>
                  </w:r>
                  <w:r w:rsidR="00BE4CAB">
                    <w:rPr>
                      <w:sz w:val="16"/>
                      <w:szCs w:val="16"/>
                    </w:rPr>
                    <w:t>s</w:t>
                  </w:r>
                </w:p>
                <w:p w14:paraId="647CD30C" w14:textId="77777777" w:rsidR="00347B77" w:rsidRPr="00BE4CAB" w:rsidRDefault="00347B77" w:rsidP="00BE4CAB">
                  <w:pPr>
                    <w:rPr>
                      <w:sz w:val="16"/>
                      <w:szCs w:val="16"/>
                    </w:rPr>
                  </w:pPr>
                  <w:r w:rsidRPr="00BE4CAB">
                    <w:rPr>
                      <w:sz w:val="16"/>
                      <w:szCs w:val="16"/>
                    </w:rPr>
                    <w:t>(n = 11)</w:t>
                  </w:r>
                </w:p>
              </w:tc>
              <w:tc>
                <w:tcPr>
                  <w:tcW w:w="2056" w:type="dxa"/>
                </w:tcPr>
                <w:p w14:paraId="23B95598" w14:textId="718643C3"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82.0% (48.0–98.0) </w:t>
                  </w:r>
                </w:p>
              </w:tc>
              <w:tc>
                <w:tcPr>
                  <w:tcW w:w="2065" w:type="dxa"/>
                </w:tcPr>
                <w:p w14:paraId="181560B8" w14:textId="56D5104A"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100.0% (97.0–100.0) </w:t>
                  </w:r>
                </w:p>
              </w:tc>
              <w:tc>
                <w:tcPr>
                  <w:tcW w:w="2070" w:type="dxa"/>
                </w:tcPr>
                <w:p w14:paraId="072C24AD" w14:textId="721F652B"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267.6 (16.6–4325.6) </w:t>
                  </w:r>
                </w:p>
              </w:tc>
              <w:tc>
                <w:tcPr>
                  <w:tcW w:w="2173" w:type="dxa"/>
                </w:tcPr>
                <w:p w14:paraId="4387AC4E" w14:textId="64921949" w:rsidR="00347B77" w:rsidRPr="00BE4CAB" w:rsidRDefault="00BE4CAB" w:rsidP="00BE4C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BE4CAB">
                    <w:rPr>
                      <w:rFonts w:ascii="Verdana" w:hAnsi="Verdana"/>
                      <w:sz w:val="16"/>
                      <w:szCs w:val="16"/>
                    </w:rPr>
                    <w:t xml:space="preserve">0.18 (0.05–0.64) </w:t>
                  </w:r>
                </w:p>
              </w:tc>
            </w:tr>
          </w:tbl>
          <w:p w14:paraId="0EC744A9" w14:textId="792FCEF2" w:rsidR="0000738B" w:rsidRPr="002F16E1" w:rsidRDefault="00BE4CAB" w:rsidP="00A3409F">
            <w:pPr>
              <w:spacing w:before="120" w:after="120"/>
              <w:rPr>
                <w:sz w:val="18"/>
                <w:szCs w:val="18"/>
              </w:rPr>
            </w:pPr>
            <w:r w:rsidRPr="007E07ED">
              <w:rPr>
                <w:sz w:val="18"/>
                <w:szCs w:val="18"/>
              </w:rPr>
              <w:t xml:space="preserve">Using the physician’s composite diagnosis as the reference standard, the physiotherapist’s ability to </w:t>
            </w:r>
            <w:r w:rsidRPr="007E07ED">
              <w:rPr>
                <w:b/>
                <w:bCs/>
                <w:sz w:val="18"/>
                <w:szCs w:val="18"/>
              </w:rPr>
              <w:t>rule in</w:t>
            </w:r>
            <w:r w:rsidRPr="007E07ED">
              <w:rPr>
                <w:sz w:val="18"/>
                <w:szCs w:val="18"/>
              </w:rPr>
              <w:t xml:space="preserve"> </w:t>
            </w:r>
            <w:r w:rsidR="00E22F37">
              <w:rPr>
                <w:sz w:val="18"/>
                <w:szCs w:val="18"/>
              </w:rPr>
              <w:t xml:space="preserve">the </w:t>
            </w:r>
            <w:r w:rsidRPr="007E07ED">
              <w:rPr>
                <w:sz w:val="18"/>
                <w:szCs w:val="18"/>
              </w:rPr>
              <w:t xml:space="preserve">diagnosis ranged from </w:t>
            </w:r>
            <w:r w:rsidRPr="007E07ED">
              <w:rPr>
                <w:b/>
                <w:bCs/>
                <w:sz w:val="18"/>
                <w:szCs w:val="18"/>
              </w:rPr>
              <w:t>82-100%</w:t>
            </w:r>
            <w:r w:rsidRPr="007E07ED">
              <w:rPr>
                <w:sz w:val="18"/>
                <w:szCs w:val="18"/>
              </w:rPr>
              <w:t xml:space="preserve">, with the ability to rule in “others” being on the lower end.  The physiotherapist’s ability to </w:t>
            </w:r>
            <w:r w:rsidRPr="007E07ED">
              <w:rPr>
                <w:b/>
                <w:bCs/>
                <w:sz w:val="18"/>
                <w:szCs w:val="18"/>
              </w:rPr>
              <w:t>rule out</w:t>
            </w:r>
            <w:r w:rsidRPr="007E07ED">
              <w:rPr>
                <w:sz w:val="18"/>
                <w:szCs w:val="18"/>
              </w:rPr>
              <w:t xml:space="preserve"> knee diagnosis ranged from </w:t>
            </w:r>
            <w:r w:rsidRPr="007E07ED">
              <w:rPr>
                <w:b/>
                <w:bCs/>
                <w:sz w:val="18"/>
                <w:szCs w:val="18"/>
              </w:rPr>
              <w:t>96-100%</w:t>
            </w:r>
            <w:r w:rsidRPr="007E07ED">
              <w:rPr>
                <w:sz w:val="18"/>
                <w:szCs w:val="18"/>
              </w:rPr>
              <w:t xml:space="preserve">.  Diagnosis </w:t>
            </w:r>
            <w:r w:rsidRPr="007E07ED">
              <w:rPr>
                <w:b/>
                <w:bCs/>
                <w:sz w:val="18"/>
                <w:szCs w:val="18"/>
              </w:rPr>
              <w:t>positive likelihood</w:t>
            </w:r>
            <w:r w:rsidRPr="007E07ED">
              <w:rPr>
                <w:sz w:val="18"/>
                <w:szCs w:val="18"/>
              </w:rPr>
              <w:t xml:space="preserve"> ratios are </w:t>
            </w:r>
            <w:r w:rsidRPr="007E07ED">
              <w:rPr>
                <w:b/>
                <w:bCs/>
                <w:sz w:val="18"/>
                <w:szCs w:val="18"/>
              </w:rPr>
              <w:t>all above 5</w:t>
            </w:r>
            <w:r w:rsidRPr="007E07ED">
              <w:rPr>
                <w:sz w:val="18"/>
                <w:szCs w:val="18"/>
              </w:rPr>
              <w:t>, reflecting the PT’s ability to include a disorder.  The</w:t>
            </w:r>
            <w:r w:rsidRPr="007E07ED">
              <w:rPr>
                <w:b/>
                <w:bCs/>
                <w:sz w:val="18"/>
                <w:szCs w:val="18"/>
              </w:rPr>
              <w:t xml:space="preserve"> majority of negative likelihood </w:t>
            </w:r>
            <w:r w:rsidRPr="007E07ED">
              <w:rPr>
                <w:sz w:val="18"/>
                <w:szCs w:val="18"/>
              </w:rPr>
              <w:t xml:space="preserve">ratios are </w:t>
            </w:r>
            <w:r w:rsidRPr="007E07ED">
              <w:rPr>
                <w:b/>
                <w:bCs/>
                <w:sz w:val="18"/>
                <w:szCs w:val="18"/>
              </w:rPr>
              <w:t>below 0.2</w:t>
            </w:r>
            <w:r w:rsidRPr="007E07ED">
              <w:rPr>
                <w:sz w:val="18"/>
                <w:szCs w:val="18"/>
              </w:rPr>
              <w:t xml:space="preserve">, reflecting the PT’s ability to exclude a disorder.  Two exceptions to note are the -LR for patellofemoral pain </w:t>
            </w:r>
            <w:r w:rsidR="00A3409F" w:rsidRPr="007E07ED">
              <w:rPr>
                <w:sz w:val="18"/>
                <w:szCs w:val="18"/>
              </w:rPr>
              <w:t xml:space="preserve">(-LR = 0.23) </w:t>
            </w:r>
            <w:r w:rsidRPr="007E07ED">
              <w:rPr>
                <w:sz w:val="18"/>
                <w:szCs w:val="18"/>
              </w:rPr>
              <w:t>and “others”</w:t>
            </w:r>
            <w:r w:rsidR="00A3409F" w:rsidRPr="007E07ED">
              <w:rPr>
                <w:sz w:val="18"/>
                <w:szCs w:val="18"/>
              </w:rPr>
              <w:t xml:space="preserve"> (-LR = 0.65).</w:t>
            </w:r>
            <w:r>
              <w:rPr>
                <w:sz w:val="18"/>
                <w:szCs w:val="18"/>
              </w:rPr>
              <w:t xml:space="preserve"> </w:t>
            </w:r>
          </w:p>
        </w:tc>
      </w:tr>
      <w:tr w:rsidR="0000738B" w:rsidRPr="002F16E1" w14:paraId="21A5AD63" w14:textId="77777777" w:rsidTr="00B82150">
        <w:tc>
          <w:tcPr>
            <w:tcW w:w="10421" w:type="dxa"/>
            <w:shd w:val="clear" w:color="auto" w:fill="E6E6E6"/>
          </w:tcPr>
          <w:p w14:paraId="0FD896B4" w14:textId="77777777" w:rsidR="0000738B" w:rsidRPr="002F16E1" w:rsidRDefault="0000738B" w:rsidP="00B82150">
            <w:pPr>
              <w:spacing w:before="120" w:after="120"/>
              <w:rPr>
                <w:b/>
                <w:sz w:val="18"/>
                <w:szCs w:val="18"/>
              </w:rPr>
            </w:pPr>
            <w:r w:rsidRPr="002F16E1">
              <w:rPr>
                <w:b/>
                <w:sz w:val="18"/>
                <w:szCs w:val="18"/>
              </w:rPr>
              <w:lastRenderedPageBreak/>
              <w:t>Original Authors’ Conclusions</w:t>
            </w:r>
          </w:p>
          <w:p w14:paraId="031A43BF" w14:textId="77777777" w:rsidR="0000738B" w:rsidRPr="002F16E1" w:rsidRDefault="0000738B" w:rsidP="00B82150">
            <w:pPr>
              <w:spacing w:before="120" w:after="120"/>
              <w:rPr>
                <w:sz w:val="18"/>
                <w:szCs w:val="18"/>
              </w:rPr>
            </w:pPr>
            <w:r w:rsidRPr="002F16E1">
              <w:rPr>
                <w:sz w:val="18"/>
                <w:szCs w:val="18"/>
              </w:rPr>
              <w:t>[Paraphrase as required.  If providing a direct quote, add page number]</w:t>
            </w:r>
          </w:p>
        </w:tc>
      </w:tr>
      <w:tr w:rsidR="0000738B" w:rsidRPr="002F16E1" w14:paraId="79D30C91" w14:textId="77777777" w:rsidTr="00B82150">
        <w:tc>
          <w:tcPr>
            <w:tcW w:w="10421" w:type="dxa"/>
            <w:tcBorders>
              <w:bottom w:val="single" w:sz="4" w:space="0" w:color="auto"/>
            </w:tcBorders>
            <w:shd w:val="clear" w:color="auto" w:fill="auto"/>
          </w:tcPr>
          <w:p w14:paraId="6B3F6358" w14:textId="5825723D" w:rsidR="0000738B" w:rsidRPr="002F16E1" w:rsidRDefault="00A3409F" w:rsidP="00A3409F">
            <w:pPr>
              <w:spacing w:before="120" w:after="120"/>
              <w:rPr>
                <w:sz w:val="18"/>
                <w:szCs w:val="18"/>
              </w:rPr>
            </w:pPr>
            <w:r>
              <w:rPr>
                <w:sz w:val="18"/>
                <w:szCs w:val="18"/>
              </w:rPr>
              <w:t xml:space="preserve">Concordance between the physiotherapist following a musculoskeletal exam and physicians following a musculoskeletal exam, radiographs and MRI (if applicable) was high for diagnosis agreement and good for triage recommendation agreement.  Physiotherapist’s diagnostic validity was moderate to high </w:t>
            </w:r>
            <w:r w:rsidR="007E07ED">
              <w:rPr>
                <w:sz w:val="18"/>
                <w:szCs w:val="18"/>
              </w:rPr>
              <w:t>for</w:t>
            </w:r>
            <w:r>
              <w:rPr>
                <w:sz w:val="18"/>
                <w:szCs w:val="18"/>
              </w:rPr>
              <w:t xml:space="preserve"> diagnosi</w:t>
            </w:r>
            <w:r w:rsidR="007E07ED">
              <w:rPr>
                <w:sz w:val="18"/>
                <w:szCs w:val="18"/>
              </w:rPr>
              <w:t>ng</w:t>
            </w:r>
            <w:r>
              <w:rPr>
                <w:sz w:val="18"/>
                <w:szCs w:val="18"/>
              </w:rPr>
              <w:t xml:space="preserve"> </w:t>
            </w:r>
            <w:r w:rsidR="007E07ED">
              <w:rPr>
                <w:sz w:val="18"/>
                <w:szCs w:val="18"/>
              </w:rPr>
              <w:t>and</w:t>
            </w:r>
            <w:r>
              <w:rPr>
                <w:sz w:val="18"/>
                <w:szCs w:val="18"/>
              </w:rPr>
              <w:t xml:space="preserve"> rul</w:t>
            </w:r>
            <w:r w:rsidR="00077B5C">
              <w:rPr>
                <w:sz w:val="18"/>
                <w:szCs w:val="18"/>
              </w:rPr>
              <w:t>ing</w:t>
            </w:r>
            <w:r>
              <w:rPr>
                <w:sz w:val="18"/>
                <w:szCs w:val="18"/>
              </w:rPr>
              <w:t xml:space="preserve"> out common knee disorders.  </w:t>
            </w:r>
            <w:proofErr w:type="spellStart"/>
            <w:r>
              <w:rPr>
                <w:sz w:val="18"/>
                <w:szCs w:val="18"/>
              </w:rPr>
              <w:t>Décary</w:t>
            </w:r>
            <w:proofErr w:type="spellEnd"/>
            <w:r>
              <w:rPr>
                <w:sz w:val="18"/>
                <w:szCs w:val="18"/>
              </w:rPr>
              <w:t xml:space="preserve"> et al. suggest that, because physiotherapists can diagnosis and triage without imaging, physiotherapist</w:t>
            </w:r>
            <w:r w:rsidR="007E07ED">
              <w:rPr>
                <w:sz w:val="18"/>
                <w:szCs w:val="18"/>
              </w:rPr>
              <w:t>s should</w:t>
            </w:r>
            <w:r>
              <w:rPr>
                <w:sz w:val="18"/>
                <w:szCs w:val="18"/>
              </w:rPr>
              <w:t xml:space="preserve"> </w:t>
            </w:r>
            <w:r w:rsidR="00077B5C">
              <w:rPr>
                <w:sz w:val="18"/>
                <w:szCs w:val="18"/>
              </w:rPr>
              <w:t>serve as</w:t>
            </w:r>
            <w:r>
              <w:rPr>
                <w:sz w:val="18"/>
                <w:szCs w:val="18"/>
              </w:rPr>
              <w:t xml:space="preserve"> primary care providers for knee musculoskeletal disorders </w:t>
            </w:r>
            <w:r w:rsidR="00077B5C">
              <w:rPr>
                <w:sz w:val="18"/>
                <w:szCs w:val="18"/>
              </w:rPr>
              <w:t xml:space="preserve">and </w:t>
            </w:r>
            <w:r>
              <w:rPr>
                <w:sz w:val="18"/>
                <w:szCs w:val="18"/>
              </w:rPr>
              <w:t>increase the efficiency of care and treatment.</w:t>
            </w:r>
          </w:p>
        </w:tc>
      </w:tr>
      <w:tr w:rsidR="0000738B" w:rsidRPr="002F16E1" w14:paraId="0AB8F350" w14:textId="77777777" w:rsidTr="00B82150">
        <w:tc>
          <w:tcPr>
            <w:tcW w:w="10421" w:type="dxa"/>
            <w:shd w:val="clear" w:color="auto" w:fill="E6E6E6"/>
          </w:tcPr>
          <w:p w14:paraId="30962291" w14:textId="77777777" w:rsidR="0000738B" w:rsidRPr="002F16E1" w:rsidRDefault="0000738B" w:rsidP="00B82150">
            <w:pPr>
              <w:spacing w:before="120" w:after="120"/>
              <w:rPr>
                <w:b/>
                <w:sz w:val="18"/>
                <w:szCs w:val="18"/>
              </w:rPr>
            </w:pPr>
            <w:r w:rsidRPr="002F16E1">
              <w:rPr>
                <w:b/>
                <w:sz w:val="18"/>
                <w:szCs w:val="18"/>
              </w:rPr>
              <w:t>Critical Appraisal</w:t>
            </w:r>
          </w:p>
        </w:tc>
      </w:tr>
      <w:tr w:rsidR="0000738B" w:rsidRPr="002F16E1" w14:paraId="2001113C" w14:textId="77777777" w:rsidTr="00B82150">
        <w:tc>
          <w:tcPr>
            <w:tcW w:w="10421" w:type="dxa"/>
            <w:shd w:val="clear" w:color="auto" w:fill="auto"/>
          </w:tcPr>
          <w:p w14:paraId="745B0758" w14:textId="77777777" w:rsidR="0000738B" w:rsidRPr="002F16E1" w:rsidRDefault="0000738B" w:rsidP="00B82150">
            <w:pPr>
              <w:spacing w:before="120" w:after="120"/>
              <w:rPr>
                <w:b/>
                <w:sz w:val="18"/>
                <w:szCs w:val="18"/>
              </w:rPr>
            </w:pPr>
            <w:r w:rsidRPr="002F16E1">
              <w:rPr>
                <w:b/>
                <w:sz w:val="18"/>
                <w:szCs w:val="18"/>
              </w:rPr>
              <w:t>Validity</w:t>
            </w:r>
          </w:p>
          <w:p w14:paraId="6335BF84"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1824D799" w14:textId="77777777" w:rsidTr="00B82150">
        <w:tc>
          <w:tcPr>
            <w:tcW w:w="10421" w:type="dxa"/>
            <w:shd w:val="clear" w:color="auto" w:fill="auto"/>
          </w:tcPr>
          <w:p w14:paraId="58BAFA65" w14:textId="2C84A291" w:rsidR="0000738B" w:rsidRPr="00077B5C" w:rsidRDefault="00077B5C" w:rsidP="00077B5C">
            <w:pPr>
              <w:pStyle w:val="NormalWeb"/>
            </w:pPr>
            <w:proofErr w:type="spellStart"/>
            <w:r w:rsidRPr="00077B5C">
              <w:rPr>
                <w:rFonts w:ascii="Verdana" w:hAnsi="Verdana"/>
                <w:sz w:val="18"/>
                <w:szCs w:val="18"/>
              </w:rPr>
              <w:t>Décary</w:t>
            </w:r>
            <w:proofErr w:type="spellEnd"/>
            <w:r w:rsidRPr="00077B5C">
              <w:rPr>
                <w:rFonts w:ascii="Verdana" w:hAnsi="Verdana"/>
                <w:sz w:val="18"/>
                <w:szCs w:val="18"/>
              </w:rPr>
              <w:t xml:space="preserve"> et al. scored a 10/12 on the COSMIN Reliability Checklist.  The main strength of this study relative to the focused clinical question is the direct comparison of physiotherapist</w:t>
            </w:r>
            <w:r w:rsidR="00EB5EB1">
              <w:rPr>
                <w:rFonts w:ascii="Verdana" w:hAnsi="Verdana"/>
                <w:sz w:val="18"/>
                <w:szCs w:val="18"/>
              </w:rPr>
              <w:t>s</w:t>
            </w:r>
            <w:r w:rsidRPr="00077B5C">
              <w:rPr>
                <w:rFonts w:ascii="Verdana" w:hAnsi="Verdana"/>
                <w:sz w:val="18"/>
                <w:szCs w:val="18"/>
              </w:rPr>
              <w:t xml:space="preserve"> to </w:t>
            </w:r>
            <w:r w:rsidR="00601AB2" w:rsidRPr="00077B5C">
              <w:rPr>
                <w:rFonts w:ascii="Verdana" w:hAnsi="Verdana"/>
                <w:sz w:val="18"/>
                <w:szCs w:val="18"/>
              </w:rPr>
              <w:t>specialty</w:t>
            </w:r>
            <w:r w:rsidRPr="00077B5C">
              <w:rPr>
                <w:rFonts w:ascii="Verdana" w:hAnsi="Verdana"/>
                <w:sz w:val="18"/>
                <w:szCs w:val="18"/>
              </w:rPr>
              <w:t xml:space="preserve"> physicians in their diagnosis and t</w:t>
            </w:r>
            <w:r w:rsidR="007E07ED">
              <w:rPr>
                <w:rFonts w:ascii="Verdana" w:hAnsi="Verdana"/>
                <w:sz w:val="18"/>
                <w:szCs w:val="18"/>
              </w:rPr>
              <w:t>riage</w:t>
            </w:r>
            <w:r w:rsidRPr="00077B5C">
              <w:rPr>
                <w:rFonts w:ascii="Verdana" w:hAnsi="Verdana"/>
                <w:sz w:val="18"/>
                <w:szCs w:val="18"/>
              </w:rPr>
              <w:t xml:space="preserve"> choices of the same pa</w:t>
            </w:r>
            <w:r w:rsidR="007E07ED">
              <w:rPr>
                <w:rFonts w:ascii="Verdana" w:hAnsi="Verdana"/>
                <w:sz w:val="18"/>
                <w:szCs w:val="18"/>
              </w:rPr>
              <w:t>tients</w:t>
            </w:r>
            <w:r w:rsidRPr="00077B5C">
              <w:rPr>
                <w:rFonts w:ascii="Verdana" w:hAnsi="Verdana"/>
                <w:sz w:val="18"/>
                <w:szCs w:val="18"/>
              </w:rPr>
              <w:t>.  Additionally, most of the patients were recruited from orthopedic clinics, matching my focused clinical setting.  Other strengths include the blinding of physiotherapist and physicians to each other’s responses, the sample size significantly exceeding the required sample size calculated for 80% power, and the short interim time between examinations.  The physician evaluation began within 15 minutes of the completion of physiotherapist’s evaluation, assuring the participants were stable in the interim period.  The final strength I will comment</w:t>
            </w:r>
            <w:r w:rsidR="007E07ED">
              <w:rPr>
                <w:rFonts w:ascii="Verdana" w:hAnsi="Verdana"/>
                <w:sz w:val="18"/>
                <w:szCs w:val="18"/>
              </w:rPr>
              <w:t xml:space="preserve"> on</w:t>
            </w:r>
            <w:r w:rsidRPr="00077B5C">
              <w:rPr>
                <w:rFonts w:ascii="Verdana" w:hAnsi="Verdana"/>
                <w:sz w:val="18"/>
                <w:szCs w:val="18"/>
              </w:rPr>
              <w:t xml:space="preserve"> is the attempt to standardize evaluation techniques to improve concordance.  The physiotherapist and 4 physicians “</w:t>
            </w:r>
            <w:r w:rsidRPr="00077B5C">
              <w:rPr>
                <w:rFonts w:ascii="Verdana" w:hAnsi="Verdana"/>
                <w:color w:val="111111"/>
                <w:sz w:val="18"/>
                <w:szCs w:val="18"/>
              </w:rPr>
              <w:t>participated in the standardization of the techniques, interpretation of the physical tests and definition of the related diagnoses and all agreed to comply with the proposed definitions during their respective evaluation.” (</w:t>
            </w:r>
            <w:r w:rsidRPr="00077B5C">
              <w:rPr>
                <w:rFonts w:ascii="Verdana" w:hAnsi="Verdana"/>
                <w:i/>
                <w:iCs/>
                <w:color w:val="111111"/>
                <w:sz w:val="18"/>
                <w:szCs w:val="18"/>
              </w:rPr>
              <w:t>page 3</w:t>
            </w:r>
            <w:r w:rsidRPr="007E07ED">
              <w:rPr>
                <w:rFonts w:ascii="Verdana" w:hAnsi="Verdana"/>
                <w:color w:val="111111"/>
                <w:sz w:val="18"/>
                <w:szCs w:val="18"/>
              </w:rPr>
              <w:t>)</w:t>
            </w:r>
            <w:r w:rsidRPr="00077B5C">
              <w:rPr>
                <w:rFonts w:ascii="Verdana" w:hAnsi="Verdana"/>
                <w:i/>
                <w:iCs/>
                <w:color w:val="111111"/>
                <w:sz w:val="18"/>
                <w:szCs w:val="18"/>
              </w:rPr>
              <w:t xml:space="preserve"> </w:t>
            </w:r>
            <w:r w:rsidRPr="00077B5C">
              <w:rPr>
                <w:rFonts w:ascii="Verdana" w:hAnsi="Verdana"/>
                <w:sz w:val="18"/>
                <w:szCs w:val="18"/>
              </w:rPr>
              <w:t>Although</w:t>
            </w:r>
            <w:r>
              <w:rPr>
                <w:rFonts w:ascii="Verdana" w:hAnsi="Verdana"/>
                <w:sz w:val="18"/>
                <w:szCs w:val="18"/>
              </w:rPr>
              <w:t xml:space="preserve"> there was an attempt to standardize examination techniques, </w:t>
            </w:r>
            <w:proofErr w:type="spellStart"/>
            <w:r>
              <w:rPr>
                <w:rFonts w:ascii="Verdana" w:hAnsi="Verdana"/>
                <w:sz w:val="18"/>
                <w:szCs w:val="18"/>
              </w:rPr>
              <w:t>Décary</w:t>
            </w:r>
            <w:proofErr w:type="spellEnd"/>
            <w:r>
              <w:rPr>
                <w:rFonts w:ascii="Verdana" w:hAnsi="Verdana"/>
                <w:sz w:val="18"/>
                <w:szCs w:val="18"/>
              </w:rPr>
              <w:t xml:space="preserve"> et al. did not attempt to assess or standardize the physiotherapist’s or physicians’ evaluation skills. </w:t>
            </w:r>
            <w:r w:rsidRPr="00077B5C">
              <w:rPr>
                <w:rFonts w:ascii="Verdana" w:hAnsi="Verdana"/>
                <w:sz w:val="18"/>
                <w:szCs w:val="18"/>
              </w:rPr>
              <w:t xml:space="preserve"> </w:t>
            </w:r>
            <w:r>
              <w:rPr>
                <w:rFonts w:ascii="Verdana" w:hAnsi="Verdana"/>
                <w:sz w:val="18"/>
                <w:szCs w:val="18"/>
              </w:rPr>
              <w:t>B</w:t>
            </w:r>
            <w:r w:rsidRPr="00077B5C">
              <w:rPr>
                <w:rFonts w:ascii="Verdana" w:hAnsi="Verdana"/>
                <w:sz w:val="18"/>
                <w:szCs w:val="18"/>
              </w:rPr>
              <w:t xml:space="preserve">ecause this is a prospective diagnostic cohort study, not an experimental study, internal validity is relatively low.  External validity is hindered by the use of only 1/4 physicians in creating the composite reference standard for each individual participant.  This study only considered common knee musculoskeletal disorders, limiting the findings to a small realm of musculoskeletal disorders.  Another weakness was </w:t>
            </w:r>
            <w:r w:rsidR="00804E58">
              <w:rPr>
                <w:rFonts w:ascii="Verdana" w:hAnsi="Verdana"/>
                <w:sz w:val="18"/>
                <w:szCs w:val="18"/>
              </w:rPr>
              <w:t xml:space="preserve">that </w:t>
            </w:r>
            <w:proofErr w:type="spellStart"/>
            <w:r w:rsidRPr="00077B5C">
              <w:rPr>
                <w:rFonts w:ascii="Verdana" w:hAnsi="Verdana"/>
                <w:sz w:val="18"/>
                <w:szCs w:val="18"/>
              </w:rPr>
              <w:t>Décary</w:t>
            </w:r>
            <w:proofErr w:type="spellEnd"/>
            <w:r w:rsidRPr="00077B5C">
              <w:rPr>
                <w:rFonts w:ascii="Verdana" w:hAnsi="Verdana"/>
                <w:sz w:val="18"/>
                <w:szCs w:val="18"/>
              </w:rPr>
              <w:t xml:space="preserve"> et al. never explicitly stated who performed the statistical analysis of the data.  Ideally the assessor would be blinded to the key outcome measures, though this study design does not allow complete blinding.  Because details of the assessor were not provided, it is likely the assessor played a key role in </w:t>
            </w:r>
            <w:r w:rsidR="00F66AC6">
              <w:rPr>
                <w:rFonts w:ascii="Verdana" w:hAnsi="Verdana"/>
                <w:sz w:val="18"/>
                <w:szCs w:val="18"/>
              </w:rPr>
              <w:t xml:space="preserve">the </w:t>
            </w:r>
            <w:r w:rsidRPr="00077B5C">
              <w:rPr>
                <w:rFonts w:ascii="Verdana" w:hAnsi="Verdana"/>
                <w:sz w:val="18"/>
                <w:szCs w:val="18"/>
              </w:rPr>
              <w:t>research study and may have had some bias.  Finally, the physiotherapist only had one year of clinical experience while all 4 physicians had more than 20 years of clinical experience.  The author justifies the physiotherapist’s short clinical experience by noting the that schooling should “adequately train therapists in musculoskeletal examination.” (</w:t>
            </w:r>
            <w:r w:rsidRPr="00077B5C">
              <w:rPr>
                <w:rFonts w:ascii="Verdana" w:hAnsi="Verdana"/>
                <w:i/>
                <w:iCs/>
                <w:sz w:val="18"/>
                <w:szCs w:val="18"/>
              </w:rPr>
              <w:t>page 7</w:t>
            </w:r>
            <w:r w:rsidRPr="00077B5C">
              <w:rPr>
                <w:rFonts w:ascii="Verdana" w:hAnsi="Verdana"/>
                <w:sz w:val="18"/>
                <w:szCs w:val="18"/>
              </w:rPr>
              <w:t>) However, with this reasoning, the physicians could have been prepared with less clinical experience, yet all 4 had ample clinical experience.  Overall, the weaknesses of this study design limit the application of the results</w:t>
            </w:r>
            <w:r w:rsidR="007E07ED">
              <w:rPr>
                <w:rFonts w:ascii="Verdana" w:hAnsi="Verdana"/>
                <w:sz w:val="18"/>
                <w:szCs w:val="18"/>
              </w:rPr>
              <w:t xml:space="preserve">; </w:t>
            </w:r>
            <w:r w:rsidRPr="00077B5C">
              <w:rPr>
                <w:rFonts w:ascii="Verdana" w:hAnsi="Verdana"/>
                <w:sz w:val="18"/>
                <w:szCs w:val="18"/>
              </w:rPr>
              <w:t>however</w:t>
            </w:r>
            <w:r w:rsidR="007E07ED">
              <w:rPr>
                <w:rFonts w:ascii="Verdana" w:hAnsi="Verdana"/>
                <w:sz w:val="18"/>
                <w:szCs w:val="18"/>
              </w:rPr>
              <w:t>,</w:t>
            </w:r>
            <w:r w:rsidRPr="00077B5C">
              <w:rPr>
                <w:rFonts w:ascii="Verdana" w:hAnsi="Verdana"/>
                <w:sz w:val="18"/>
                <w:szCs w:val="18"/>
              </w:rPr>
              <w:t xml:space="preserve"> it was the most rigorous study design I found relevant to my clinical question.</w:t>
            </w:r>
          </w:p>
        </w:tc>
      </w:tr>
      <w:tr w:rsidR="0000738B" w:rsidRPr="002F16E1" w14:paraId="39696CCB" w14:textId="77777777" w:rsidTr="00B82150">
        <w:tc>
          <w:tcPr>
            <w:tcW w:w="10421" w:type="dxa"/>
            <w:shd w:val="clear" w:color="auto" w:fill="auto"/>
          </w:tcPr>
          <w:p w14:paraId="586FD96E" w14:textId="77777777" w:rsidR="0000738B" w:rsidRPr="002F16E1" w:rsidRDefault="0000738B" w:rsidP="00B82150">
            <w:pPr>
              <w:spacing w:before="120" w:after="120"/>
              <w:jc w:val="both"/>
              <w:rPr>
                <w:b/>
                <w:sz w:val="18"/>
                <w:szCs w:val="18"/>
              </w:rPr>
            </w:pPr>
            <w:r w:rsidRPr="002F16E1">
              <w:rPr>
                <w:b/>
                <w:sz w:val="18"/>
                <w:szCs w:val="18"/>
              </w:rPr>
              <w:t>Interpretation of Results</w:t>
            </w:r>
          </w:p>
          <w:p w14:paraId="55F52A6D" w14:textId="77777777" w:rsidR="0000738B" w:rsidRPr="002F16E1" w:rsidRDefault="0000738B" w:rsidP="00B82150">
            <w:pPr>
              <w:spacing w:before="120" w:after="120"/>
              <w:jc w:val="both"/>
              <w:rPr>
                <w:sz w:val="18"/>
                <w:szCs w:val="18"/>
              </w:rPr>
            </w:pPr>
            <w:r>
              <w:rPr>
                <w:sz w:val="18"/>
                <w:szCs w:val="18"/>
              </w:rPr>
              <w:lastRenderedPageBreak/>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74A4057D" w14:textId="77777777" w:rsidTr="00824F08">
        <w:trPr>
          <w:trHeight w:val="530"/>
        </w:trPr>
        <w:tc>
          <w:tcPr>
            <w:tcW w:w="10421" w:type="dxa"/>
            <w:shd w:val="clear" w:color="auto" w:fill="auto"/>
          </w:tcPr>
          <w:p w14:paraId="3719D242" w14:textId="120E8BD5" w:rsidR="00824F08" w:rsidRPr="00580607" w:rsidRDefault="00077B5C" w:rsidP="00824F08">
            <w:pPr>
              <w:rPr>
                <w:sz w:val="18"/>
                <w:szCs w:val="18"/>
              </w:rPr>
            </w:pPr>
            <w:r>
              <w:rPr>
                <w:sz w:val="18"/>
                <w:szCs w:val="18"/>
              </w:rPr>
              <w:lastRenderedPageBreak/>
              <w:t>Compared to other research on the subject of PT’s ability to diagnos</w:t>
            </w:r>
            <w:r w:rsidR="00C44DD5">
              <w:rPr>
                <w:sz w:val="18"/>
                <w:szCs w:val="18"/>
              </w:rPr>
              <w:t>e</w:t>
            </w:r>
            <w:r>
              <w:rPr>
                <w:sz w:val="18"/>
                <w:szCs w:val="18"/>
              </w:rPr>
              <w:t>, treat, and refer patient</w:t>
            </w:r>
            <w:r w:rsidR="00C331F0">
              <w:rPr>
                <w:sz w:val="18"/>
                <w:szCs w:val="18"/>
              </w:rPr>
              <w:t>s</w:t>
            </w:r>
            <w:r>
              <w:rPr>
                <w:sz w:val="18"/>
                <w:szCs w:val="18"/>
              </w:rPr>
              <w:t xml:space="preserve"> with musculoskeletal injuries as compared to medical doctors, </w:t>
            </w:r>
            <w:proofErr w:type="spellStart"/>
            <w:r>
              <w:rPr>
                <w:sz w:val="18"/>
                <w:szCs w:val="18"/>
              </w:rPr>
              <w:t>Décary</w:t>
            </w:r>
            <w:proofErr w:type="spellEnd"/>
            <w:r>
              <w:rPr>
                <w:sz w:val="18"/>
                <w:szCs w:val="18"/>
              </w:rPr>
              <w:t xml:space="preserve"> et al.’s study methodology was more thorough and thus more trustworthy.  Unlike other </w:t>
            </w:r>
            <w:r w:rsidR="0036765B">
              <w:rPr>
                <w:sz w:val="18"/>
                <w:szCs w:val="18"/>
              </w:rPr>
              <w:t xml:space="preserve">studies, </w:t>
            </w:r>
            <w:proofErr w:type="spellStart"/>
            <w:r>
              <w:rPr>
                <w:sz w:val="18"/>
                <w:szCs w:val="18"/>
              </w:rPr>
              <w:t>Décary</w:t>
            </w:r>
            <w:proofErr w:type="spellEnd"/>
            <w:r>
              <w:rPr>
                <w:sz w:val="18"/>
                <w:szCs w:val="18"/>
              </w:rPr>
              <w:t xml:space="preserve"> provided the raw data and performed multiple stati</w:t>
            </w:r>
            <w:r w:rsidR="00626358">
              <w:rPr>
                <w:sz w:val="18"/>
                <w:szCs w:val="18"/>
              </w:rPr>
              <w:t>sti</w:t>
            </w:r>
            <w:r>
              <w:rPr>
                <w:sz w:val="18"/>
                <w:szCs w:val="18"/>
              </w:rPr>
              <w:t xml:space="preserve">cal analyses of each outcome measure.  Although </w:t>
            </w:r>
            <w:proofErr w:type="spellStart"/>
            <w:r>
              <w:rPr>
                <w:sz w:val="18"/>
                <w:szCs w:val="18"/>
              </w:rPr>
              <w:t>Décary</w:t>
            </w:r>
            <w:proofErr w:type="spellEnd"/>
            <w:r>
              <w:rPr>
                <w:sz w:val="18"/>
                <w:szCs w:val="18"/>
              </w:rPr>
              <w:t xml:space="preserve"> et al.’s sample size was 179 and only 71 participants were required to detect overall inter-rater Kappa value considering 80% power, 179 is still a small sample size.  There was no formal assessment of the clinician’s skills</w:t>
            </w:r>
            <w:r w:rsidR="007E07ED">
              <w:rPr>
                <w:sz w:val="18"/>
                <w:szCs w:val="18"/>
              </w:rPr>
              <w:t>,</w:t>
            </w:r>
            <w:r>
              <w:rPr>
                <w:sz w:val="18"/>
                <w:szCs w:val="18"/>
              </w:rPr>
              <w:t xml:space="preserve"> and only 1 PT and 4 physicians contributed to the study findings.  Further, only 1/4 physicians created the reference standard.  One also must question the validity of establishing the physician’s composite diagnosis and triage recommendation as the reference standard.  Despite these limitations, </w:t>
            </w:r>
            <w:proofErr w:type="spellStart"/>
            <w:r>
              <w:rPr>
                <w:sz w:val="18"/>
                <w:szCs w:val="18"/>
              </w:rPr>
              <w:t>Décary</w:t>
            </w:r>
            <w:proofErr w:type="spellEnd"/>
            <w:r>
              <w:rPr>
                <w:sz w:val="18"/>
                <w:szCs w:val="18"/>
              </w:rPr>
              <w:t xml:space="preserve"> et al. are able to establish creditable evidence that physiotherapists in Canada should play a primary role in the evaluation and triage decision making for patients with common knee disorders.  This study also suggests physiotherapist</w:t>
            </w:r>
            <w:r w:rsidR="00D5338F">
              <w:rPr>
                <w:sz w:val="18"/>
                <w:szCs w:val="18"/>
              </w:rPr>
              <w:t>s</w:t>
            </w:r>
            <w:r>
              <w:rPr>
                <w:sz w:val="18"/>
                <w:szCs w:val="18"/>
              </w:rPr>
              <w:t xml:space="preserve"> can provide more efficient and cost-effective treatment, as they were able </w:t>
            </w:r>
            <w:r w:rsidR="00D5338F">
              <w:rPr>
                <w:sz w:val="18"/>
                <w:szCs w:val="18"/>
              </w:rPr>
              <w:t xml:space="preserve">to </w:t>
            </w:r>
            <w:r>
              <w:rPr>
                <w:sz w:val="18"/>
                <w:szCs w:val="18"/>
              </w:rPr>
              <w:t>diagnos</w:t>
            </w:r>
            <w:r w:rsidR="00D5338F">
              <w:rPr>
                <w:sz w:val="18"/>
                <w:szCs w:val="18"/>
              </w:rPr>
              <w:t>e</w:t>
            </w:r>
            <w:r>
              <w:rPr>
                <w:sz w:val="18"/>
                <w:szCs w:val="18"/>
              </w:rPr>
              <w:t xml:space="preserve"> and triage without the use of imaging, which is often unnecessary.  Additional research is needed to confirm these findings in more clinic setting</w:t>
            </w:r>
            <w:r w:rsidR="00824F08">
              <w:rPr>
                <w:sz w:val="18"/>
                <w:szCs w:val="18"/>
              </w:rPr>
              <w:t>s</w:t>
            </w:r>
            <w:r>
              <w:rPr>
                <w:sz w:val="18"/>
                <w:szCs w:val="18"/>
              </w:rPr>
              <w:t>, different locations around the world,</w:t>
            </w:r>
            <w:r w:rsidR="009B03EF">
              <w:rPr>
                <w:sz w:val="18"/>
                <w:szCs w:val="18"/>
              </w:rPr>
              <w:t xml:space="preserve"> with</w:t>
            </w:r>
            <w:r>
              <w:rPr>
                <w:sz w:val="18"/>
                <w:szCs w:val="18"/>
              </w:rPr>
              <w:t xml:space="preserve"> rigorous study design, and with more musculoskeletal disorders in order to suggest the study findings apply more broadly.   </w:t>
            </w:r>
          </w:p>
        </w:tc>
      </w:tr>
      <w:tr w:rsidR="0000738B" w:rsidRPr="002F16E1" w14:paraId="1A84D445" w14:textId="77777777" w:rsidTr="0000738B">
        <w:trPr>
          <w:trHeight w:val="741"/>
        </w:trPr>
        <w:tc>
          <w:tcPr>
            <w:tcW w:w="10421" w:type="dxa"/>
            <w:shd w:val="clear" w:color="auto" w:fill="auto"/>
          </w:tcPr>
          <w:p w14:paraId="5373929B" w14:textId="77777777" w:rsidR="0000738B" w:rsidRPr="002F16E1" w:rsidRDefault="0000738B" w:rsidP="00B82150">
            <w:pPr>
              <w:spacing w:before="120" w:after="120"/>
              <w:jc w:val="both"/>
              <w:rPr>
                <w:b/>
                <w:sz w:val="18"/>
                <w:szCs w:val="18"/>
              </w:rPr>
            </w:pPr>
            <w:r>
              <w:rPr>
                <w:b/>
                <w:sz w:val="18"/>
                <w:szCs w:val="18"/>
              </w:rPr>
              <w:t>Applicability of Study Results</w:t>
            </w:r>
          </w:p>
          <w:p w14:paraId="13CC2A70" w14:textId="77777777" w:rsidR="0000738B" w:rsidRPr="00580607" w:rsidRDefault="00752AAC" w:rsidP="00B82150">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244D91CE" w14:textId="77777777" w:rsidTr="00B82150">
        <w:trPr>
          <w:trHeight w:val="1594"/>
        </w:trPr>
        <w:tc>
          <w:tcPr>
            <w:tcW w:w="10421" w:type="dxa"/>
            <w:tcBorders>
              <w:bottom w:val="single" w:sz="4" w:space="0" w:color="auto"/>
            </w:tcBorders>
            <w:shd w:val="clear" w:color="auto" w:fill="auto"/>
          </w:tcPr>
          <w:p w14:paraId="47A88F5C" w14:textId="3C30C54A" w:rsidR="00824F08" w:rsidRDefault="00824F08" w:rsidP="00077B5C">
            <w:pPr>
              <w:tabs>
                <w:tab w:val="left" w:pos="3162"/>
              </w:tabs>
              <w:spacing w:before="120" w:after="120"/>
              <w:rPr>
                <w:sz w:val="18"/>
                <w:szCs w:val="18"/>
              </w:rPr>
            </w:pPr>
            <w:r>
              <w:rPr>
                <w:sz w:val="18"/>
                <w:szCs w:val="18"/>
              </w:rPr>
              <w:t xml:space="preserve">This study is moderately applicable to my clinical question.  It directly compares </w:t>
            </w:r>
            <w:r w:rsidRPr="0082281A">
              <w:rPr>
                <w:sz w:val="18"/>
                <w:szCs w:val="18"/>
              </w:rPr>
              <w:t>physical therapists</w:t>
            </w:r>
            <w:r>
              <w:rPr>
                <w:sz w:val="18"/>
                <w:szCs w:val="18"/>
              </w:rPr>
              <w:t>’</w:t>
            </w:r>
            <w:r w:rsidRPr="0082281A">
              <w:rPr>
                <w:sz w:val="18"/>
                <w:szCs w:val="18"/>
              </w:rPr>
              <w:t xml:space="preserve"> </w:t>
            </w:r>
            <w:r>
              <w:rPr>
                <w:sz w:val="18"/>
                <w:szCs w:val="18"/>
              </w:rPr>
              <w:t xml:space="preserve">(I of PICO) </w:t>
            </w:r>
            <w:r w:rsidRPr="0082281A">
              <w:rPr>
                <w:sz w:val="18"/>
                <w:szCs w:val="18"/>
              </w:rPr>
              <w:t>and medical doctors</w:t>
            </w:r>
            <w:r>
              <w:rPr>
                <w:sz w:val="18"/>
                <w:szCs w:val="18"/>
              </w:rPr>
              <w:t xml:space="preserve">’ (C of PICO) </w:t>
            </w:r>
            <w:r w:rsidRPr="0082281A">
              <w:rPr>
                <w:sz w:val="18"/>
                <w:szCs w:val="18"/>
              </w:rPr>
              <w:t>diagnostic accuracy and treatment</w:t>
            </w:r>
            <w:r>
              <w:rPr>
                <w:sz w:val="18"/>
                <w:szCs w:val="18"/>
              </w:rPr>
              <w:t xml:space="preserve"> (O of PICO).  The study’s population, patients with knee musculoskeletal disorders is more focused than my clinical question examining any musculoskeletal disorder.  The biggest issue in applying these study results is the study took place in Canada.  Physiotherapist</w:t>
            </w:r>
            <w:r w:rsidR="00475807">
              <w:rPr>
                <w:sz w:val="18"/>
                <w:szCs w:val="18"/>
              </w:rPr>
              <w:t>s</w:t>
            </w:r>
            <w:r>
              <w:rPr>
                <w:sz w:val="18"/>
                <w:szCs w:val="18"/>
              </w:rPr>
              <w:t xml:space="preserve"> are trained differently, and Canada has a different health care system, thus limiting the applicability of the results to my clinical question.  The </w:t>
            </w:r>
            <w:proofErr w:type="spellStart"/>
            <w:r>
              <w:rPr>
                <w:sz w:val="18"/>
                <w:szCs w:val="18"/>
              </w:rPr>
              <w:t>Décary</w:t>
            </w:r>
            <w:proofErr w:type="spellEnd"/>
            <w:r>
              <w:rPr>
                <w:sz w:val="18"/>
                <w:szCs w:val="18"/>
              </w:rPr>
              <w:t xml:space="preserve"> study is even less applicable to my clinical scenario.  My clinical scenario focuses on a 25 </w:t>
            </w:r>
            <w:proofErr w:type="spellStart"/>
            <w:r>
              <w:rPr>
                <w:sz w:val="18"/>
                <w:szCs w:val="18"/>
              </w:rPr>
              <w:t>y.o</w:t>
            </w:r>
            <w:proofErr w:type="spellEnd"/>
            <w:r>
              <w:rPr>
                <w:sz w:val="18"/>
                <w:szCs w:val="18"/>
              </w:rPr>
              <w:t xml:space="preserve">. male runner with a primary compliant of hip and groin pain for about 2 months.  The </w:t>
            </w:r>
            <w:r w:rsidR="0002420F">
              <w:rPr>
                <w:sz w:val="18"/>
                <w:szCs w:val="18"/>
              </w:rPr>
              <w:t xml:space="preserve">majority of </w:t>
            </w:r>
            <w:r>
              <w:rPr>
                <w:sz w:val="18"/>
                <w:szCs w:val="18"/>
              </w:rPr>
              <w:t>participants in this study are</w:t>
            </w:r>
            <w:r w:rsidR="0002420F">
              <w:rPr>
                <w:sz w:val="18"/>
                <w:szCs w:val="18"/>
              </w:rPr>
              <w:t xml:space="preserve"> </w:t>
            </w:r>
            <w:r>
              <w:rPr>
                <w:sz w:val="18"/>
                <w:szCs w:val="18"/>
              </w:rPr>
              <w:t xml:space="preserve">female, with primary complaints involving the knee, and the majority had </w:t>
            </w:r>
            <w:r w:rsidR="00B70DBE">
              <w:rPr>
                <w:sz w:val="18"/>
                <w:szCs w:val="18"/>
              </w:rPr>
              <w:t xml:space="preserve">a </w:t>
            </w:r>
            <w:r>
              <w:rPr>
                <w:sz w:val="18"/>
                <w:szCs w:val="18"/>
              </w:rPr>
              <w:t>duration of symptoms greater than 3 months.  As a student earning my doctorate in physical therapy, I would recommend the patient in the clinical scenario consult a physical therapist for his hip and groin pain.  However, the results of this study do not directly apply to the clinical scenario.  More research and an expansion of the view of PT’s role in maintaining health and wellness is necessary.  By considering practicality and feasibility, we see how to direct attention in the future to better serve patients like the one in my clinical scenario.</w:t>
            </w:r>
          </w:p>
          <w:p w14:paraId="4937E6F4" w14:textId="6143DAA3" w:rsidR="00077B5C" w:rsidRDefault="00077B5C" w:rsidP="00077B5C">
            <w:pPr>
              <w:tabs>
                <w:tab w:val="left" w:pos="3162"/>
              </w:tabs>
              <w:spacing w:before="120" w:after="120"/>
              <w:rPr>
                <w:sz w:val="18"/>
                <w:szCs w:val="18"/>
              </w:rPr>
            </w:pPr>
            <w:r>
              <w:rPr>
                <w:sz w:val="18"/>
                <w:szCs w:val="18"/>
              </w:rPr>
              <w:t xml:space="preserve">Practicality: </w:t>
            </w:r>
            <w:proofErr w:type="spellStart"/>
            <w:r>
              <w:rPr>
                <w:sz w:val="18"/>
                <w:szCs w:val="18"/>
              </w:rPr>
              <w:t>Décary</w:t>
            </w:r>
            <w:proofErr w:type="spellEnd"/>
            <w:r>
              <w:rPr>
                <w:sz w:val="18"/>
                <w:szCs w:val="18"/>
              </w:rPr>
              <w:t xml:space="preserve"> et al. discuss the need to create more “interdisciplinary evaluation and triage strategies in the context of innovative and potentially more efficient care trajectories for patients with common musculoskeletal disorders” (page 6). Until heath care providers shift to a more interdisciplinary approach, the practicality as PTs acting as primary care providers for </w:t>
            </w:r>
            <w:r w:rsidR="00824F08">
              <w:rPr>
                <w:sz w:val="18"/>
                <w:szCs w:val="18"/>
              </w:rPr>
              <w:t>musculoskeletal</w:t>
            </w:r>
            <w:r>
              <w:rPr>
                <w:sz w:val="18"/>
                <w:szCs w:val="18"/>
              </w:rPr>
              <w:t xml:space="preserve"> disorders is not practical on a broad scale.  Additionally, physical therapists in the US are not qualified </w:t>
            </w:r>
            <w:r w:rsidR="00FB35FE">
              <w:rPr>
                <w:sz w:val="18"/>
                <w:szCs w:val="18"/>
              </w:rPr>
              <w:t xml:space="preserve">to </w:t>
            </w:r>
            <w:r>
              <w:rPr>
                <w:sz w:val="18"/>
                <w:szCs w:val="18"/>
              </w:rPr>
              <w:t xml:space="preserve">perform tasks, such as ordering imaging.  If PT’s qualifications are expanded, they may gain </w:t>
            </w:r>
            <w:r w:rsidR="00824F08">
              <w:rPr>
                <w:sz w:val="18"/>
                <w:szCs w:val="18"/>
              </w:rPr>
              <w:t xml:space="preserve">more </w:t>
            </w:r>
            <w:r>
              <w:rPr>
                <w:sz w:val="18"/>
                <w:szCs w:val="18"/>
              </w:rPr>
              <w:t xml:space="preserve">respect amongst other health providers and consumers and be able to provide better care. </w:t>
            </w:r>
          </w:p>
          <w:p w14:paraId="3E4CD329" w14:textId="15C78B28" w:rsidR="0000738B" w:rsidRPr="002F16E1" w:rsidRDefault="00077B5C" w:rsidP="00824F08">
            <w:pPr>
              <w:spacing w:before="120" w:after="120"/>
              <w:rPr>
                <w:b/>
                <w:sz w:val="18"/>
                <w:szCs w:val="18"/>
              </w:rPr>
            </w:pPr>
            <w:r>
              <w:rPr>
                <w:sz w:val="18"/>
                <w:szCs w:val="18"/>
              </w:rPr>
              <w:t>Feasibility</w:t>
            </w:r>
            <w:r w:rsidR="00824F08">
              <w:rPr>
                <w:sz w:val="18"/>
                <w:szCs w:val="18"/>
              </w:rPr>
              <w:t>:</w:t>
            </w:r>
            <w:r>
              <w:rPr>
                <w:sz w:val="18"/>
                <w:szCs w:val="18"/>
              </w:rPr>
              <w:t xml:space="preserve"> </w:t>
            </w:r>
            <w:r w:rsidR="00824F08">
              <w:rPr>
                <w:sz w:val="18"/>
                <w:szCs w:val="18"/>
              </w:rPr>
              <w:t>In all 50 states, D.C. and the U.S. Virgin Islands there is direct access to physical therapy serv</w:t>
            </w:r>
            <w:r w:rsidR="00566FCB">
              <w:rPr>
                <w:sz w:val="18"/>
                <w:szCs w:val="18"/>
              </w:rPr>
              <w:t>ices</w:t>
            </w:r>
            <w:r w:rsidR="00824F08">
              <w:rPr>
                <w:sz w:val="18"/>
                <w:szCs w:val="18"/>
              </w:rPr>
              <w:t xml:space="preserve">. </w:t>
            </w:r>
            <w:r>
              <w:rPr>
                <w:sz w:val="18"/>
                <w:szCs w:val="18"/>
              </w:rPr>
              <w:t>However</w:t>
            </w:r>
            <w:r w:rsidR="00824F08">
              <w:rPr>
                <w:sz w:val="18"/>
                <w:szCs w:val="18"/>
              </w:rPr>
              <w:t>, there are different levels of direct access, and many state</w:t>
            </w:r>
            <w:r w:rsidR="00F43690">
              <w:rPr>
                <w:sz w:val="18"/>
                <w:szCs w:val="18"/>
              </w:rPr>
              <w:t>s</w:t>
            </w:r>
            <w:r w:rsidR="00824F08">
              <w:rPr>
                <w:sz w:val="18"/>
                <w:szCs w:val="18"/>
              </w:rPr>
              <w:t xml:space="preserve"> limit access with provisions.  Further, direct access is often no</w:t>
            </w:r>
            <w:r w:rsidR="00F43690">
              <w:rPr>
                <w:sz w:val="18"/>
                <w:szCs w:val="18"/>
              </w:rPr>
              <w:t>t</w:t>
            </w:r>
            <w:r w:rsidR="00824F08">
              <w:rPr>
                <w:sz w:val="18"/>
                <w:szCs w:val="18"/>
              </w:rPr>
              <w:t xml:space="preserve"> fully utilized due to</w:t>
            </w:r>
            <w:r>
              <w:rPr>
                <w:sz w:val="18"/>
                <w:szCs w:val="18"/>
              </w:rPr>
              <w:t xml:space="preserve"> a lack of education in the general and medical populations about the scope </w:t>
            </w:r>
            <w:r w:rsidR="00824F08">
              <w:rPr>
                <w:sz w:val="18"/>
                <w:szCs w:val="18"/>
              </w:rPr>
              <w:t xml:space="preserve">of physical therapy.  </w:t>
            </w:r>
            <w:r>
              <w:rPr>
                <w:sz w:val="18"/>
                <w:szCs w:val="18"/>
              </w:rPr>
              <w:t xml:space="preserve"> </w:t>
            </w:r>
          </w:p>
        </w:tc>
      </w:tr>
    </w:tbl>
    <w:p w14:paraId="4EDF515E" w14:textId="77777777" w:rsidR="001D4F60" w:rsidRPr="001D4F60" w:rsidRDefault="001D4F60" w:rsidP="001D4F60">
      <w:pPr>
        <w:spacing w:before="240" w:after="240"/>
        <w:rPr>
          <w:b/>
          <w:sz w:val="18"/>
          <w:szCs w:val="18"/>
        </w:rPr>
      </w:pPr>
    </w:p>
    <w:p w14:paraId="68417291"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31D50256"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4431B64A" w14:textId="77777777" w:rsidTr="002F16E1">
        <w:tc>
          <w:tcPr>
            <w:tcW w:w="10421" w:type="dxa"/>
            <w:shd w:val="clear" w:color="auto" w:fill="auto"/>
          </w:tcPr>
          <w:p w14:paraId="6BC33738" w14:textId="43CAE927" w:rsidR="007E07ED" w:rsidRDefault="007E07ED" w:rsidP="007E07ED">
            <w:pPr>
              <w:spacing w:before="120" w:after="120"/>
              <w:rPr>
                <w:sz w:val="18"/>
                <w:szCs w:val="18"/>
              </w:rPr>
            </w:pPr>
            <w:r>
              <w:rPr>
                <w:sz w:val="18"/>
                <w:szCs w:val="18"/>
              </w:rPr>
              <w:t>Overall, both studies in this CAT indicate PTs may provide more efficient and cost-effective treatment for musculoskeletal disorders.  The first study consisted of a retrospective chart review of military personnel.  McGill found PTs utilize medication and imaging drastically less than family practice physicians, and PTs have a higher return to duty rate.  McGill’s conclusions must be taken with caution given the lack of internal validity, potential for bias given th</w:t>
            </w:r>
            <w:r w:rsidR="00413580">
              <w:rPr>
                <w:sz w:val="18"/>
                <w:szCs w:val="18"/>
              </w:rPr>
              <w:t>at</w:t>
            </w:r>
            <w:r>
              <w:rPr>
                <w:sz w:val="18"/>
                <w:szCs w:val="18"/>
              </w:rPr>
              <w:t xml:space="preserve"> McGill was the author, PT, and data assessor, the missing raw data, and inadequate statical analyses.  Future studies are needed with blinded data assessors, sample size of adequate power, use of multiple PTs and more physicians, additional stati</w:t>
            </w:r>
            <w:r w:rsidR="00413580">
              <w:rPr>
                <w:sz w:val="18"/>
                <w:szCs w:val="18"/>
              </w:rPr>
              <w:t>sti</w:t>
            </w:r>
            <w:r>
              <w:rPr>
                <w:sz w:val="18"/>
                <w:szCs w:val="18"/>
              </w:rPr>
              <w:t xml:space="preserve">cal </w:t>
            </w:r>
            <w:r w:rsidR="00CC153F">
              <w:rPr>
                <w:sz w:val="18"/>
                <w:szCs w:val="18"/>
              </w:rPr>
              <w:t>calculations,</w:t>
            </w:r>
            <w:r>
              <w:rPr>
                <w:sz w:val="18"/>
                <w:szCs w:val="18"/>
              </w:rPr>
              <w:t xml:space="preserve"> and expanded setting locations to confirm and expand McGill’s findings.</w:t>
            </w:r>
          </w:p>
          <w:p w14:paraId="3B2A58A7" w14:textId="6AC68102" w:rsidR="007E07ED" w:rsidRDefault="007E07ED" w:rsidP="007E07ED">
            <w:pPr>
              <w:spacing w:before="120" w:after="120"/>
              <w:rPr>
                <w:sz w:val="18"/>
                <w:szCs w:val="18"/>
              </w:rPr>
            </w:pPr>
            <w:proofErr w:type="spellStart"/>
            <w:r>
              <w:rPr>
                <w:sz w:val="18"/>
                <w:szCs w:val="18"/>
              </w:rPr>
              <w:t>Décary</w:t>
            </w:r>
            <w:proofErr w:type="spellEnd"/>
            <w:r>
              <w:rPr>
                <w:sz w:val="18"/>
                <w:szCs w:val="18"/>
              </w:rPr>
              <w:t xml:space="preserve"> et al. conducted a prospective diagnostic cohort study investiga</w:t>
            </w:r>
            <w:r w:rsidR="00CC153F">
              <w:rPr>
                <w:sz w:val="18"/>
                <w:szCs w:val="18"/>
              </w:rPr>
              <w:t>ting</w:t>
            </w:r>
            <w:r>
              <w:rPr>
                <w:sz w:val="18"/>
                <w:szCs w:val="18"/>
              </w:rPr>
              <w:t xml:space="preserve"> how a physiotherapist and a physician would compare in their diagnosis and triaging of knee injuries on the same patients.  The physiotherapist used only a musculoskeletal exam to inform the decision and the physicians used the </w:t>
            </w:r>
            <w:r>
              <w:rPr>
                <w:sz w:val="18"/>
                <w:szCs w:val="18"/>
              </w:rPr>
              <w:lastRenderedPageBreak/>
              <w:t>musculoskeletal exam and imaging.  Concordance between physiotherapist and physician was high for diagnosis and good for triage recommendation.  The study also found physiotherapist</w:t>
            </w:r>
            <w:r w:rsidR="00903770">
              <w:rPr>
                <w:sz w:val="18"/>
                <w:szCs w:val="18"/>
              </w:rPr>
              <w:t>s</w:t>
            </w:r>
            <w:r>
              <w:rPr>
                <w:sz w:val="18"/>
                <w:szCs w:val="18"/>
              </w:rPr>
              <w:t xml:space="preserve"> are equip</w:t>
            </w:r>
            <w:r w:rsidR="00903770">
              <w:rPr>
                <w:sz w:val="18"/>
                <w:szCs w:val="18"/>
              </w:rPr>
              <w:t>ped</w:t>
            </w:r>
            <w:r>
              <w:rPr>
                <w:sz w:val="18"/>
                <w:szCs w:val="18"/>
              </w:rPr>
              <w:t xml:space="preserve"> to diagnos</w:t>
            </w:r>
            <w:r w:rsidR="00903770">
              <w:rPr>
                <w:sz w:val="18"/>
                <w:szCs w:val="18"/>
              </w:rPr>
              <w:t>e</w:t>
            </w:r>
            <w:r>
              <w:rPr>
                <w:sz w:val="18"/>
                <w:szCs w:val="18"/>
              </w:rPr>
              <w:t xml:space="preserve"> and rule out common knee conditions without the use of imaging.  </w:t>
            </w:r>
            <w:proofErr w:type="spellStart"/>
            <w:r>
              <w:rPr>
                <w:sz w:val="18"/>
                <w:szCs w:val="18"/>
              </w:rPr>
              <w:t>Décary</w:t>
            </w:r>
            <w:proofErr w:type="spellEnd"/>
            <w:r>
              <w:rPr>
                <w:sz w:val="18"/>
                <w:szCs w:val="18"/>
              </w:rPr>
              <w:t xml:space="preserve"> et al. only used one physiotherapist for all participants, and the physiotherapist only had one year of clinical experience.  Future studies should involve many more physiotherapists with a variety of clinical experience and more physicians, also with varied clinical experience.  Findings could be strengthened if each patient was assessed by multiple PTs and physicians, however this may be less feasible.  Findings can be further strengthened and broadened with more rigorous study designs, musculoskeletal pathologies involving other sites than the knee, and more clinical locations. </w:t>
            </w:r>
          </w:p>
          <w:p w14:paraId="55B2B760" w14:textId="2724DB33" w:rsidR="00E609EF" w:rsidRPr="007D35DE" w:rsidRDefault="007E07ED" w:rsidP="002F16E1">
            <w:pPr>
              <w:spacing w:before="120" w:after="120"/>
              <w:rPr>
                <w:sz w:val="18"/>
                <w:szCs w:val="18"/>
              </w:rPr>
            </w:pPr>
            <w:r>
              <w:rPr>
                <w:sz w:val="18"/>
                <w:szCs w:val="18"/>
              </w:rPr>
              <w:t xml:space="preserve">The studies suggest PTs are able to diagnosis and treat musculoskeletal injuries.  If PTs are used </w:t>
            </w:r>
            <w:r w:rsidR="00457708">
              <w:rPr>
                <w:sz w:val="18"/>
                <w:szCs w:val="18"/>
              </w:rPr>
              <w:t xml:space="preserve">via </w:t>
            </w:r>
            <w:r>
              <w:rPr>
                <w:sz w:val="18"/>
                <w:szCs w:val="18"/>
              </w:rPr>
              <w:t xml:space="preserve">direct access, unnecessary imaging and medication prescription may be avoided.  Patients with musculoskeletal complaints, like the male in the clinical scenario, should be encouraged to seek out physical therapy care as their initial treatment.  To encourage people to use physical </w:t>
            </w:r>
            <w:r w:rsidR="00170BF7">
              <w:rPr>
                <w:sz w:val="18"/>
                <w:szCs w:val="18"/>
              </w:rPr>
              <w:t>therapists’</w:t>
            </w:r>
            <w:r>
              <w:rPr>
                <w:sz w:val="18"/>
                <w:szCs w:val="18"/>
              </w:rPr>
              <w:t xml:space="preserve"> direct access, more research is needed to prove the role of PTs in providing primary care for musculoskeletal disorders.  In addition, patient care with a greater emphasis on interdisciplinary care could enhance the role of PTs.  Finally, education of the general population and medical providers on the role of PTs is necessary.  </w:t>
            </w:r>
          </w:p>
        </w:tc>
      </w:tr>
    </w:tbl>
    <w:p w14:paraId="422B1B9C" w14:textId="77777777" w:rsidR="009E380F" w:rsidRDefault="009E380F" w:rsidP="001E1518">
      <w:pPr>
        <w:spacing w:before="120"/>
        <w:rPr>
          <w:b/>
          <w:sz w:val="18"/>
          <w:szCs w:val="18"/>
        </w:rPr>
      </w:pPr>
    </w:p>
    <w:p w14:paraId="0ACF0AA3"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43D7D652"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360B108E" w14:textId="77777777" w:rsidTr="002F16E1">
        <w:tc>
          <w:tcPr>
            <w:tcW w:w="10421" w:type="dxa"/>
            <w:shd w:val="clear" w:color="auto" w:fill="auto"/>
          </w:tcPr>
          <w:p w14:paraId="1878F981" w14:textId="77777777" w:rsidR="00131621" w:rsidRPr="00567607" w:rsidRDefault="00131621" w:rsidP="00131621">
            <w:pPr>
              <w:pStyle w:val="ListParagraph"/>
              <w:numPr>
                <w:ilvl w:val="0"/>
                <w:numId w:val="16"/>
              </w:numPr>
              <w:ind w:left="360"/>
              <w:rPr>
                <w:sz w:val="18"/>
                <w:szCs w:val="18"/>
                <w:lang w:val="en-US"/>
              </w:rPr>
            </w:pPr>
            <w:r w:rsidRPr="00567607">
              <w:rPr>
                <w:rFonts w:cs="Arial"/>
                <w:color w:val="000000"/>
                <w:sz w:val="18"/>
                <w:szCs w:val="18"/>
                <w:shd w:val="clear" w:color="auto" w:fill="FFFFFF"/>
                <w:lang w:val="en-US"/>
              </w:rPr>
              <w:t xml:space="preserve">Moore JH, Goss DL, Baxter RE, et al. Clinical diagnostic accuracy and magnetic resonance imaging of patients referred by physical therapists, </w:t>
            </w:r>
            <w:proofErr w:type="spellStart"/>
            <w:r w:rsidRPr="00567607">
              <w:rPr>
                <w:rFonts w:cs="Arial"/>
                <w:color w:val="000000"/>
                <w:sz w:val="18"/>
                <w:szCs w:val="18"/>
                <w:shd w:val="clear" w:color="auto" w:fill="FFFFFF"/>
                <w:lang w:val="en-US"/>
              </w:rPr>
              <w:t>orthopaedic</w:t>
            </w:r>
            <w:proofErr w:type="spellEnd"/>
            <w:r w:rsidRPr="00567607">
              <w:rPr>
                <w:rFonts w:cs="Arial"/>
                <w:color w:val="000000"/>
                <w:sz w:val="18"/>
                <w:szCs w:val="18"/>
                <w:shd w:val="clear" w:color="auto" w:fill="FFFFFF"/>
                <w:lang w:val="en-US"/>
              </w:rPr>
              <w:t xml:space="preserve"> surgeons, and </w:t>
            </w:r>
            <w:proofErr w:type="spellStart"/>
            <w:r w:rsidRPr="00567607">
              <w:rPr>
                <w:rFonts w:cs="Arial"/>
                <w:color w:val="000000"/>
                <w:sz w:val="18"/>
                <w:szCs w:val="18"/>
                <w:shd w:val="clear" w:color="auto" w:fill="FFFFFF"/>
                <w:lang w:val="en-US"/>
              </w:rPr>
              <w:t>nonorthopaedic</w:t>
            </w:r>
            <w:proofErr w:type="spellEnd"/>
            <w:r w:rsidRPr="00567607">
              <w:rPr>
                <w:rFonts w:cs="Arial"/>
                <w:color w:val="000000"/>
                <w:sz w:val="18"/>
                <w:szCs w:val="18"/>
                <w:shd w:val="clear" w:color="auto" w:fill="FFFFFF"/>
                <w:lang w:val="en-US"/>
              </w:rPr>
              <w:t xml:space="preserve"> providers. </w:t>
            </w:r>
            <w:r w:rsidRPr="00567607">
              <w:rPr>
                <w:rFonts w:cs="Arial"/>
                <w:i/>
                <w:iCs/>
                <w:color w:val="000000"/>
                <w:sz w:val="18"/>
                <w:szCs w:val="18"/>
                <w:shd w:val="clear" w:color="auto" w:fill="FFFFFF"/>
                <w:lang w:val="en-US"/>
              </w:rPr>
              <w:t xml:space="preserve">J </w:t>
            </w:r>
            <w:proofErr w:type="spellStart"/>
            <w:r w:rsidRPr="00567607">
              <w:rPr>
                <w:rFonts w:cs="Arial"/>
                <w:i/>
                <w:iCs/>
                <w:color w:val="000000"/>
                <w:sz w:val="18"/>
                <w:szCs w:val="18"/>
                <w:shd w:val="clear" w:color="auto" w:fill="FFFFFF"/>
                <w:lang w:val="en-US"/>
              </w:rPr>
              <w:t>Orthop</w:t>
            </w:r>
            <w:proofErr w:type="spellEnd"/>
            <w:r w:rsidRPr="00567607">
              <w:rPr>
                <w:rFonts w:cs="Arial"/>
                <w:i/>
                <w:iCs/>
                <w:color w:val="000000"/>
                <w:sz w:val="18"/>
                <w:szCs w:val="18"/>
                <w:shd w:val="clear" w:color="auto" w:fill="FFFFFF"/>
                <w:lang w:val="en-US"/>
              </w:rPr>
              <w:t xml:space="preserve"> Sports Phys </w:t>
            </w:r>
            <w:proofErr w:type="spellStart"/>
            <w:r w:rsidRPr="00567607">
              <w:rPr>
                <w:rFonts w:cs="Arial"/>
                <w:i/>
                <w:iCs/>
                <w:color w:val="000000"/>
                <w:sz w:val="18"/>
                <w:szCs w:val="18"/>
                <w:shd w:val="clear" w:color="auto" w:fill="FFFFFF"/>
                <w:lang w:val="en-US"/>
              </w:rPr>
              <w:t>Ther</w:t>
            </w:r>
            <w:proofErr w:type="spellEnd"/>
            <w:r w:rsidRPr="00567607">
              <w:rPr>
                <w:rFonts w:cs="Arial"/>
                <w:color w:val="000000"/>
                <w:sz w:val="18"/>
                <w:szCs w:val="18"/>
                <w:shd w:val="clear" w:color="auto" w:fill="FFFFFF"/>
                <w:lang w:val="en-US"/>
              </w:rPr>
              <w:t>. 2005;35(2):67-71. doi:10.2519/jospt.2005.35.2.67</w:t>
            </w:r>
          </w:p>
          <w:p w14:paraId="17677D0F" w14:textId="77777777" w:rsidR="00131621" w:rsidRPr="00567607" w:rsidRDefault="00131621" w:rsidP="00131621">
            <w:pPr>
              <w:pStyle w:val="ListParagraph"/>
              <w:numPr>
                <w:ilvl w:val="0"/>
                <w:numId w:val="16"/>
              </w:numPr>
              <w:ind w:left="360"/>
              <w:rPr>
                <w:sz w:val="18"/>
                <w:szCs w:val="18"/>
                <w:lang w:val="en-US"/>
              </w:rPr>
            </w:pPr>
            <w:r w:rsidRPr="00567607">
              <w:rPr>
                <w:sz w:val="18"/>
                <w:szCs w:val="18"/>
                <w:lang w:val="en-US"/>
              </w:rPr>
              <w:t xml:space="preserve">McGill T. Effectiveness of physical therapists serving as primary care musculoskeletal providers as compared to family practice providers in a deployed combat location: a retrospective medical chart review. </w:t>
            </w:r>
            <w:r w:rsidRPr="00567607">
              <w:rPr>
                <w:i/>
                <w:iCs/>
                <w:sz w:val="18"/>
                <w:szCs w:val="18"/>
                <w:lang w:val="en-US"/>
              </w:rPr>
              <w:t>Mil Med</w:t>
            </w:r>
            <w:r w:rsidRPr="00567607">
              <w:rPr>
                <w:sz w:val="18"/>
                <w:szCs w:val="18"/>
                <w:lang w:val="en-US"/>
              </w:rPr>
              <w:t>. 2013;178(10):1115-1120. doi:10.7205/MILMED-D-13-00066</w:t>
            </w:r>
          </w:p>
          <w:p w14:paraId="6C080315" w14:textId="77777777" w:rsidR="00131621" w:rsidRPr="00567607" w:rsidRDefault="00131621" w:rsidP="00131621">
            <w:pPr>
              <w:pStyle w:val="ListParagraph"/>
              <w:numPr>
                <w:ilvl w:val="0"/>
                <w:numId w:val="16"/>
              </w:numPr>
              <w:ind w:left="360"/>
              <w:rPr>
                <w:sz w:val="18"/>
                <w:szCs w:val="18"/>
                <w:lang w:val="en-US"/>
              </w:rPr>
            </w:pPr>
            <w:r w:rsidRPr="00567607">
              <w:rPr>
                <w:sz w:val="18"/>
                <w:szCs w:val="18"/>
                <w:lang w:val="en-US"/>
              </w:rPr>
              <w:t xml:space="preserve">Marks D, </w:t>
            </w:r>
            <w:proofErr w:type="spellStart"/>
            <w:r w:rsidRPr="00567607">
              <w:rPr>
                <w:sz w:val="18"/>
                <w:szCs w:val="18"/>
                <w:lang w:val="en-US"/>
              </w:rPr>
              <w:t>Comans</w:t>
            </w:r>
            <w:proofErr w:type="spellEnd"/>
            <w:r w:rsidRPr="00567607">
              <w:rPr>
                <w:sz w:val="18"/>
                <w:szCs w:val="18"/>
                <w:lang w:val="en-US"/>
              </w:rPr>
              <w:t xml:space="preserve"> T, Thomas M, et al. Agreement between a physiotherapist and an </w:t>
            </w:r>
            <w:proofErr w:type="spellStart"/>
            <w:r w:rsidRPr="00567607">
              <w:rPr>
                <w:sz w:val="18"/>
                <w:szCs w:val="18"/>
                <w:lang w:val="en-US"/>
              </w:rPr>
              <w:t>orthopaedic</w:t>
            </w:r>
            <w:proofErr w:type="spellEnd"/>
            <w:r w:rsidRPr="00567607">
              <w:rPr>
                <w:sz w:val="18"/>
                <w:szCs w:val="18"/>
                <w:lang w:val="en-US"/>
              </w:rPr>
              <w:t xml:space="preserve"> surgeon regarding management and prescription of corticosteroid injection for patients with shoulder pain. </w:t>
            </w:r>
            <w:r w:rsidRPr="00567607">
              <w:rPr>
                <w:i/>
                <w:iCs/>
                <w:sz w:val="18"/>
                <w:szCs w:val="18"/>
                <w:lang w:val="en-US"/>
              </w:rPr>
              <w:t xml:space="preserve">Man </w:t>
            </w:r>
            <w:proofErr w:type="spellStart"/>
            <w:r w:rsidRPr="00567607">
              <w:rPr>
                <w:i/>
                <w:iCs/>
                <w:sz w:val="18"/>
                <w:szCs w:val="18"/>
                <w:lang w:val="en-US"/>
              </w:rPr>
              <w:t>Ther</w:t>
            </w:r>
            <w:proofErr w:type="spellEnd"/>
            <w:r w:rsidRPr="00567607">
              <w:rPr>
                <w:sz w:val="18"/>
                <w:szCs w:val="18"/>
                <w:lang w:val="en-US"/>
              </w:rPr>
              <w:t xml:space="preserve">. </w:t>
            </w:r>
            <w:proofErr w:type="gramStart"/>
            <w:r w:rsidRPr="00567607">
              <w:rPr>
                <w:sz w:val="18"/>
                <w:szCs w:val="18"/>
                <w:lang w:val="en-US"/>
              </w:rPr>
              <w:t>2016;26:216</w:t>
            </w:r>
            <w:proofErr w:type="gramEnd"/>
            <w:r w:rsidRPr="00567607">
              <w:rPr>
                <w:sz w:val="18"/>
                <w:szCs w:val="18"/>
                <w:lang w:val="en-US"/>
              </w:rPr>
              <w:t xml:space="preserve">-222. </w:t>
            </w:r>
            <w:proofErr w:type="gramStart"/>
            <w:r w:rsidRPr="00567607">
              <w:rPr>
                <w:sz w:val="18"/>
                <w:szCs w:val="18"/>
                <w:lang w:val="en-US"/>
              </w:rPr>
              <w:t>doi:10.1016/j.math</w:t>
            </w:r>
            <w:proofErr w:type="gramEnd"/>
            <w:r w:rsidRPr="00567607">
              <w:rPr>
                <w:sz w:val="18"/>
                <w:szCs w:val="18"/>
                <w:lang w:val="en-US"/>
              </w:rPr>
              <w:t>.2016.10.001</w:t>
            </w:r>
          </w:p>
          <w:p w14:paraId="608D3917" w14:textId="77777777" w:rsidR="00131621" w:rsidRPr="00131621" w:rsidRDefault="00131621" w:rsidP="00B31B8C">
            <w:pPr>
              <w:pStyle w:val="ListParagraph"/>
              <w:numPr>
                <w:ilvl w:val="0"/>
                <w:numId w:val="16"/>
              </w:numPr>
              <w:ind w:left="360"/>
              <w:rPr>
                <w:rFonts w:cs="Segoe UI"/>
                <w:color w:val="212121"/>
                <w:sz w:val="18"/>
                <w:szCs w:val="18"/>
                <w:shd w:val="clear" w:color="auto" w:fill="FFFFFF"/>
                <w:lang w:val="en-US"/>
              </w:rPr>
            </w:pPr>
            <w:proofErr w:type="spellStart"/>
            <w:r w:rsidRPr="00567607">
              <w:rPr>
                <w:sz w:val="18"/>
                <w:szCs w:val="18"/>
                <w:lang w:val="en-US"/>
              </w:rPr>
              <w:t>Jovic</w:t>
            </w:r>
            <w:proofErr w:type="spellEnd"/>
            <w:r w:rsidRPr="00567607">
              <w:rPr>
                <w:sz w:val="18"/>
                <w:szCs w:val="18"/>
                <w:lang w:val="en-US"/>
              </w:rPr>
              <w:t xml:space="preserve"> D, Mulford J, Ogden K, </w:t>
            </w:r>
            <w:proofErr w:type="spellStart"/>
            <w:r w:rsidRPr="00567607">
              <w:rPr>
                <w:sz w:val="18"/>
                <w:szCs w:val="18"/>
                <w:lang w:val="en-US"/>
              </w:rPr>
              <w:t>Zalucki</w:t>
            </w:r>
            <w:proofErr w:type="spellEnd"/>
            <w:r w:rsidRPr="00567607">
              <w:rPr>
                <w:sz w:val="18"/>
                <w:szCs w:val="18"/>
                <w:lang w:val="en-US"/>
              </w:rPr>
              <w:t xml:space="preserve"> N. Diagnosis and management of chronic hip and knee pain in a Tasmanian </w:t>
            </w:r>
            <w:proofErr w:type="spellStart"/>
            <w:r w:rsidRPr="00567607">
              <w:rPr>
                <w:sz w:val="18"/>
                <w:szCs w:val="18"/>
                <w:lang w:val="en-US"/>
              </w:rPr>
              <w:t>orthopaedic</w:t>
            </w:r>
            <w:proofErr w:type="spellEnd"/>
            <w:r w:rsidRPr="00567607">
              <w:rPr>
                <w:sz w:val="18"/>
                <w:szCs w:val="18"/>
                <w:lang w:val="en-US"/>
              </w:rPr>
              <w:t xml:space="preserve"> clinic: a study assessing the diagnostic and treatment planning decisions of an advanced scope physiotherapist. </w:t>
            </w:r>
            <w:r w:rsidRPr="00567607">
              <w:rPr>
                <w:i/>
                <w:iCs/>
                <w:sz w:val="18"/>
                <w:szCs w:val="18"/>
                <w:lang w:val="en-US"/>
              </w:rPr>
              <w:t>Aust J Prim Health</w:t>
            </w:r>
            <w:r w:rsidRPr="00567607">
              <w:rPr>
                <w:sz w:val="18"/>
                <w:szCs w:val="18"/>
                <w:lang w:val="en-US"/>
              </w:rPr>
              <w:t>. 2019;25(1):60-65. doi:10.1071/PY18076</w:t>
            </w:r>
          </w:p>
          <w:p w14:paraId="63AB9732" w14:textId="77777777" w:rsidR="00131621" w:rsidRPr="00567607" w:rsidRDefault="00131621" w:rsidP="00131621">
            <w:pPr>
              <w:pStyle w:val="ListParagraph"/>
              <w:numPr>
                <w:ilvl w:val="0"/>
                <w:numId w:val="16"/>
              </w:numPr>
              <w:ind w:left="360"/>
              <w:rPr>
                <w:sz w:val="18"/>
                <w:szCs w:val="18"/>
                <w:lang w:val="en-US"/>
              </w:rPr>
            </w:pPr>
            <w:proofErr w:type="spellStart"/>
            <w:r w:rsidRPr="00567607">
              <w:rPr>
                <w:sz w:val="18"/>
                <w:szCs w:val="18"/>
                <w:lang w:val="en-US"/>
              </w:rPr>
              <w:t>Décary</w:t>
            </w:r>
            <w:proofErr w:type="spellEnd"/>
            <w:r w:rsidRPr="00567607">
              <w:rPr>
                <w:sz w:val="18"/>
                <w:szCs w:val="18"/>
                <w:lang w:val="en-US"/>
              </w:rPr>
              <w:t xml:space="preserve"> S, </w:t>
            </w:r>
            <w:proofErr w:type="spellStart"/>
            <w:r w:rsidRPr="00567607">
              <w:rPr>
                <w:sz w:val="18"/>
                <w:szCs w:val="18"/>
                <w:lang w:val="en-US"/>
              </w:rPr>
              <w:t>Fallaha</w:t>
            </w:r>
            <w:proofErr w:type="spellEnd"/>
            <w:r w:rsidRPr="00567607">
              <w:rPr>
                <w:sz w:val="18"/>
                <w:szCs w:val="18"/>
                <w:lang w:val="en-US"/>
              </w:rPr>
              <w:t xml:space="preserve"> M, Pelletier B, et al. Diagnostic validity and triage concordance of a physiotherapist compared to physicians’ diagnoses for common knee disorders. </w:t>
            </w:r>
            <w:r w:rsidRPr="00567607">
              <w:rPr>
                <w:i/>
                <w:iCs/>
                <w:sz w:val="18"/>
                <w:szCs w:val="18"/>
                <w:lang w:val="en-US"/>
              </w:rPr>
              <w:t xml:space="preserve">BMC </w:t>
            </w:r>
            <w:proofErr w:type="spellStart"/>
            <w:r w:rsidRPr="00567607">
              <w:rPr>
                <w:i/>
                <w:iCs/>
                <w:sz w:val="18"/>
                <w:szCs w:val="18"/>
                <w:lang w:val="en-US"/>
              </w:rPr>
              <w:t>Musculoskelet</w:t>
            </w:r>
            <w:proofErr w:type="spellEnd"/>
            <w:r w:rsidRPr="00567607">
              <w:rPr>
                <w:i/>
                <w:iCs/>
                <w:sz w:val="18"/>
                <w:szCs w:val="18"/>
                <w:lang w:val="en-US"/>
              </w:rPr>
              <w:t xml:space="preserve"> </w:t>
            </w:r>
            <w:proofErr w:type="spellStart"/>
            <w:r w:rsidRPr="00567607">
              <w:rPr>
                <w:i/>
                <w:iCs/>
                <w:sz w:val="18"/>
                <w:szCs w:val="18"/>
                <w:lang w:val="en-US"/>
              </w:rPr>
              <w:t>Disord</w:t>
            </w:r>
            <w:proofErr w:type="spellEnd"/>
            <w:r w:rsidRPr="00567607">
              <w:rPr>
                <w:sz w:val="18"/>
                <w:szCs w:val="18"/>
                <w:lang w:val="en-US"/>
              </w:rPr>
              <w:t>. 2017;18(1):445. doi:10.1186/s12891-017-1799-3</w:t>
            </w:r>
          </w:p>
          <w:p w14:paraId="67CF178A" w14:textId="241BFB87" w:rsidR="00B31B8C" w:rsidRPr="00567607" w:rsidRDefault="00B31B8C" w:rsidP="00B31B8C">
            <w:pPr>
              <w:pStyle w:val="ListParagraph"/>
              <w:numPr>
                <w:ilvl w:val="0"/>
                <w:numId w:val="16"/>
              </w:numPr>
              <w:ind w:left="360"/>
              <w:rPr>
                <w:rFonts w:cs="Segoe UI"/>
                <w:color w:val="212121"/>
                <w:sz w:val="18"/>
                <w:szCs w:val="18"/>
                <w:shd w:val="clear" w:color="auto" w:fill="FFFFFF"/>
                <w:lang w:val="en-US"/>
              </w:rPr>
            </w:pPr>
            <w:proofErr w:type="spellStart"/>
            <w:r w:rsidRPr="00567607">
              <w:rPr>
                <w:rFonts w:cs="Segoe UI"/>
                <w:color w:val="212121"/>
                <w:sz w:val="18"/>
                <w:szCs w:val="18"/>
                <w:shd w:val="clear" w:color="auto" w:fill="FFFFFF"/>
                <w:lang w:val="en-US"/>
              </w:rPr>
              <w:t>Matifat</w:t>
            </w:r>
            <w:proofErr w:type="spellEnd"/>
            <w:r w:rsidRPr="00567607">
              <w:rPr>
                <w:rFonts w:cs="Segoe UI"/>
                <w:color w:val="212121"/>
                <w:sz w:val="18"/>
                <w:szCs w:val="18"/>
                <w:shd w:val="clear" w:color="auto" w:fill="FFFFFF"/>
                <w:lang w:val="en-US"/>
              </w:rPr>
              <w:t xml:space="preserve"> E, Perreault K, Roy JS, et al. Concordance between physiotherapists and physicians for care of patients with musculoskeletal disorders presenting to the emergency department. </w:t>
            </w:r>
            <w:r w:rsidRPr="00567607">
              <w:rPr>
                <w:rFonts w:cs="Segoe UI"/>
                <w:i/>
                <w:iCs/>
                <w:color w:val="212121"/>
                <w:sz w:val="18"/>
                <w:szCs w:val="18"/>
                <w:shd w:val="clear" w:color="auto" w:fill="FFFFFF"/>
                <w:lang w:val="en-US"/>
              </w:rPr>
              <w:t xml:space="preserve">BMC </w:t>
            </w:r>
            <w:proofErr w:type="spellStart"/>
            <w:r w:rsidRPr="00567607">
              <w:rPr>
                <w:rFonts w:cs="Segoe UI"/>
                <w:i/>
                <w:iCs/>
                <w:color w:val="212121"/>
                <w:sz w:val="18"/>
                <w:szCs w:val="18"/>
                <w:shd w:val="clear" w:color="auto" w:fill="FFFFFF"/>
                <w:lang w:val="en-US"/>
              </w:rPr>
              <w:t>Emerg</w:t>
            </w:r>
            <w:proofErr w:type="spellEnd"/>
            <w:r w:rsidRPr="00567607">
              <w:rPr>
                <w:rFonts w:cs="Segoe UI"/>
                <w:i/>
                <w:iCs/>
                <w:color w:val="212121"/>
                <w:sz w:val="18"/>
                <w:szCs w:val="18"/>
                <w:shd w:val="clear" w:color="auto" w:fill="FFFFFF"/>
                <w:lang w:val="en-US"/>
              </w:rPr>
              <w:t xml:space="preserve"> Med</w:t>
            </w:r>
            <w:r w:rsidRPr="00567607">
              <w:rPr>
                <w:rFonts w:cs="Segoe UI"/>
                <w:color w:val="212121"/>
                <w:sz w:val="18"/>
                <w:szCs w:val="18"/>
                <w:shd w:val="clear" w:color="auto" w:fill="FFFFFF"/>
                <w:lang w:val="en-US"/>
              </w:rPr>
              <w:t>. 2019;19(1):67. Published 2019 Nov 10. doi:10.1186/s12873-019-0277-7</w:t>
            </w:r>
          </w:p>
          <w:p w14:paraId="521BBA2D" w14:textId="77777777" w:rsidR="00B31B8C" w:rsidRPr="00567607" w:rsidRDefault="00B31B8C" w:rsidP="00B31B8C">
            <w:pPr>
              <w:pStyle w:val="ListParagraph"/>
              <w:numPr>
                <w:ilvl w:val="0"/>
                <w:numId w:val="16"/>
              </w:numPr>
              <w:ind w:left="360"/>
              <w:rPr>
                <w:sz w:val="18"/>
                <w:szCs w:val="18"/>
                <w:lang w:val="en-US"/>
              </w:rPr>
            </w:pPr>
            <w:proofErr w:type="spellStart"/>
            <w:r w:rsidRPr="00567607">
              <w:rPr>
                <w:sz w:val="18"/>
                <w:szCs w:val="18"/>
                <w:lang w:val="en-US"/>
              </w:rPr>
              <w:t>Samsson</w:t>
            </w:r>
            <w:proofErr w:type="spellEnd"/>
            <w:r w:rsidRPr="00567607">
              <w:rPr>
                <w:sz w:val="18"/>
                <w:szCs w:val="18"/>
                <w:lang w:val="en-US"/>
              </w:rPr>
              <w:t xml:space="preserve"> K, Larsson MEH. Physiotherapy screening of patients referred for </w:t>
            </w:r>
            <w:proofErr w:type="spellStart"/>
            <w:r w:rsidRPr="00567607">
              <w:rPr>
                <w:sz w:val="18"/>
                <w:szCs w:val="18"/>
                <w:lang w:val="en-US"/>
              </w:rPr>
              <w:t>orthopaedic</w:t>
            </w:r>
            <w:proofErr w:type="spellEnd"/>
            <w:r w:rsidRPr="00567607">
              <w:rPr>
                <w:sz w:val="18"/>
                <w:szCs w:val="18"/>
                <w:lang w:val="en-US"/>
              </w:rPr>
              <w:t xml:space="preserve"> consultation in primary healthcare - a </w:t>
            </w:r>
            <w:proofErr w:type="spellStart"/>
            <w:r w:rsidRPr="00567607">
              <w:rPr>
                <w:sz w:val="18"/>
                <w:szCs w:val="18"/>
                <w:lang w:val="en-US"/>
              </w:rPr>
              <w:t>randomised</w:t>
            </w:r>
            <w:proofErr w:type="spellEnd"/>
            <w:r w:rsidRPr="00567607">
              <w:rPr>
                <w:sz w:val="18"/>
                <w:szCs w:val="18"/>
                <w:lang w:val="en-US"/>
              </w:rPr>
              <w:t xml:space="preserve"> controlled trial. </w:t>
            </w:r>
            <w:r w:rsidRPr="00567607">
              <w:rPr>
                <w:i/>
                <w:iCs/>
                <w:sz w:val="18"/>
                <w:szCs w:val="18"/>
                <w:lang w:val="en-US"/>
              </w:rPr>
              <w:t xml:space="preserve">Man </w:t>
            </w:r>
            <w:proofErr w:type="spellStart"/>
            <w:r w:rsidRPr="00567607">
              <w:rPr>
                <w:i/>
                <w:iCs/>
                <w:sz w:val="18"/>
                <w:szCs w:val="18"/>
                <w:lang w:val="en-US"/>
              </w:rPr>
              <w:t>Ther</w:t>
            </w:r>
            <w:proofErr w:type="spellEnd"/>
            <w:r w:rsidRPr="00567607">
              <w:rPr>
                <w:sz w:val="18"/>
                <w:szCs w:val="18"/>
                <w:lang w:val="en-US"/>
              </w:rPr>
              <w:t xml:space="preserve">. 2014;19(5):386-391. </w:t>
            </w:r>
            <w:proofErr w:type="gramStart"/>
            <w:r w:rsidRPr="00567607">
              <w:rPr>
                <w:sz w:val="18"/>
                <w:szCs w:val="18"/>
                <w:lang w:val="en-US"/>
              </w:rPr>
              <w:t>doi:10.1016/j.math</w:t>
            </w:r>
            <w:proofErr w:type="gramEnd"/>
            <w:r w:rsidRPr="00567607">
              <w:rPr>
                <w:sz w:val="18"/>
                <w:szCs w:val="18"/>
                <w:lang w:val="en-US"/>
              </w:rPr>
              <w:t>.2013.10.004</w:t>
            </w:r>
          </w:p>
          <w:p w14:paraId="6772B15C" w14:textId="198289B2" w:rsidR="001E1518" w:rsidRPr="00131621" w:rsidRDefault="00B31B8C" w:rsidP="00131621">
            <w:pPr>
              <w:pStyle w:val="ListParagraph"/>
              <w:numPr>
                <w:ilvl w:val="0"/>
                <w:numId w:val="16"/>
              </w:numPr>
              <w:ind w:left="360"/>
              <w:rPr>
                <w:sz w:val="18"/>
                <w:szCs w:val="18"/>
                <w:lang w:val="en-US"/>
              </w:rPr>
            </w:pPr>
            <w:r w:rsidRPr="00567607">
              <w:rPr>
                <w:rFonts w:cs="Arial"/>
                <w:color w:val="000000"/>
                <w:sz w:val="18"/>
                <w:szCs w:val="18"/>
                <w:shd w:val="clear" w:color="auto" w:fill="FFFFFF"/>
                <w:lang w:val="en-US"/>
              </w:rPr>
              <w:t>Aiken AB, McColl MA. Diagnostic and treatment concordance between a physiotherapist and an orthopedic surgeon--a pilot study. </w:t>
            </w:r>
            <w:r w:rsidRPr="00567607">
              <w:rPr>
                <w:rFonts w:cs="Arial"/>
                <w:i/>
                <w:iCs/>
                <w:color w:val="000000"/>
                <w:sz w:val="18"/>
                <w:szCs w:val="18"/>
                <w:shd w:val="clear" w:color="auto" w:fill="FFFFFF"/>
                <w:lang w:val="en-US"/>
              </w:rPr>
              <w:t xml:space="preserve">J </w:t>
            </w:r>
            <w:proofErr w:type="spellStart"/>
            <w:r w:rsidRPr="00567607">
              <w:rPr>
                <w:rFonts w:cs="Arial"/>
                <w:i/>
                <w:iCs/>
                <w:color w:val="000000"/>
                <w:sz w:val="18"/>
                <w:szCs w:val="18"/>
                <w:shd w:val="clear" w:color="auto" w:fill="FFFFFF"/>
                <w:lang w:val="en-US"/>
              </w:rPr>
              <w:t>Interprof</w:t>
            </w:r>
            <w:proofErr w:type="spellEnd"/>
            <w:r w:rsidRPr="00567607">
              <w:rPr>
                <w:rFonts w:cs="Arial"/>
                <w:i/>
                <w:iCs/>
                <w:color w:val="000000"/>
                <w:sz w:val="18"/>
                <w:szCs w:val="18"/>
                <w:shd w:val="clear" w:color="auto" w:fill="FFFFFF"/>
                <w:lang w:val="en-US"/>
              </w:rPr>
              <w:t xml:space="preserve"> Care</w:t>
            </w:r>
            <w:r w:rsidRPr="00567607">
              <w:rPr>
                <w:rFonts w:cs="Arial"/>
                <w:color w:val="000000"/>
                <w:sz w:val="18"/>
                <w:szCs w:val="18"/>
                <w:shd w:val="clear" w:color="auto" w:fill="FFFFFF"/>
                <w:lang w:val="en-US"/>
              </w:rPr>
              <w:t>. 2008;22(3):253-261. doi:10.1080/13561820801984134</w:t>
            </w:r>
          </w:p>
        </w:tc>
      </w:tr>
    </w:tbl>
    <w:p w14:paraId="6186F445"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1E88" w14:textId="77777777" w:rsidR="0054605B" w:rsidRDefault="0054605B" w:rsidP="00B33981">
      <w:r>
        <w:separator/>
      </w:r>
    </w:p>
  </w:endnote>
  <w:endnote w:type="continuationSeparator" w:id="0">
    <w:p w14:paraId="7FC6F1D9" w14:textId="77777777" w:rsidR="0054605B" w:rsidRDefault="0054605B" w:rsidP="00B3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xqgjmAdvTT86d47313+03">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8F6A" w14:textId="77777777" w:rsidR="0054605B" w:rsidRDefault="0054605B" w:rsidP="00B33981">
      <w:r>
        <w:separator/>
      </w:r>
    </w:p>
  </w:footnote>
  <w:footnote w:type="continuationSeparator" w:id="0">
    <w:p w14:paraId="0D7BF1F4" w14:textId="77777777" w:rsidR="0054605B" w:rsidRDefault="0054605B" w:rsidP="00B3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3D37"/>
    <w:multiLevelType w:val="hybridMultilevel"/>
    <w:tmpl w:val="632280EA"/>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EB36BA"/>
    <w:multiLevelType w:val="hybridMultilevel"/>
    <w:tmpl w:val="91F86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C76144"/>
    <w:multiLevelType w:val="hybridMultilevel"/>
    <w:tmpl w:val="5E1E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CE4E30"/>
    <w:multiLevelType w:val="hybridMultilevel"/>
    <w:tmpl w:val="378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14"/>
  </w:num>
  <w:num w:numId="6">
    <w:abstractNumId w:val="11"/>
  </w:num>
  <w:num w:numId="7">
    <w:abstractNumId w:val="1"/>
  </w:num>
  <w:num w:numId="8">
    <w:abstractNumId w:val="10"/>
  </w:num>
  <w:num w:numId="9">
    <w:abstractNumId w:val="15"/>
  </w:num>
  <w:num w:numId="10">
    <w:abstractNumId w:val="13"/>
  </w:num>
  <w:num w:numId="11">
    <w:abstractNumId w:val="8"/>
  </w:num>
  <w:num w:numId="12">
    <w:abstractNumId w:val="12"/>
  </w:num>
  <w:num w:numId="13">
    <w:abstractNumId w:val="7"/>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2168B"/>
    <w:rsid w:val="000221B2"/>
    <w:rsid w:val="0002420F"/>
    <w:rsid w:val="0003216E"/>
    <w:rsid w:val="00050375"/>
    <w:rsid w:val="00065734"/>
    <w:rsid w:val="000721FC"/>
    <w:rsid w:val="00076922"/>
    <w:rsid w:val="00077862"/>
    <w:rsid w:val="00077B5C"/>
    <w:rsid w:val="00082CFF"/>
    <w:rsid w:val="000834FC"/>
    <w:rsid w:val="000839E0"/>
    <w:rsid w:val="00094B7E"/>
    <w:rsid w:val="000A7312"/>
    <w:rsid w:val="000B1FB4"/>
    <w:rsid w:val="000B1FF5"/>
    <w:rsid w:val="000B3B7D"/>
    <w:rsid w:val="000B4919"/>
    <w:rsid w:val="000C1519"/>
    <w:rsid w:val="000C600B"/>
    <w:rsid w:val="000D40CD"/>
    <w:rsid w:val="000E27FF"/>
    <w:rsid w:val="000F3690"/>
    <w:rsid w:val="00101A23"/>
    <w:rsid w:val="00103F7B"/>
    <w:rsid w:val="001042F8"/>
    <w:rsid w:val="00105958"/>
    <w:rsid w:val="00106645"/>
    <w:rsid w:val="0011059D"/>
    <w:rsid w:val="0011199B"/>
    <w:rsid w:val="00114F16"/>
    <w:rsid w:val="00115453"/>
    <w:rsid w:val="00124088"/>
    <w:rsid w:val="00130520"/>
    <w:rsid w:val="00131621"/>
    <w:rsid w:val="00133195"/>
    <w:rsid w:val="001403EC"/>
    <w:rsid w:val="00142348"/>
    <w:rsid w:val="00142789"/>
    <w:rsid w:val="00145AB2"/>
    <w:rsid w:val="00154ED5"/>
    <w:rsid w:val="00164811"/>
    <w:rsid w:val="001655BA"/>
    <w:rsid w:val="00167202"/>
    <w:rsid w:val="00170BF7"/>
    <w:rsid w:val="001835CF"/>
    <w:rsid w:val="00184206"/>
    <w:rsid w:val="0018786A"/>
    <w:rsid w:val="00192877"/>
    <w:rsid w:val="00192961"/>
    <w:rsid w:val="00195041"/>
    <w:rsid w:val="00196026"/>
    <w:rsid w:val="001960D2"/>
    <w:rsid w:val="001A1E39"/>
    <w:rsid w:val="001A3A66"/>
    <w:rsid w:val="001A40A0"/>
    <w:rsid w:val="001B2BB3"/>
    <w:rsid w:val="001B6B9B"/>
    <w:rsid w:val="001C5A94"/>
    <w:rsid w:val="001C6341"/>
    <w:rsid w:val="001C6AEF"/>
    <w:rsid w:val="001D2A0B"/>
    <w:rsid w:val="001D3ED3"/>
    <w:rsid w:val="001D409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5E30"/>
    <w:rsid w:val="0023388F"/>
    <w:rsid w:val="00237E57"/>
    <w:rsid w:val="00240563"/>
    <w:rsid w:val="002558DB"/>
    <w:rsid w:val="00257007"/>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25E5"/>
    <w:rsid w:val="002E3103"/>
    <w:rsid w:val="002E602B"/>
    <w:rsid w:val="002F16E1"/>
    <w:rsid w:val="002F683A"/>
    <w:rsid w:val="002F78A2"/>
    <w:rsid w:val="00300998"/>
    <w:rsid w:val="003023C2"/>
    <w:rsid w:val="00311CD1"/>
    <w:rsid w:val="00311E55"/>
    <w:rsid w:val="003152FA"/>
    <w:rsid w:val="00316189"/>
    <w:rsid w:val="003203C3"/>
    <w:rsid w:val="00326281"/>
    <w:rsid w:val="0033330C"/>
    <w:rsid w:val="003475DE"/>
    <w:rsid w:val="00347B77"/>
    <w:rsid w:val="00350995"/>
    <w:rsid w:val="00355000"/>
    <w:rsid w:val="00355D55"/>
    <w:rsid w:val="00356799"/>
    <w:rsid w:val="00363FEB"/>
    <w:rsid w:val="0036765B"/>
    <w:rsid w:val="00371C43"/>
    <w:rsid w:val="00377637"/>
    <w:rsid w:val="00380B69"/>
    <w:rsid w:val="00383E3A"/>
    <w:rsid w:val="0038646C"/>
    <w:rsid w:val="0038771C"/>
    <w:rsid w:val="003A0BC3"/>
    <w:rsid w:val="003A3224"/>
    <w:rsid w:val="003A6741"/>
    <w:rsid w:val="003B2324"/>
    <w:rsid w:val="003B5C0D"/>
    <w:rsid w:val="003B7595"/>
    <w:rsid w:val="003C1676"/>
    <w:rsid w:val="003C203E"/>
    <w:rsid w:val="003C3F01"/>
    <w:rsid w:val="003C4065"/>
    <w:rsid w:val="003C54B6"/>
    <w:rsid w:val="003C62E4"/>
    <w:rsid w:val="003D48E0"/>
    <w:rsid w:val="003F2E81"/>
    <w:rsid w:val="003F32ED"/>
    <w:rsid w:val="00400AAD"/>
    <w:rsid w:val="00400D14"/>
    <w:rsid w:val="004020B7"/>
    <w:rsid w:val="00403DDA"/>
    <w:rsid w:val="00407BFD"/>
    <w:rsid w:val="00413580"/>
    <w:rsid w:val="00414860"/>
    <w:rsid w:val="00415B87"/>
    <w:rsid w:val="0042604D"/>
    <w:rsid w:val="00430880"/>
    <w:rsid w:val="00431D6E"/>
    <w:rsid w:val="004341FB"/>
    <w:rsid w:val="00437839"/>
    <w:rsid w:val="004467A5"/>
    <w:rsid w:val="0045534B"/>
    <w:rsid w:val="00457708"/>
    <w:rsid w:val="004631B4"/>
    <w:rsid w:val="00466453"/>
    <w:rsid w:val="0047092A"/>
    <w:rsid w:val="00472923"/>
    <w:rsid w:val="00475807"/>
    <w:rsid w:val="00483B4E"/>
    <w:rsid w:val="00490D44"/>
    <w:rsid w:val="00492118"/>
    <w:rsid w:val="004927E7"/>
    <w:rsid w:val="00492B03"/>
    <w:rsid w:val="00496D0F"/>
    <w:rsid w:val="00497DB9"/>
    <w:rsid w:val="004A0EE3"/>
    <w:rsid w:val="004A1418"/>
    <w:rsid w:val="004A4CB8"/>
    <w:rsid w:val="004B2ACD"/>
    <w:rsid w:val="004B3CB2"/>
    <w:rsid w:val="004B7D98"/>
    <w:rsid w:val="004C49A1"/>
    <w:rsid w:val="004D2674"/>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3155"/>
    <w:rsid w:val="0053617F"/>
    <w:rsid w:val="00543D14"/>
    <w:rsid w:val="005458B8"/>
    <w:rsid w:val="0054605B"/>
    <w:rsid w:val="005528C9"/>
    <w:rsid w:val="00552BD9"/>
    <w:rsid w:val="00554FFC"/>
    <w:rsid w:val="00560C22"/>
    <w:rsid w:val="00566FCB"/>
    <w:rsid w:val="00572A4D"/>
    <w:rsid w:val="00573CEB"/>
    <w:rsid w:val="00574922"/>
    <w:rsid w:val="00575999"/>
    <w:rsid w:val="00586070"/>
    <w:rsid w:val="00592E30"/>
    <w:rsid w:val="00593157"/>
    <w:rsid w:val="00594203"/>
    <w:rsid w:val="00594DDB"/>
    <w:rsid w:val="00597245"/>
    <w:rsid w:val="005A1289"/>
    <w:rsid w:val="005A148C"/>
    <w:rsid w:val="005A3AD4"/>
    <w:rsid w:val="005A40D7"/>
    <w:rsid w:val="005A6C2B"/>
    <w:rsid w:val="005B50FD"/>
    <w:rsid w:val="005B7AE2"/>
    <w:rsid w:val="005C54CC"/>
    <w:rsid w:val="005C6870"/>
    <w:rsid w:val="005F736D"/>
    <w:rsid w:val="005F7821"/>
    <w:rsid w:val="005F7950"/>
    <w:rsid w:val="00600583"/>
    <w:rsid w:val="00600DC9"/>
    <w:rsid w:val="00601AB2"/>
    <w:rsid w:val="006021A6"/>
    <w:rsid w:val="00605138"/>
    <w:rsid w:val="00607017"/>
    <w:rsid w:val="0060740C"/>
    <w:rsid w:val="00622327"/>
    <w:rsid w:val="00624D85"/>
    <w:rsid w:val="00626358"/>
    <w:rsid w:val="00627BCF"/>
    <w:rsid w:val="00632817"/>
    <w:rsid w:val="0063498E"/>
    <w:rsid w:val="00637282"/>
    <w:rsid w:val="00637684"/>
    <w:rsid w:val="0064237B"/>
    <w:rsid w:val="00650D2D"/>
    <w:rsid w:val="00656740"/>
    <w:rsid w:val="00681012"/>
    <w:rsid w:val="0069090B"/>
    <w:rsid w:val="006A0ACF"/>
    <w:rsid w:val="006B13E7"/>
    <w:rsid w:val="006B3C62"/>
    <w:rsid w:val="006C1013"/>
    <w:rsid w:val="006C2AD2"/>
    <w:rsid w:val="006C3192"/>
    <w:rsid w:val="006C580C"/>
    <w:rsid w:val="006D027B"/>
    <w:rsid w:val="006D2329"/>
    <w:rsid w:val="006D27E5"/>
    <w:rsid w:val="006D38A1"/>
    <w:rsid w:val="006E2CB3"/>
    <w:rsid w:val="006E4370"/>
    <w:rsid w:val="006E4EC8"/>
    <w:rsid w:val="006E5A23"/>
    <w:rsid w:val="006E68E0"/>
    <w:rsid w:val="006F20AD"/>
    <w:rsid w:val="006F369E"/>
    <w:rsid w:val="00700D2B"/>
    <w:rsid w:val="00701934"/>
    <w:rsid w:val="00706E69"/>
    <w:rsid w:val="0071035C"/>
    <w:rsid w:val="00716094"/>
    <w:rsid w:val="007347B2"/>
    <w:rsid w:val="007401CE"/>
    <w:rsid w:val="007402F6"/>
    <w:rsid w:val="007444A6"/>
    <w:rsid w:val="0074589E"/>
    <w:rsid w:val="00752AAC"/>
    <w:rsid w:val="007534F1"/>
    <w:rsid w:val="007551A5"/>
    <w:rsid w:val="00765CAB"/>
    <w:rsid w:val="007708D3"/>
    <w:rsid w:val="0077316A"/>
    <w:rsid w:val="00777E3F"/>
    <w:rsid w:val="00780624"/>
    <w:rsid w:val="00783D2E"/>
    <w:rsid w:val="00787012"/>
    <w:rsid w:val="00787853"/>
    <w:rsid w:val="00791304"/>
    <w:rsid w:val="007942EB"/>
    <w:rsid w:val="00794B37"/>
    <w:rsid w:val="007969E7"/>
    <w:rsid w:val="00797818"/>
    <w:rsid w:val="007A66F5"/>
    <w:rsid w:val="007A7454"/>
    <w:rsid w:val="007B42DA"/>
    <w:rsid w:val="007B78BC"/>
    <w:rsid w:val="007B7DF1"/>
    <w:rsid w:val="007C5669"/>
    <w:rsid w:val="007D0E3D"/>
    <w:rsid w:val="007D23DF"/>
    <w:rsid w:val="007D2F52"/>
    <w:rsid w:val="007D35DE"/>
    <w:rsid w:val="007E07ED"/>
    <w:rsid w:val="007E5125"/>
    <w:rsid w:val="007F26B9"/>
    <w:rsid w:val="00803C0C"/>
    <w:rsid w:val="00804E58"/>
    <w:rsid w:val="00812C9E"/>
    <w:rsid w:val="008178F8"/>
    <w:rsid w:val="008240D6"/>
    <w:rsid w:val="00824F08"/>
    <w:rsid w:val="008262FD"/>
    <w:rsid w:val="00832145"/>
    <w:rsid w:val="00843002"/>
    <w:rsid w:val="00847429"/>
    <w:rsid w:val="008523E0"/>
    <w:rsid w:val="0086536D"/>
    <w:rsid w:val="008724B6"/>
    <w:rsid w:val="00872D60"/>
    <w:rsid w:val="008753FB"/>
    <w:rsid w:val="00883B17"/>
    <w:rsid w:val="00885294"/>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6B4"/>
    <w:rsid w:val="008E7E99"/>
    <w:rsid w:val="00902046"/>
    <w:rsid w:val="00903770"/>
    <w:rsid w:val="00905A35"/>
    <w:rsid w:val="00907825"/>
    <w:rsid w:val="00910288"/>
    <w:rsid w:val="00932121"/>
    <w:rsid w:val="00935F46"/>
    <w:rsid w:val="009364E2"/>
    <w:rsid w:val="00936A8A"/>
    <w:rsid w:val="00942FBD"/>
    <w:rsid w:val="009436AF"/>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03EF"/>
    <w:rsid w:val="009B571A"/>
    <w:rsid w:val="009C4C4E"/>
    <w:rsid w:val="009C4E3F"/>
    <w:rsid w:val="009D19FF"/>
    <w:rsid w:val="009E3323"/>
    <w:rsid w:val="009E380F"/>
    <w:rsid w:val="00A02E80"/>
    <w:rsid w:val="00A067EC"/>
    <w:rsid w:val="00A07396"/>
    <w:rsid w:val="00A1120A"/>
    <w:rsid w:val="00A16ED8"/>
    <w:rsid w:val="00A17FA8"/>
    <w:rsid w:val="00A21339"/>
    <w:rsid w:val="00A21A46"/>
    <w:rsid w:val="00A22537"/>
    <w:rsid w:val="00A30701"/>
    <w:rsid w:val="00A3409F"/>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A2030"/>
    <w:rsid w:val="00AB6399"/>
    <w:rsid w:val="00AB73A2"/>
    <w:rsid w:val="00AC60B4"/>
    <w:rsid w:val="00AD0562"/>
    <w:rsid w:val="00AD19E0"/>
    <w:rsid w:val="00AD737D"/>
    <w:rsid w:val="00AF1174"/>
    <w:rsid w:val="00AF2E9A"/>
    <w:rsid w:val="00AF3534"/>
    <w:rsid w:val="00B02090"/>
    <w:rsid w:val="00B10F4A"/>
    <w:rsid w:val="00B11111"/>
    <w:rsid w:val="00B14987"/>
    <w:rsid w:val="00B14A86"/>
    <w:rsid w:val="00B23394"/>
    <w:rsid w:val="00B2435E"/>
    <w:rsid w:val="00B31B8C"/>
    <w:rsid w:val="00B31D37"/>
    <w:rsid w:val="00B33981"/>
    <w:rsid w:val="00B37BDE"/>
    <w:rsid w:val="00B40974"/>
    <w:rsid w:val="00B463C1"/>
    <w:rsid w:val="00B46B53"/>
    <w:rsid w:val="00B51318"/>
    <w:rsid w:val="00B526F2"/>
    <w:rsid w:val="00B53425"/>
    <w:rsid w:val="00B567C8"/>
    <w:rsid w:val="00B60682"/>
    <w:rsid w:val="00B623BB"/>
    <w:rsid w:val="00B631A9"/>
    <w:rsid w:val="00B64A00"/>
    <w:rsid w:val="00B70AC5"/>
    <w:rsid w:val="00B70DBE"/>
    <w:rsid w:val="00B75AAB"/>
    <w:rsid w:val="00B92FEC"/>
    <w:rsid w:val="00BA0623"/>
    <w:rsid w:val="00BA37B7"/>
    <w:rsid w:val="00BA3C17"/>
    <w:rsid w:val="00BB3130"/>
    <w:rsid w:val="00BC4591"/>
    <w:rsid w:val="00BD6E44"/>
    <w:rsid w:val="00BE4CAB"/>
    <w:rsid w:val="00BE5198"/>
    <w:rsid w:val="00BF1CC7"/>
    <w:rsid w:val="00BF55F1"/>
    <w:rsid w:val="00BF7C80"/>
    <w:rsid w:val="00C05D7D"/>
    <w:rsid w:val="00C10D33"/>
    <w:rsid w:val="00C13717"/>
    <w:rsid w:val="00C137FD"/>
    <w:rsid w:val="00C331F0"/>
    <w:rsid w:val="00C342AF"/>
    <w:rsid w:val="00C3742B"/>
    <w:rsid w:val="00C405ED"/>
    <w:rsid w:val="00C42D9D"/>
    <w:rsid w:val="00C44DD5"/>
    <w:rsid w:val="00C549B7"/>
    <w:rsid w:val="00C56E84"/>
    <w:rsid w:val="00C6175B"/>
    <w:rsid w:val="00C64E38"/>
    <w:rsid w:val="00C70165"/>
    <w:rsid w:val="00C70AEC"/>
    <w:rsid w:val="00C76224"/>
    <w:rsid w:val="00C819B9"/>
    <w:rsid w:val="00C827D8"/>
    <w:rsid w:val="00C84D16"/>
    <w:rsid w:val="00C93350"/>
    <w:rsid w:val="00CA5482"/>
    <w:rsid w:val="00CA63E6"/>
    <w:rsid w:val="00CA67D5"/>
    <w:rsid w:val="00CA754D"/>
    <w:rsid w:val="00CA78BC"/>
    <w:rsid w:val="00CC153F"/>
    <w:rsid w:val="00CC3ABD"/>
    <w:rsid w:val="00CC7420"/>
    <w:rsid w:val="00CD09A5"/>
    <w:rsid w:val="00CD1E4F"/>
    <w:rsid w:val="00CD3110"/>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3F8C"/>
    <w:rsid w:val="00D472CD"/>
    <w:rsid w:val="00D5036F"/>
    <w:rsid w:val="00D50DDA"/>
    <w:rsid w:val="00D5338F"/>
    <w:rsid w:val="00D66665"/>
    <w:rsid w:val="00D670AD"/>
    <w:rsid w:val="00D67174"/>
    <w:rsid w:val="00D67A5F"/>
    <w:rsid w:val="00D70084"/>
    <w:rsid w:val="00D71D4F"/>
    <w:rsid w:val="00D76272"/>
    <w:rsid w:val="00D772E8"/>
    <w:rsid w:val="00D80921"/>
    <w:rsid w:val="00D94142"/>
    <w:rsid w:val="00DB2787"/>
    <w:rsid w:val="00DB5D35"/>
    <w:rsid w:val="00DB6D18"/>
    <w:rsid w:val="00DC45EB"/>
    <w:rsid w:val="00DE6D44"/>
    <w:rsid w:val="00DF1CAF"/>
    <w:rsid w:val="00DF7D7C"/>
    <w:rsid w:val="00E01C8D"/>
    <w:rsid w:val="00E12F45"/>
    <w:rsid w:val="00E15E18"/>
    <w:rsid w:val="00E17AC2"/>
    <w:rsid w:val="00E22F37"/>
    <w:rsid w:val="00E238A2"/>
    <w:rsid w:val="00E24D14"/>
    <w:rsid w:val="00E367F5"/>
    <w:rsid w:val="00E36C3D"/>
    <w:rsid w:val="00E41AB3"/>
    <w:rsid w:val="00E449B7"/>
    <w:rsid w:val="00E45289"/>
    <w:rsid w:val="00E532B7"/>
    <w:rsid w:val="00E609EF"/>
    <w:rsid w:val="00E7307E"/>
    <w:rsid w:val="00E824AA"/>
    <w:rsid w:val="00E85E39"/>
    <w:rsid w:val="00E903DC"/>
    <w:rsid w:val="00E90A01"/>
    <w:rsid w:val="00E933AD"/>
    <w:rsid w:val="00E9769F"/>
    <w:rsid w:val="00EA23D5"/>
    <w:rsid w:val="00EA308D"/>
    <w:rsid w:val="00EA623E"/>
    <w:rsid w:val="00EB0E3C"/>
    <w:rsid w:val="00EB330C"/>
    <w:rsid w:val="00EB43F2"/>
    <w:rsid w:val="00EB4B31"/>
    <w:rsid w:val="00EB5EB1"/>
    <w:rsid w:val="00EC0B57"/>
    <w:rsid w:val="00EC3B41"/>
    <w:rsid w:val="00EC3DED"/>
    <w:rsid w:val="00EC4707"/>
    <w:rsid w:val="00EC553F"/>
    <w:rsid w:val="00ED7D41"/>
    <w:rsid w:val="00F035FA"/>
    <w:rsid w:val="00F041CF"/>
    <w:rsid w:val="00F04245"/>
    <w:rsid w:val="00F1497C"/>
    <w:rsid w:val="00F342FA"/>
    <w:rsid w:val="00F36422"/>
    <w:rsid w:val="00F43690"/>
    <w:rsid w:val="00F56725"/>
    <w:rsid w:val="00F57BCC"/>
    <w:rsid w:val="00F668DC"/>
    <w:rsid w:val="00F66AC6"/>
    <w:rsid w:val="00F764C1"/>
    <w:rsid w:val="00F7750C"/>
    <w:rsid w:val="00F81BE7"/>
    <w:rsid w:val="00F8547C"/>
    <w:rsid w:val="00F87769"/>
    <w:rsid w:val="00F971DC"/>
    <w:rsid w:val="00FA146D"/>
    <w:rsid w:val="00FA31BE"/>
    <w:rsid w:val="00FA433B"/>
    <w:rsid w:val="00FB35FE"/>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C4C4E"/>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BB3130"/>
    <w:rPr>
      <w:color w:val="0000FF" w:themeColor="hyperlink"/>
      <w:u w:val="single"/>
    </w:rPr>
  </w:style>
  <w:style w:type="character" w:styleId="UnresolvedMention">
    <w:name w:val="Unresolved Mention"/>
    <w:basedOn w:val="DefaultParagraphFont"/>
    <w:uiPriority w:val="99"/>
    <w:semiHidden/>
    <w:unhideWhenUsed/>
    <w:rsid w:val="00BB3130"/>
    <w:rPr>
      <w:color w:val="605E5C"/>
      <w:shd w:val="clear" w:color="auto" w:fill="E1DFDD"/>
    </w:rPr>
  </w:style>
  <w:style w:type="paragraph" w:styleId="ListParagraph">
    <w:name w:val="List Paragraph"/>
    <w:basedOn w:val="Normal"/>
    <w:uiPriority w:val="34"/>
    <w:qFormat/>
    <w:rsid w:val="00BB3130"/>
    <w:pPr>
      <w:ind w:left="720"/>
      <w:contextualSpacing/>
    </w:pPr>
  </w:style>
  <w:style w:type="paragraph" w:styleId="NormalWeb">
    <w:name w:val="Normal (Web)"/>
    <w:basedOn w:val="Normal"/>
    <w:uiPriority w:val="99"/>
    <w:unhideWhenUsed/>
    <w:rsid w:val="007D2F52"/>
    <w:pPr>
      <w:spacing w:before="100" w:beforeAutospacing="1" w:after="100" w:afterAutospacing="1"/>
    </w:pPr>
    <w:rPr>
      <w:rFonts w:ascii="Times New Roman" w:hAnsi="Times New Roman"/>
      <w:sz w:val="24"/>
      <w:szCs w:val="24"/>
      <w:lang w:val="en-US"/>
    </w:rPr>
  </w:style>
  <w:style w:type="table" w:styleId="GridTable1Light-Accent5">
    <w:name w:val="Grid Table 1 Light Accent 5"/>
    <w:basedOn w:val="TableNormal"/>
    <w:uiPriority w:val="46"/>
    <w:rsid w:val="00BE4CA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E4CA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E4CA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BE4CA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824F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24F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824F0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824F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24F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rsid w:val="00824F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nhideWhenUsed/>
    <w:rsid w:val="00B33981"/>
    <w:pPr>
      <w:tabs>
        <w:tab w:val="center" w:pos="4680"/>
        <w:tab w:val="right" w:pos="9360"/>
      </w:tabs>
    </w:pPr>
  </w:style>
  <w:style w:type="character" w:customStyle="1" w:styleId="FooterChar">
    <w:name w:val="Footer Char"/>
    <w:basedOn w:val="DefaultParagraphFont"/>
    <w:link w:val="Footer"/>
    <w:rsid w:val="00B33981"/>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6420">
      <w:bodyDiv w:val="1"/>
      <w:marLeft w:val="0"/>
      <w:marRight w:val="0"/>
      <w:marTop w:val="0"/>
      <w:marBottom w:val="0"/>
      <w:divBdr>
        <w:top w:val="none" w:sz="0" w:space="0" w:color="auto"/>
        <w:left w:val="none" w:sz="0" w:space="0" w:color="auto"/>
        <w:bottom w:val="none" w:sz="0" w:space="0" w:color="auto"/>
        <w:right w:val="none" w:sz="0" w:space="0" w:color="auto"/>
      </w:divBdr>
      <w:divsChild>
        <w:div w:id="1193954556">
          <w:marLeft w:val="0"/>
          <w:marRight w:val="0"/>
          <w:marTop w:val="0"/>
          <w:marBottom w:val="0"/>
          <w:divBdr>
            <w:top w:val="none" w:sz="0" w:space="0" w:color="auto"/>
            <w:left w:val="none" w:sz="0" w:space="0" w:color="auto"/>
            <w:bottom w:val="none" w:sz="0" w:space="0" w:color="auto"/>
            <w:right w:val="none" w:sz="0" w:space="0" w:color="auto"/>
          </w:divBdr>
          <w:divsChild>
            <w:div w:id="696348488">
              <w:marLeft w:val="0"/>
              <w:marRight w:val="0"/>
              <w:marTop w:val="0"/>
              <w:marBottom w:val="0"/>
              <w:divBdr>
                <w:top w:val="none" w:sz="0" w:space="0" w:color="auto"/>
                <w:left w:val="none" w:sz="0" w:space="0" w:color="auto"/>
                <w:bottom w:val="none" w:sz="0" w:space="0" w:color="auto"/>
                <w:right w:val="none" w:sz="0" w:space="0" w:color="auto"/>
              </w:divBdr>
              <w:divsChild>
                <w:div w:id="7496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8326">
      <w:bodyDiv w:val="1"/>
      <w:marLeft w:val="0"/>
      <w:marRight w:val="0"/>
      <w:marTop w:val="0"/>
      <w:marBottom w:val="0"/>
      <w:divBdr>
        <w:top w:val="none" w:sz="0" w:space="0" w:color="auto"/>
        <w:left w:val="none" w:sz="0" w:space="0" w:color="auto"/>
        <w:bottom w:val="none" w:sz="0" w:space="0" w:color="auto"/>
        <w:right w:val="none" w:sz="0" w:space="0" w:color="auto"/>
      </w:divBdr>
      <w:divsChild>
        <w:div w:id="1626354241">
          <w:marLeft w:val="0"/>
          <w:marRight w:val="0"/>
          <w:marTop w:val="0"/>
          <w:marBottom w:val="0"/>
          <w:divBdr>
            <w:top w:val="none" w:sz="0" w:space="0" w:color="auto"/>
            <w:left w:val="none" w:sz="0" w:space="0" w:color="auto"/>
            <w:bottom w:val="none" w:sz="0" w:space="0" w:color="auto"/>
            <w:right w:val="none" w:sz="0" w:space="0" w:color="auto"/>
          </w:divBdr>
          <w:divsChild>
            <w:div w:id="117263334">
              <w:marLeft w:val="0"/>
              <w:marRight w:val="0"/>
              <w:marTop w:val="0"/>
              <w:marBottom w:val="0"/>
              <w:divBdr>
                <w:top w:val="none" w:sz="0" w:space="0" w:color="auto"/>
                <w:left w:val="none" w:sz="0" w:space="0" w:color="auto"/>
                <w:bottom w:val="none" w:sz="0" w:space="0" w:color="auto"/>
                <w:right w:val="none" w:sz="0" w:space="0" w:color="auto"/>
              </w:divBdr>
              <w:divsChild>
                <w:div w:id="10021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943">
      <w:bodyDiv w:val="1"/>
      <w:marLeft w:val="0"/>
      <w:marRight w:val="0"/>
      <w:marTop w:val="0"/>
      <w:marBottom w:val="0"/>
      <w:divBdr>
        <w:top w:val="none" w:sz="0" w:space="0" w:color="auto"/>
        <w:left w:val="none" w:sz="0" w:space="0" w:color="auto"/>
        <w:bottom w:val="none" w:sz="0" w:space="0" w:color="auto"/>
        <w:right w:val="none" w:sz="0" w:space="0" w:color="auto"/>
      </w:divBdr>
      <w:divsChild>
        <w:div w:id="1519807219">
          <w:marLeft w:val="0"/>
          <w:marRight w:val="0"/>
          <w:marTop w:val="0"/>
          <w:marBottom w:val="0"/>
          <w:divBdr>
            <w:top w:val="none" w:sz="0" w:space="0" w:color="auto"/>
            <w:left w:val="none" w:sz="0" w:space="0" w:color="auto"/>
            <w:bottom w:val="none" w:sz="0" w:space="0" w:color="auto"/>
            <w:right w:val="none" w:sz="0" w:space="0" w:color="auto"/>
          </w:divBdr>
          <w:divsChild>
            <w:div w:id="1788546835">
              <w:marLeft w:val="0"/>
              <w:marRight w:val="0"/>
              <w:marTop w:val="0"/>
              <w:marBottom w:val="0"/>
              <w:divBdr>
                <w:top w:val="none" w:sz="0" w:space="0" w:color="auto"/>
                <w:left w:val="none" w:sz="0" w:space="0" w:color="auto"/>
                <w:bottom w:val="none" w:sz="0" w:space="0" w:color="auto"/>
                <w:right w:val="none" w:sz="0" w:space="0" w:color="auto"/>
              </w:divBdr>
              <w:divsChild>
                <w:div w:id="4532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4551">
      <w:bodyDiv w:val="1"/>
      <w:marLeft w:val="0"/>
      <w:marRight w:val="0"/>
      <w:marTop w:val="0"/>
      <w:marBottom w:val="0"/>
      <w:divBdr>
        <w:top w:val="none" w:sz="0" w:space="0" w:color="auto"/>
        <w:left w:val="none" w:sz="0" w:space="0" w:color="auto"/>
        <w:bottom w:val="none" w:sz="0" w:space="0" w:color="auto"/>
        <w:right w:val="none" w:sz="0" w:space="0" w:color="auto"/>
      </w:divBdr>
      <w:divsChild>
        <w:div w:id="1660034107">
          <w:marLeft w:val="0"/>
          <w:marRight w:val="0"/>
          <w:marTop w:val="0"/>
          <w:marBottom w:val="0"/>
          <w:divBdr>
            <w:top w:val="none" w:sz="0" w:space="0" w:color="auto"/>
            <w:left w:val="none" w:sz="0" w:space="0" w:color="auto"/>
            <w:bottom w:val="none" w:sz="0" w:space="0" w:color="auto"/>
            <w:right w:val="none" w:sz="0" w:space="0" w:color="auto"/>
          </w:divBdr>
          <w:divsChild>
            <w:div w:id="1568413840">
              <w:marLeft w:val="0"/>
              <w:marRight w:val="0"/>
              <w:marTop w:val="0"/>
              <w:marBottom w:val="0"/>
              <w:divBdr>
                <w:top w:val="none" w:sz="0" w:space="0" w:color="auto"/>
                <w:left w:val="none" w:sz="0" w:space="0" w:color="auto"/>
                <w:bottom w:val="none" w:sz="0" w:space="0" w:color="auto"/>
                <w:right w:val="none" w:sz="0" w:space="0" w:color="auto"/>
              </w:divBdr>
              <w:divsChild>
                <w:div w:id="16823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3955">
      <w:bodyDiv w:val="1"/>
      <w:marLeft w:val="0"/>
      <w:marRight w:val="0"/>
      <w:marTop w:val="0"/>
      <w:marBottom w:val="0"/>
      <w:divBdr>
        <w:top w:val="none" w:sz="0" w:space="0" w:color="auto"/>
        <w:left w:val="none" w:sz="0" w:space="0" w:color="auto"/>
        <w:bottom w:val="none" w:sz="0" w:space="0" w:color="auto"/>
        <w:right w:val="none" w:sz="0" w:space="0" w:color="auto"/>
      </w:divBdr>
      <w:divsChild>
        <w:div w:id="1564489829">
          <w:marLeft w:val="0"/>
          <w:marRight w:val="0"/>
          <w:marTop w:val="0"/>
          <w:marBottom w:val="0"/>
          <w:divBdr>
            <w:top w:val="none" w:sz="0" w:space="0" w:color="auto"/>
            <w:left w:val="none" w:sz="0" w:space="0" w:color="auto"/>
            <w:bottom w:val="none" w:sz="0" w:space="0" w:color="auto"/>
            <w:right w:val="none" w:sz="0" w:space="0" w:color="auto"/>
          </w:divBdr>
          <w:divsChild>
            <w:div w:id="1905484509">
              <w:marLeft w:val="0"/>
              <w:marRight w:val="0"/>
              <w:marTop w:val="0"/>
              <w:marBottom w:val="0"/>
              <w:divBdr>
                <w:top w:val="none" w:sz="0" w:space="0" w:color="auto"/>
                <w:left w:val="none" w:sz="0" w:space="0" w:color="auto"/>
                <w:bottom w:val="none" w:sz="0" w:space="0" w:color="auto"/>
                <w:right w:val="none" w:sz="0" w:space="0" w:color="auto"/>
              </w:divBdr>
              <w:divsChild>
                <w:div w:id="849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9220">
      <w:bodyDiv w:val="1"/>
      <w:marLeft w:val="0"/>
      <w:marRight w:val="0"/>
      <w:marTop w:val="0"/>
      <w:marBottom w:val="0"/>
      <w:divBdr>
        <w:top w:val="none" w:sz="0" w:space="0" w:color="auto"/>
        <w:left w:val="none" w:sz="0" w:space="0" w:color="auto"/>
        <w:bottom w:val="none" w:sz="0" w:space="0" w:color="auto"/>
        <w:right w:val="none" w:sz="0" w:space="0" w:color="auto"/>
      </w:divBdr>
      <w:divsChild>
        <w:div w:id="854417355">
          <w:marLeft w:val="0"/>
          <w:marRight w:val="0"/>
          <w:marTop w:val="0"/>
          <w:marBottom w:val="0"/>
          <w:divBdr>
            <w:top w:val="none" w:sz="0" w:space="0" w:color="auto"/>
            <w:left w:val="none" w:sz="0" w:space="0" w:color="auto"/>
            <w:bottom w:val="none" w:sz="0" w:space="0" w:color="auto"/>
            <w:right w:val="none" w:sz="0" w:space="0" w:color="auto"/>
          </w:divBdr>
          <w:divsChild>
            <w:div w:id="1790588096">
              <w:marLeft w:val="0"/>
              <w:marRight w:val="0"/>
              <w:marTop w:val="0"/>
              <w:marBottom w:val="0"/>
              <w:divBdr>
                <w:top w:val="none" w:sz="0" w:space="0" w:color="auto"/>
                <w:left w:val="none" w:sz="0" w:space="0" w:color="auto"/>
                <w:bottom w:val="none" w:sz="0" w:space="0" w:color="auto"/>
                <w:right w:val="none" w:sz="0" w:space="0" w:color="auto"/>
              </w:divBdr>
              <w:divsChild>
                <w:div w:id="4451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6214">
      <w:bodyDiv w:val="1"/>
      <w:marLeft w:val="0"/>
      <w:marRight w:val="0"/>
      <w:marTop w:val="0"/>
      <w:marBottom w:val="0"/>
      <w:divBdr>
        <w:top w:val="none" w:sz="0" w:space="0" w:color="auto"/>
        <w:left w:val="none" w:sz="0" w:space="0" w:color="auto"/>
        <w:bottom w:val="none" w:sz="0" w:space="0" w:color="auto"/>
        <w:right w:val="none" w:sz="0" w:space="0" w:color="auto"/>
      </w:divBdr>
      <w:divsChild>
        <w:div w:id="1689599081">
          <w:marLeft w:val="0"/>
          <w:marRight w:val="0"/>
          <w:marTop w:val="0"/>
          <w:marBottom w:val="0"/>
          <w:divBdr>
            <w:top w:val="none" w:sz="0" w:space="0" w:color="auto"/>
            <w:left w:val="none" w:sz="0" w:space="0" w:color="auto"/>
            <w:bottom w:val="none" w:sz="0" w:space="0" w:color="auto"/>
            <w:right w:val="none" w:sz="0" w:space="0" w:color="auto"/>
          </w:divBdr>
          <w:divsChild>
            <w:div w:id="474377940">
              <w:marLeft w:val="0"/>
              <w:marRight w:val="0"/>
              <w:marTop w:val="0"/>
              <w:marBottom w:val="0"/>
              <w:divBdr>
                <w:top w:val="none" w:sz="0" w:space="0" w:color="auto"/>
                <w:left w:val="none" w:sz="0" w:space="0" w:color="auto"/>
                <w:bottom w:val="none" w:sz="0" w:space="0" w:color="auto"/>
                <w:right w:val="none" w:sz="0" w:space="0" w:color="auto"/>
              </w:divBdr>
              <w:divsChild>
                <w:div w:id="53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4813">
      <w:bodyDiv w:val="1"/>
      <w:marLeft w:val="0"/>
      <w:marRight w:val="0"/>
      <w:marTop w:val="0"/>
      <w:marBottom w:val="0"/>
      <w:divBdr>
        <w:top w:val="none" w:sz="0" w:space="0" w:color="auto"/>
        <w:left w:val="none" w:sz="0" w:space="0" w:color="auto"/>
        <w:bottom w:val="none" w:sz="0" w:space="0" w:color="auto"/>
        <w:right w:val="none" w:sz="0" w:space="0" w:color="auto"/>
      </w:divBdr>
      <w:divsChild>
        <w:div w:id="1482309420">
          <w:marLeft w:val="0"/>
          <w:marRight w:val="0"/>
          <w:marTop w:val="0"/>
          <w:marBottom w:val="0"/>
          <w:divBdr>
            <w:top w:val="none" w:sz="0" w:space="0" w:color="auto"/>
            <w:left w:val="none" w:sz="0" w:space="0" w:color="auto"/>
            <w:bottom w:val="none" w:sz="0" w:space="0" w:color="auto"/>
            <w:right w:val="none" w:sz="0" w:space="0" w:color="auto"/>
          </w:divBdr>
          <w:divsChild>
            <w:div w:id="1492214169">
              <w:marLeft w:val="0"/>
              <w:marRight w:val="0"/>
              <w:marTop w:val="0"/>
              <w:marBottom w:val="0"/>
              <w:divBdr>
                <w:top w:val="none" w:sz="0" w:space="0" w:color="auto"/>
                <w:left w:val="none" w:sz="0" w:space="0" w:color="auto"/>
                <w:bottom w:val="none" w:sz="0" w:space="0" w:color="auto"/>
                <w:right w:val="none" w:sz="0" w:space="0" w:color="auto"/>
              </w:divBdr>
              <w:divsChild>
                <w:div w:id="18480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3545">
      <w:bodyDiv w:val="1"/>
      <w:marLeft w:val="0"/>
      <w:marRight w:val="0"/>
      <w:marTop w:val="0"/>
      <w:marBottom w:val="0"/>
      <w:divBdr>
        <w:top w:val="none" w:sz="0" w:space="0" w:color="auto"/>
        <w:left w:val="none" w:sz="0" w:space="0" w:color="auto"/>
        <w:bottom w:val="none" w:sz="0" w:space="0" w:color="auto"/>
        <w:right w:val="none" w:sz="0" w:space="0" w:color="auto"/>
      </w:divBdr>
      <w:divsChild>
        <w:div w:id="1124620322">
          <w:marLeft w:val="0"/>
          <w:marRight w:val="0"/>
          <w:marTop w:val="0"/>
          <w:marBottom w:val="0"/>
          <w:divBdr>
            <w:top w:val="none" w:sz="0" w:space="0" w:color="auto"/>
            <w:left w:val="none" w:sz="0" w:space="0" w:color="auto"/>
            <w:bottom w:val="none" w:sz="0" w:space="0" w:color="auto"/>
            <w:right w:val="none" w:sz="0" w:space="0" w:color="auto"/>
          </w:divBdr>
          <w:divsChild>
            <w:div w:id="1810708412">
              <w:marLeft w:val="0"/>
              <w:marRight w:val="0"/>
              <w:marTop w:val="0"/>
              <w:marBottom w:val="0"/>
              <w:divBdr>
                <w:top w:val="none" w:sz="0" w:space="0" w:color="auto"/>
                <w:left w:val="none" w:sz="0" w:space="0" w:color="auto"/>
                <w:bottom w:val="none" w:sz="0" w:space="0" w:color="auto"/>
                <w:right w:val="none" w:sz="0" w:space="0" w:color="auto"/>
              </w:divBdr>
              <w:divsChild>
                <w:div w:id="121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9273">
      <w:bodyDiv w:val="1"/>
      <w:marLeft w:val="0"/>
      <w:marRight w:val="0"/>
      <w:marTop w:val="0"/>
      <w:marBottom w:val="0"/>
      <w:divBdr>
        <w:top w:val="none" w:sz="0" w:space="0" w:color="auto"/>
        <w:left w:val="none" w:sz="0" w:space="0" w:color="auto"/>
        <w:bottom w:val="none" w:sz="0" w:space="0" w:color="auto"/>
        <w:right w:val="none" w:sz="0" w:space="0" w:color="auto"/>
      </w:divBdr>
      <w:divsChild>
        <w:div w:id="1541747690">
          <w:marLeft w:val="0"/>
          <w:marRight w:val="0"/>
          <w:marTop w:val="0"/>
          <w:marBottom w:val="0"/>
          <w:divBdr>
            <w:top w:val="none" w:sz="0" w:space="0" w:color="auto"/>
            <w:left w:val="none" w:sz="0" w:space="0" w:color="auto"/>
            <w:bottom w:val="none" w:sz="0" w:space="0" w:color="auto"/>
            <w:right w:val="none" w:sz="0" w:space="0" w:color="auto"/>
          </w:divBdr>
          <w:divsChild>
            <w:div w:id="512692454">
              <w:marLeft w:val="0"/>
              <w:marRight w:val="0"/>
              <w:marTop w:val="0"/>
              <w:marBottom w:val="0"/>
              <w:divBdr>
                <w:top w:val="none" w:sz="0" w:space="0" w:color="auto"/>
                <w:left w:val="none" w:sz="0" w:space="0" w:color="auto"/>
                <w:bottom w:val="none" w:sz="0" w:space="0" w:color="auto"/>
                <w:right w:val="none" w:sz="0" w:space="0" w:color="auto"/>
              </w:divBdr>
              <w:divsChild>
                <w:div w:id="17542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696">
      <w:bodyDiv w:val="1"/>
      <w:marLeft w:val="0"/>
      <w:marRight w:val="0"/>
      <w:marTop w:val="0"/>
      <w:marBottom w:val="0"/>
      <w:divBdr>
        <w:top w:val="none" w:sz="0" w:space="0" w:color="auto"/>
        <w:left w:val="none" w:sz="0" w:space="0" w:color="auto"/>
        <w:bottom w:val="none" w:sz="0" w:space="0" w:color="auto"/>
        <w:right w:val="none" w:sz="0" w:space="0" w:color="auto"/>
      </w:divBdr>
      <w:divsChild>
        <w:div w:id="223611793">
          <w:marLeft w:val="0"/>
          <w:marRight w:val="0"/>
          <w:marTop w:val="0"/>
          <w:marBottom w:val="0"/>
          <w:divBdr>
            <w:top w:val="none" w:sz="0" w:space="0" w:color="auto"/>
            <w:left w:val="none" w:sz="0" w:space="0" w:color="auto"/>
            <w:bottom w:val="none" w:sz="0" w:space="0" w:color="auto"/>
            <w:right w:val="none" w:sz="0" w:space="0" w:color="auto"/>
          </w:divBdr>
          <w:divsChild>
            <w:div w:id="607540357">
              <w:marLeft w:val="0"/>
              <w:marRight w:val="0"/>
              <w:marTop w:val="0"/>
              <w:marBottom w:val="0"/>
              <w:divBdr>
                <w:top w:val="none" w:sz="0" w:space="0" w:color="auto"/>
                <w:left w:val="none" w:sz="0" w:space="0" w:color="auto"/>
                <w:bottom w:val="none" w:sz="0" w:space="0" w:color="auto"/>
                <w:right w:val="none" w:sz="0" w:space="0" w:color="auto"/>
              </w:divBdr>
              <w:divsChild>
                <w:div w:id="19719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3473">
      <w:bodyDiv w:val="1"/>
      <w:marLeft w:val="0"/>
      <w:marRight w:val="0"/>
      <w:marTop w:val="0"/>
      <w:marBottom w:val="0"/>
      <w:divBdr>
        <w:top w:val="none" w:sz="0" w:space="0" w:color="auto"/>
        <w:left w:val="none" w:sz="0" w:space="0" w:color="auto"/>
        <w:bottom w:val="none" w:sz="0" w:space="0" w:color="auto"/>
        <w:right w:val="none" w:sz="0" w:space="0" w:color="auto"/>
      </w:divBdr>
      <w:divsChild>
        <w:div w:id="516041012">
          <w:marLeft w:val="0"/>
          <w:marRight w:val="0"/>
          <w:marTop w:val="0"/>
          <w:marBottom w:val="0"/>
          <w:divBdr>
            <w:top w:val="none" w:sz="0" w:space="0" w:color="auto"/>
            <w:left w:val="none" w:sz="0" w:space="0" w:color="auto"/>
            <w:bottom w:val="none" w:sz="0" w:space="0" w:color="auto"/>
            <w:right w:val="none" w:sz="0" w:space="0" w:color="auto"/>
          </w:divBdr>
          <w:divsChild>
            <w:div w:id="2019696286">
              <w:marLeft w:val="0"/>
              <w:marRight w:val="0"/>
              <w:marTop w:val="0"/>
              <w:marBottom w:val="0"/>
              <w:divBdr>
                <w:top w:val="none" w:sz="0" w:space="0" w:color="auto"/>
                <w:left w:val="none" w:sz="0" w:space="0" w:color="auto"/>
                <w:bottom w:val="none" w:sz="0" w:space="0" w:color="auto"/>
                <w:right w:val="none" w:sz="0" w:space="0" w:color="auto"/>
              </w:divBdr>
              <w:divsChild>
                <w:div w:id="1297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8671">
      <w:bodyDiv w:val="1"/>
      <w:marLeft w:val="0"/>
      <w:marRight w:val="0"/>
      <w:marTop w:val="0"/>
      <w:marBottom w:val="0"/>
      <w:divBdr>
        <w:top w:val="none" w:sz="0" w:space="0" w:color="auto"/>
        <w:left w:val="none" w:sz="0" w:space="0" w:color="auto"/>
        <w:bottom w:val="none" w:sz="0" w:space="0" w:color="auto"/>
        <w:right w:val="none" w:sz="0" w:space="0" w:color="auto"/>
      </w:divBdr>
      <w:divsChild>
        <w:div w:id="284386362">
          <w:marLeft w:val="0"/>
          <w:marRight w:val="0"/>
          <w:marTop w:val="0"/>
          <w:marBottom w:val="0"/>
          <w:divBdr>
            <w:top w:val="none" w:sz="0" w:space="0" w:color="auto"/>
            <w:left w:val="none" w:sz="0" w:space="0" w:color="auto"/>
            <w:bottom w:val="none" w:sz="0" w:space="0" w:color="auto"/>
            <w:right w:val="none" w:sz="0" w:space="0" w:color="auto"/>
          </w:divBdr>
          <w:divsChild>
            <w:div w:id="1807237538">
              <w:marLeft w:val="0"/>
              <w:marRight w:val="0"/>
              <w:marTop w:val="0"/>
              <w:marBottom w:val="0"/>
              <w:divBdr>
                <w:top w:val="none" w:sz="0" w:space="0" w:color="auto"/>
                <w:left w:val="none" w:sz="0" w:space="0" w:color="auto"/>
                <w:bottom w:val="none" w:sz="0" w:space="0" w:color="auto"/>
                <w:right w:val="none" w:sz="0" w:space="0" w:color="auto"/>
              </w:divBdr>
              <w:divsChild>
                <w:div w:id="10170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20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976">
          <w:marLeft w:val="0"/>
          <w:marRight w:val="0"/>
          <w:marTop w:val="0"/>
          <w:marBottom w:val="0"/>
          <w:divBdr>
            <w:top w:val="none" w:sz="0" w:space="0" w:color="auto"/>
            <w:left w:val="none" w:sz="0" w:space="0" w:color="auto"/>
            <w:bottom w:val="none" w:sz="0" w:space="0" w:color="auto"/>
            <w:right w:val="none" w:sz="0" w:space="0" w:color="auto"/>
          </w:divBdr>
          <w:divsChild>
            <w:div w:id="1386950565">
              <w:marLeft w:val="0"/>
              <w:marRight w:val="0"/>
              <w:marTop w:val="0"/>
              <w:marBottom w:val="0"/>
              <w:divBdr>
                <w:top w:val="none" w:sz="0" w:space="0" w:color="auto"/>
                <w:left w:val="none" w:sz="0" w:space="0" w:color="auto"/>
                <w:bottom w:val="none" w:sz="0" w:space="0" w:color="auto"/>
                <w:right w:val="none" w:sz="0" w:space="0" w:color="auto"/>
              </w:divBdr>
              <w:divsChild>
                <w:div w:id="1327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2882">
      <w:bodyDiv w:val="1"/>
      <w:marLeft w:val="0"/>
      <w:marRight w:val="0"/>
      <w:marTop w:val="0"/>
      <w:marBottom w:val="0"/>
      <w:divBdr>
        <w:top w:val="none" w:sz="0" w:space="0" w:color="auto"/>
        <w:left w:val="none" w:sz="0" w:space="0" w:color="auto"/>
        <w:bottom w:val="none" w:sz="0" w:space="0" w:color="auto"/>
        <w:right w:val="none" w:sz="0" w:space="0" w:color="auto"/>
      </w:divBdr>
      <w:divsChild>
        <w:div w:id="538251053">
          <w:marLeft w:val="0"/>
          <w:marRight w:val="0"/>
          <w:marTop w:val="0"/>
          <w:marBottom w:val="0"/>
          <w:divBdr>
            <w:top w:val="none" w:sz="0" w:space="0" w:color="auto"/>
            <w:left w:val="none" w:sz="0" w:space="0" w:color="auto"/>
            <w:bottom w:val="none" w:sz="0" w:space="0" w:color="auto"/>
            <w:right w:val="none" w:sz="0" w:space="0" w:color="auto"/>
          </w:divBdr>
          <w:divsChild>
            <w:div w:id="1993680619">
              <w:marLeft w:val="0"/>
              <w:marRight w:val="0"/>
              <w:marTop w:val="0"/>
              <w:marBottom w:val="0"/>
              <w:divBdr>
                <w:top w:val="none" w:sz="0" w:space="0" w:color="auto"/>
                <w:left w:val="none" w:sz="0" w:space="0" w:color="auto"/>
                <w:bottom w:val="none" w:sz="0" w:space="0" w:color="auto"/>
                <w:right w:val="none" w:sz="0" w:space="0" w:color="auto"/>
              </w:divBdr>
              <w:divsChild>
                <w:div w:id="5934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7018">
      <w:bodyDiv w:val="1"/>
      <w:marLeft w:val="0"/>
      <w:marRight w:val="0"/>
      <w:marTop w:val="0"/>
      <w:marBottom w:val="0"/>
      <w:divBdr>
        <w:top w:val="none" w:sz="0" w:space="0" w:color="auto"/>
        <w:left w:val="none" w:sz="0" w:space="0" w:color="auto"/>
        <w:bottom w:val="none" w:sz="0" w:space="0" w:color="auto"/>
        <w:right w:val="none" w:sz="0" w:space="0" w:color="auto"/>
      </w:divBdr>
      <w:divsChild>
        <w:div w:id="817965534">
          <w:marLeft w:val="0"/>
          <w:marRight w:val="0"/>
          <w:marTop w:val="0"/>
          <w:marBottom w:val="0"/>
          <w:divBdr>
            <w:top w:val="none" w:sz="0" w:space="0" w:color="auto"/>
            <w:left w:val="none" w:sz="0" w:space="0" w:color="auto"/>
            <w:bottom w:val="none" w:sz="0" w:space="0" w:color="auto"/>
            <w:right w:val="none" w:sz="0" w:space="0" w:color="auto"/>
          </w:divBdr>
          <w:divsChild>
            <w:div w:id="120923790">
              <w:marLeft w:val="0"/>
              <w:marRight w:val="0"/>
              <w:marTop w:val="0"/>
              <w:marBottom w:val="0"/>
              <w:divBdr>
                <w:top w:val="none" w:sz="0" w:space="0" w:color="auto"/>
                <w:left w:val="none" w:sz="0" w:space="0" w:color="auto"/>
                <w:bottom w:val="none" w:sz="0" w:space="0" w:color="auto"/>
                <w:right w:val="none" w:sz="0" w:space="0" w:color="auto"/>
              </w:divBdr>
              <w:divsChild>
                <w:div w:id="668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0684">
      <w:bodyDiv w:val="1"/>
      <w:marLeft w:val="0"/>
      <w:marRight w:val="0"/>
      <w:marTop w:val="0"/>
      <w:marBottom w:val="0"/>
      <w:divBdr>
        <w:top w:val="none" w:sz="0" w:space="0" w:color="auto"/>
        <w:left w:val="none" w:sz="0" w:space="0" w:color="auto"/>
        <w:bottom w:val="none" w:sz="0" w:space="0" w:color="auto"/>
        <w:right w:val="none" w:sz="0" w:space="0" w:color="auto"/>
      </w:divBdr>
      <w:divsChild>
        <w:div w:id="1079060942">
          <w:marLeft w:val="0"/>
          <w:marRight w:val="0"/>
          <w:marTop w:val="0"/>
          <w:marBottom w:val="0"/>
          <w:divBdr>
            <w:top w:val="none" w:sz="0" w:space="0" w:color="auto"/>
            <w:left w:val="none" w:sz="0" w:space="0" w:color="auto"/>
            <w:bottom w:val="none" w:sz="0" w:space="0" w:color="auto"/>
            <w:right w:val="none" w:sz="0" w:space="0" w:color="auto"/>
          </w:divBdr>
          <w:divsChild>
            <w:div w:id="701323502">
              <w:marLeft w:val="0"/>
              <w:marRight w:val="0"/>
              <w:marTop w:val="0"/>
              <w:marBottom w:val="0"/>
              <w:divBdr>
                <w:top w:val="none" w:sz="0" w:space="0" w:color="auto"/>
                <w:left w:val="none" w:sz="0" w:space="0" w:color="auto"/>
                <w:bottom w:val="none" w:sz="0" w:space="0" w:color="auto"/>
                <w:right w:val="none" w:sz="0" w:space="0" w:color="auto"/>
              </w:divBdr>
              <w:divsChild>
                <w:div w:id="1439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3043">
      <w:bodyDiv w:val="1"/>
      <w:marLeft w:val="0"/>
      <w:marRight w:val="0"/>
      <w:marTop w:val="0"/>
      <w:marBottom w:val="0"/>
      <w:divBdr>
        <w:top w:val="none" w:sz="0" w:space="0" w:color="auto"/>
        <w:left w:val="none" w:sz="0" w:space="0" w:color="auto"/>
        <w:bottom w:val="none" w:sz="0" w:space="0" w:color="auto"/>
        <w:right w:val="none" w:sz="0" w:space="0" w:color="auto"/>
      </w:divBdr>
      <w:divsChild>
        <w:div w:id="1687052610">
          <w:marLeft w:val="0"/>
          <w:marRight w:val="0"/>
          <w:marTop w:val="0"/>
          <w:marBottom w:val="0"/>
          <w:divBdr>
            <w:top w:val="none" w:sz="0" w:space="0" w:color="auto"/>
            <w:left w:val="none" w:sz="0" w:space="0" w:color="auto"/>
            <w:bottom w:val="none" w:sz="0" w:space="0" w:color="auto"/>
            <w:right w:val="none" w:sz="0" w:space="0" w:color="auto"/>
          </w:divBdr>
          <w:divsChild>
            <w:div w:id="1672876890">
              <w:marLeft w:val="0"/>
              <w:marRight w:val="0"/>
              <w:marTop w:val="0"/>
              <w:marBottom w:val="0"/>
              <w:divBdr>
                <w:top w:val="none" w:sz="0" w:space="0" w:color="auto"/>
                <w:left w:val="none" w:sz="0" w:space="0" w:color="auto"/>
                <w:bottom w:val="none" w:sz="0" w:space="0" w:color="auto"/>
                <w:right w:val="none" w:sz="0" w:space="0" w:color="auto"/>
              </w:divBdr>
              <w:divsChild>
                <w:div w:id="617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3646">
      <w:bodyDiv w:val="1"/>
      <w:marLeft w:val="0"/>
      <w:marRight w:val="0"/>
      <w:marTop w:val="0"/>
      <w:marBottom w:val="0"/>
      <w:divBdr>
        <w:top w:val="none" w:sz="0" w:space="0" w:color="auto"/>
        <w:left w:val="none" w:sz="0" w:space="0" w:color="auto"/>
        <w:bottom w:val="none" w:sz="0" w:space="0" w:color="auto"/>
        <w:right w:val="none" w:sz="0" w:space="0" w:color="auto"/>
      </w:divBdr>
      <w:divsChild>
        <w:div w:id="156195428">
          <w:marLeft w:val="0"/>
          <w:marRight w:val="0"/>
          <w:marTop w:val="0"/>
          <w:marBottom w:val="0"/>
          <w:divBdr>
            <w:top w:val="none" w:sz="0" w:space="0" w:color="auto"/>
            <w:left w:val="none" w:sz="0" w:space="0" w:color="auto"/>
            <w:bottom w:val="none" w:sz="0" w:space="0" w:color="auto"/>
            <w:right w:val="none" w:sz="0" w:space="0" w:color="auto"/>
          </w:divBdr>
          <w:divsChild>
            <w:div w:id="1446660251">
              <w:marLeft w:val="0"/>
              <w:marRight w:val="0"/>
              <w:marTop w:val="0"/>
              <w:marBottom w:val="0"/>
              <w:divBdr>
                <w:top w:val="none" w:sz="0" w:space="0" w:color="auto"/>
                <w:left w:val="none" w:sz="0" w:space="0" w:color="auto"/>
                <w:bottom w:val="none" w:sz="0" w:space="0" w:color="auto"/>
                <w:right w:val="none" w:sz="0" w:space="0" w:color="auto"/>
              </w:divBdr>
              <w:divsChild>
                <w:div w:id="1769082977">
                  <w:marLeft w:val="0"/>
                  <w:marRight w:val="0"/>
                  <w:marTop w:val="0"/>
                  <w:marBottom w:val="0"/>
                  <w:divBdr>
                    <w:top w:val="none" w:sz="0" w:space="0" w:color="auto"/>
                    <w:left w:val="none" w:sz="0" w:space="0" w:color="auto"/>
                    <w:bottom w:val="none" w:sz="0" w:space="0" w:color="auto"/>
                    <w:right w:val="none" w:sz="0" w:space="0" w:color="auto"/>
                  </w:divBdr>
                  <w:divsChild>
                    <w:div w:id="4133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5057">
      <w:bodyDiv w:val="1"/>
      <w:marLeft w:val="0"/>
      <w:marRight w:val="0"/>
      <w:marTop w:val="0"/>
      <w:marBottom w:val="0"/>
      <w:divBdr>
        <w:top w:val="none" w:sz="0" w:space="0" w:color="auto"/>
        <w:left w:val="none" w:sz="0" w:space="0" w:color="auto"/>
        <w:bottom w:val="none" w:sz="0" w:space="0" w:color="auto"/>
        <w:right w:val="none" w:sz="0" w:space="0" w:color="auto"/>
      </w:divBdr>
      <w:divsChild>
        <w:div w:id="1202934532">
          <w:marLeft w:val="0"/>
          <w:marRight w:val="0"/>
          <w:marTop w:val="0"/>
          <w:marBottom w:val="0"/>
          <w:divBdr>
            <w:top w:val="none" w:sz="0" w:space="0" w:color="auto"/>
            <w:left w:val="none" w:sz="0" w:space="0" w:color="auto"/>
            <w:bottom w:val="none" w:sz="0" w:space="0" w:color="auto"/>
            <w:right w:val="none" w:sz="0" w:space="0" w:color="auto"/>
          </w:divBdr>
          <w:divsChild>
            <w:div w:id="1002470100">
              <w:marLeft w:val="0"/>
              <w:marRight w:val="0"/>
              <w:marTop w:val="0"/>
              <w:marBottom w:val="0"/>
              <w:divBdr>
                <w:top w:val="none" w:sz="0" w:space="0" w:color="auto"/>
                <w:left w:val="none" w:sz="0" w:space="0" w:color="auto"/>
                <w:bottom w:val="none" w:sz="0" w:space="0" w:color="auto"/>
                <w:right w:val="none" w:sz="0" w:space="0" w:color="auto"/>
              </w:divBdr>
              <w:divsChild>
                <w:div w:id="21260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08189">
      <w:bodyDiv w:val="1"/>
      <w:marLeft w:val="0"/>
      <w:marRight w:val="0"/>
      <w:marTop w:val="0"/>
      <w:marBottom w:val="0"/>
      <w:divBdr>
        <w:top w:val="none" w:sz="0" w:space="0" w:color="auto"/>
        <w:left w:val="none" w:sz="0" w:space="0" w:color="auto"/>
        <w:bottom w:val="none" w:sz="0" w:space="0" w:color="auto"/>
        <w:right w:val="none" w:sz="0" w:space="0" w:color="auto"/>
      </w:divBdr>
      <w:divsChild>
        <w:div w:id="2131821287">
          <w:marLeft w:val="0"/>
          <w:marRight w:val="0"/>
          <w:marTop w:val="0"/>
          <w:marBottom w:val="0"/>
          <w:divBdr>
            <w:top w:val="none" w:sz="0" w:space="0" w:color="auto"/>
            <w:left w:val="none" w:sz="0" w:space="0" w:color="auto"/>
            <w:bottom w:val="none" w:sz="0" w:space="0" w:color="auto"/>
            <w:right w:val="none" w:sz="0" w:space="0" w:color="auto"/>
          </w:divBdr>
          <w:divsChild>
            <w:div w:id="561133979">
              <w:marLeft w:val="0"/>
              <w:marRight w:val="0"/>
              <w:marTop w:val="0"/>
              <w:marBottom w:val="0"/>
              <w:divBdr>
                <w:top w:val="none" w:sz="0" w:space="0" w:color="auto"/>
                <w:left w:val="none" w:sz="0" w:space="0" w:color="auto"/>
                <w:bottom w:val="none" w:sz="0" w:space="0" w:color="auto"/>
                <w:right w:val="none" w:sz="0" w:space="0" w:color="auto"/>
              </w:divBdr>
              <w:divsChild>
                <w:div w:id="13354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9428">
      <w:bodyDiv w:val="1"/>
      <w:marLeft w:val="0"/>
      <w:marRight w:val="0"/>
      <w:marTop w:val="0"/>
      <w:marBottom w:val="0"/>
      <w:divBdr>
        <w:top w:val="none" w:sz="0" w:space="0" w:color="auto"/>
        <w:left w:val="none" w:sz="0" w:space="0" w:color="auto"/>
        <w:bottom w:val="none" w:sz="0" w:space="0" w:color="auto"/>
        <w:right w:val="none" w:sz="0" w:space="0" w:color="auto"/>
      </w:divBdr>
      <w:divsChild>
        <w:div w:id="457072939">
          <w:marLeft w:val="0"/>
          <w:marRight w:val="0"/>
          <w:marTop w:val="0"/>
          <w:marBottom w:val="0"/>
          <w:divBdr>
            <w:top w:val="none" w:sz="0" w:space="0" w:color="auto"/>
            <w:left w:val="none" w:sz="0" w:space="0" w:color="auto"/>
            <w:bottom w:val="none" w:sz="0" w:space="0" w:color="auto"/>
            <w:right w:val="none" w:sz="0" w:space="0" w:color="auto"/>
          </w:divBdr>
          <w:divsChild>
            <w:div w:id="846292416">
              <w:marLeft w:val="0"/>
              <w:marRight w:val="0"/>
              <w:marTop w:val="0"/>
              <w:marBottom w:val="0"/>
              <w:divBdr>
                <w:top w:val="none" w:sz="0" w:space="0" w:color="auto"/>
                <w:left w:val="none" w:sz="0" w:space="0" w:color="auto"/>
                <w:bottom w:val="none" w:sz="0" w:space="0" w:color="auto"/>
                <w:right w:val="none" w:sz="0" w:space="0" w:color="auto"/>
              </w:divBdr>
              <w:divsChild>
                <w:div w:id="725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746">
      <w:bodyDiv w:val="1"/>
      <w:marLeft w:val="0"/>
      <w:marRight w:val="0"/>
      <w:marTop w:val="0"/>
      <w:marBottom w:val="0"/>
      <w:divBdr>
        <w:top w:val="none" w:sz="0" w:space="0" w:color="auto"/>
        <w:left w:val="none" w:sz="0" w:space="0" w:color="auto"/>
        <w:bottom w:val="none" w:sz="0" w:space="0" w:color="auto"/>
        <w:right w:val="none" w:sz="0" w:space="0" w:color="auto"/>
      </w:divBdr>
      <w:divsChild>
        <w:div w:id="573051244">
          <w:marLeft w:val="0"/>
          <w:marRight w:val="0"/>
          <w:marTop w:val="0"/>
          <w:marBottom w:val="0"/>
          <w:divBdr>
            <w:top w:val="none" w:sz="0" w:space="0" w:color="auto"/>
            <w:left w:val="none" w:sz="0" w:space="0" w:color="auto"/>
            <w:bottom w:val="none" w:sz="0" w:space="0" w:color="auto"/>
            <w:right w:val="none" w:sz="0" w:space="0" w:color="auto"/>
          </w:divBdr>
          <w:divsChild>
            <w:div w:id="747189876">
              <w:marLeft w:val="0"/>
              <w:marRight w:val="0"/>
              <w:marTop w:val="0"/>
              <w:marBottom w:val="0"/>
              <w:divBdr>
                <w:top w:val="none" w:sz="0" w:space="0" w:color="auto"/>
                <w:left w:val="none" w:sz="0" w:space="0" w:color="auto"/>
                <w:bottom w:val="none" w:sz="0" w:space="0" w:color="auto"/>
                <w:right w:val="none" w:sz="0" w:space="0" w:color="auto"/>
              </w:divBdr>
              <w:divsChild>
                <w:div w:id="12060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8484">
      <w:bodyDiv w:val="1"/>
      <w:marLeft w:val="0"/>
      <w:marRight w:val="0"/>
      <w:marTop w:val="0"/>
      <w:marBottom w:val="0"/>
      <w:divBdr>
        <w:top w:val="none" w:sz="0" w:space="0" w:color="auto"/>
        <w:left w:val="none" w:sz="0" w:space="0" w:color="auto"/>
        <w:bottom w:val="none" w:sz="0" w:space="0" w:color="auto"/>
        <w:right w:val="none" w:sz="0" w:space="0" w:color="auto"/>
      </w:divBdr>
      <w:divsChild>
        <w:div w:id="1901480777">
          <w:marLeft w:val="0"/>
          <w:marRight w:val="0"/>
          <w:marTop w:val="0"/>
          <w:marBottom w:val="0"/>
          <w:divBdr>
            <w:top w:val="none" w:sz="0" w:space="0" w:color="auto"/>
            <w:left w:val="none" w:sz="0" w:space="0" w:color="auto"/>
            <w:bottom w:val="none" w:sz="0" w:space="0" w:color="auto"/>
            <w:right w:val="none" w:sz="0" w:space="0" w:color="auto"/>
          </w:divBdr>
          <w:divsChild>
            <w:div w:id="1839730398">
              <w:marLeft w:val="0"/>
              <w:marRight w:val="0"/>
              <w:marTop w:val="0"/>
              <w:marBottom w:val="0"/>
              <w:divBdr>
                <w:top w:val="none" w:sz="0" w:space="0" w:color="auto"/>
                <w:left w:val="none" w:sz="0" w:space="0" w:color="auto"/>
                <w:bottom w:val="none" w:sz="0" w:space="0" w:color="auto"/>
                <w:right w:val="none" w:sz="0" w:space="0" w:color="auto"/>
              </w:divBdr>
              <w:divsChild>
                <w:div w:id="14526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103">
      <w:bodyDiv w:val="1"/>
      <w:marLeft w:val="0"/>
      <w:marRight w:val="0"/>
      <w:marTop w:val="0"/>
      <w:marBottom w:val="0"/>
      <w:divBdr>
        <w:top w:val="none" w:sz="0" w:space="0" w:color="auto"/>
        <w:left w:val="none" w:sz="0" w:space="0" w:color="auto"/>
        <w:bottom w:val="none" w:sz="0" w:space="0" w:color="auto"/>
        <w:right w:val="none" w:sz="0" w:space="0" w:color="auto"/>
      </w:divBdr>
      <w:divsChild>
        <w:div w:id="117769058">
          <w:marLeft w:val="0"/>
          <w:marRight w:val="0"/>
          <w:marTop w:val="0"/>
          <w:marBottom w:val="0"/>
          <w:divBdr>
            <w:top w:val="none" w:sz="0" w:space="0" w:color="auto"/>
            <w:left w:val="none" w:sz="0" w:space="0" w:color="auto"/>
            <w:bottom w:val="none" w:sz="0" w:space="0" w:color="auto"/>
            <w:right w:val="none" w:sz="0" w:space="0" w:color="auto"/>
          </w:divBdr>
          <w:divsChild>
            <w:div w:id="1422869859">
              <w:marLeft w:val="0"/>
              <w:marRight w:val="0"/>
              <w:marTop w:val="0"/>
              <w:marBottom w:val="0"/>
              <w:divBdr>
                <w:top w:val="none" w:sz="0" w:space="0" w:color="auto"/>
                <w:left w:val="none" w:sz="0" w:space="0" w:color="auto"/>
                <w:bottom w:val="none" w:sz="0" w:space="0" w:color="auto"/>
                <w:right w:val="none" w:sz="0" w:space="0" w:color="auto"/>
              </w:divBdr>
              <w:divsChild>
                <w:div w:id="637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1521">
      <w:bodyDiv w:val="1"/>
      <w:marLeft w:val="0"/>
      <w:marRight w:val="0"/>
      <w:marTop w:val="0"/>
      <w:marBottom w:val="0"/>
      <w:divBdr>
        <w:top w:val="none" w:sz="0" w:space="0" w:color="auto"/>
        <w:left w:val="none" w:sz="0" w:space="0" w:color="auto"/>
        <w:bottom w:val="none" w:sz="0" w:space="0" w:color="auto"/>
        <w:right w:val="none" w:sz="0" w:space="0" w:color="auto"/>
      </w:divBdr>
      <w:divsChild>
        <w:div w:id="1822886752">
          <w:marLeft w:val="0"/>
          <w:marRight w:val="0"/>
          <w:marTop w:val="0"/>
          <w:marBottom w:val="0"/>
          <w:divBdr>
            <w:top w:val="none" w:sz="0" w:space="0" w:color="auto"/>
            <w:left w:val="none" w:sz="0" w:space="0" w:color="auto"/>
            <w:bottom w:val="none" w:sz="0" w:space="0" w:color="auto"/>
            <w:right w:val="none" w:sz="0" w:space="0" w:color="auto"/>
          </w:divBdr>
          <w:divsChild>
            <w:div w:id="613365857">
              <w:marLeft w:val="0"/>
              <w:marRight w:val="0"/>
              <w:marTop w:val="0"/>
              <w:marBottom w:val="0"/>
              <w:divBdr>
                <w:top w:val="none" w:sz="0" w:space="0" w:color="auto"/>
                <w:left w:val="none" w:sz="0" w:space="0" w:color="auto"/>
                <w:bottom w:val="none" w:sz="0" w:space="0" w:color="auto"/>
                <w:right w:val="none" w:sz="0" w:space="0" w:color="auto"/>
              </w:divBdr>
              <w:divsChild>
                <w:div w:id="941567033">
                  <w:marLeft w:val="0"/>
                  <w:marRight w:val="0"/>
                  <w:marTop w:val="0"/>
                  <w:marBottom w:val="0"/>
                  <w:divBdr>
                    <w:top w:val="none" w:sz="0" w:space="0" w:color="auto"/>
                    <w:left w:val="none" w:sz="0" w:space="0" w:color="auto"/>
                    <w:bottom w:val="none" w:sz="0" w:space="0" w:color="auto"/>
                    <w:right w:val="none" w:sz="0" w:space="0" w:color="auto"/>
                  </w:divBdr>
                  <w:divsChild>
                    <w:div w:id="319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50328">
      <w:bodyDiv w:val="1"/>
      <w:marLeft w:val="0"/>
      <w:marRight w:val="0"/>
      <w:marTop w:val="0"/>
      <w:marBottom w:val="0"/>
      <w:divBdr>
        <w:top w:val="none" w:sz="0" w:space="0" w:color="auto"/>
        <w:left w:val="none" w:sz="0" w:space="0" w:color="auto"/>
        <w:bottom w:val="none" w:sz="0" w:space="0" w:color="auto"/>
        <w:right w:val="none" w:sz="0" w:space="0" w:color="auto"/>
      </w:divBdr>
      <w:divsChild>
        <w:div w:id="853230009">
          <w:marLeft w:val="0"/>
          <w:marRight w:val="0"/>
          <w:marTop w:val="0"/>
          <w:marBottom w:val="0"/>
          <w:divBdr>
            <w:top w:val="none" w:sz="0" w:space="0" w:color="auto"/>
            <w:left w:val="none" w:sz="0" w:space="0" w:color="auto"/>
            <w:bottom w:val="none" w:sz="0" w:space="0" w:color="auto"/>
            <w:right w:val="none" w:sz="0" w:space="0" w:color="auto"/>
          </w:divBdr>
          <w:divsChild>
            <w:div w:id="493647625">
              <w:marLeft w:val="0"/>
              <w:marRight w:val="0"/>
              <w:marTop w:val="0"/>
              <w:marBottom w:val="0"/>
              <w:divBdr>
                <w:top w:val="none" w:sz="0" w:space="0" w:color="auto"/>
                <w:left w:val="none" w:sz="0" w:space="0" w:color="auto"/>
                <w:bottom w:val="none" w:sz="0" w:space="0" w:color="auto"/>
                <w:right w:val="none" w:sz="0" w:space="0" w:color="auto"/>
              </w:divBdr>
              <w:divsChild>
                <w:div w:id="101845490">
                  <w:marLeft w:val="0"/>
                  <w:marRight w:val="0"/>
                  <w:marTop w:val="0"/>
                  <w:marBottom w:val="0"/>
                  <w:divBdr>
                    <w:top w:val="none" w:sz="0" w:space="0" w:color="auto"/>
                    <w:left w:val="none" w:sz="0" w:space="0" w:color="auto"/>
                    <w:bottom w:val="none" w:sz="0" w:space="0" w:color="auto"/>
                    <w:right w:val="none" w:sz="0" w:space="0" w:color="auto"/>
                  </w:divBdr>
                </w:div>
                <w:div w:id="339509212">
                  <w:marLeft w:val="0"/>
                  <w:marRight w:val="0"/>
                  <w:marTop w:val="0"/>
                  <w:marBottom w:val="0"/>
                  <w:divBdr>
                    <w:top w:val="none" w:sz="0" w:space="0" w:color="auto"/>
                    <w:left w:val="none" w:sz="0" w:space="0" w:color="auto"/>
                    <w:bottom w:val="none" w:sz="0" w:space="0" w:color="auto"/>
                    <w:right w:val="none" w:sz="0" w:space="0" w:color="auto"/>
                  </w:divBdr>
                </w:div>
                <w:div w:id="1144084193">
                  <w:marLeft w:val="0"/>
                  <w:marRight w:val="0"/>
                  <w:marTop w:val="0"/>
                  <w:marBottom w:val="0"/>
                  <w:divBdr>
                    <w:top w:val="none" w:sz="0" w:space="0" w:color="auto"/>
                    <w:left w:val="none" w:sz="0" w:space="0" w:color="auto"/>
                    <w:bottom w:val="none" w:sz="0" w:space="0" w:color="auto"/>
                    <w:right w:val="none" w:sz="0" w:space="0" w:color="auto"/>
                  </w:divBdr>
                </w:div>
              </w:divsChild>
            </w:div>
            <w:div w:id="40860532">
              <w:marLeft w:val="0"/>
              <w:marRight w:val="0"/>
              <w:marTop w:val="0"/>
              <w:marBottom w:val="0"/>
              <w:divBdr>
                <w:top w:val="none" w:sz="0" w:space="0" w:color="auto"/>
                <w:left w:val="none" w:sz="0" w:space="0" w:color="auto"/>
                <w:bottom w:val="none" w:sz="0" w:space="0" w:color="auto"/>
                <w:right w:val="none" w:sz="0" w:space="0" w:color="auto"/>
              </w:divBdr>
              <w:divsChild>
                <w:div w:id="1283339586">
                  <w:marLeft w:val="0"/>
                  <w:marRight w:val="0"/>
                  <w:marTop w:val="0"/>
                  <w:marBottom w:val="0"/>
                  <w:divBdr>
                    <w:top w:val="none" w:sz="0" w:space="0" w:color="auto"/>
                    <w:left w:val="none" w:sz="0" w:space="0" w:color="auto"/>
                    <w:bottom w:val="none" w:sz="0" w:space="0" w:color="auto"/>
                    <w:right w:val="none" w:sz="0" w:space="0" w:color="auto"/>
                  </w:divBdr>
                </w:div>
                <w:div w:id="1058474181">
                  <w:marLeft w:val="0"/>
                  <w:marRight w:val="0"/>
                  <w:marTop w:val="0"/>
                  <w:marBottom w:val="0"/>
                  <w:divBdr>
                    <w:top w:val="none" w:sz="0" w:space="0" w:color="auto"/>
                    <w:left w:val="none" w:sz="0" w:space="0" w:color="auto"/>
                    <w:bottom w:val="none" w:sz="0" w:space="0" w:color="auto"/>
                    <w:right w:val="none" w:sz="0" w:space="0" w:color="auto"/>
                  </w:divBdr>
                </w:div>
                <w:div w:id="677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6655">
      <w:bodyDiv w:val="1"/>
      <w:marLeft w:val="0"/>
      <w:marRight w:val="0"/>
      <w:marTop w:val="0"/>
      <w:marBottom w:val="0"/>
      <w:divBdr>
        <w:top w:val="none" w:sz="0" w:space="0" w:color="auto"/>
        <w:left w:val="none" w:sz="0" w:space="0" w:color="auto"/>
        <w:bottom w:val="none" w:sz="0" w:space="0" w:color="auto"/>
        <w:right w:val="none" w:sz="0" w:space="0" w:color="auto"/>
      </w:divBdr>
      <w:divsChild>
        <w:div w:id="952203739">
          <w:marLeft w:val="0"/>
          <w:marRight w:val="0"/>
          <w:marTop w:val="0"/>
          <w:marBottom w:val="0"/>
          <w:divBdr>
            <w:top w:val="none" w:sz="0" w:space="0" w:color="auto"/>
            <w:left w:val="none" w:sz="0" w:space="0" w:color="auto"/>
            <w:bottom w:val="none" w:sz="0" w:space="0" w:color="auto"/>
            <w:right w:val="none" w:sz="0" w:space="0" w:color="auto"/>
          </w:divBdr>
          <w:divsChild>
            <w:div w:id="965428207">
              <w:marLeft w:val="0"/>
              <w:marRight w:val="0"/>
              <w:marTop w:val="0"/>
              <w:marBottom w:val="0"/>
              <w:divBdr>
                <w:top w:val="none" w:sz="0" w:space="0" w:color="auto"/>
                <w:left w:val="none" w:sz="0" w:space="0" w:color="auto"/>
                <w:bottom w:val="none" w:sz="0" w:space="0" w:color="auto"/>
                <w:right w:val="none" w:sz="0" w:space="0" w:color="auto"/>
              </w:divBdr>
              <w:divsChild>
                <w:div w:id="1762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99818">
      <w:bodyDiv w:val="1"/>
      <w:marLeft w:val="0"/>
      <w:marRight w:val="0"/>
      <w:marTop w:val="0"/>
      <w:marBottom w:val="0"/>
      <w:divBdr>
        <w:top w:val="none" w:sz="0" w:space="0" w:color="auto"/>
        <w:left w:val="none" w:sz="0" w:space="0" w:color="auto"/>
        <w:bottom w:val="none" w:sz="0" w:space="0" w:color="auto"/>
        <w:right w:val="none" w:sz="0" w:space="0" w:color="auto"/>
      </w:divBdr>
      <w:divsChild>
        <w:div w:id="2125611983">
          <w:marLeft w:val="0"/>
          <w:marRight w:val="0"/>
          <w:marTop w:val="0"/>
          <w:marBottom w:val="0"/>
          <w:divBdr>
            <w:top w:val="none" w:sz="0" w:space="0" w:color="auto"/>
            <w:left w:val="none" w:sz="0" w:space="0" w:color="auto"/>
            <w:bottom w:val="none" w:sz="0" w:space="0" w:color="auto"/>
            <w:right w:val="none" w:sz="0" w:space="0" w:color="auto"/>
          </w:divBdr>
          <w:divsChild>
            <w:div w:id="275144337">
              <w:marLeft w:val="0"/>
              <w:marRight w:val="0"/>
              <w:marTop w:val="0"/>
              <w:marBottom w:val="0"/>
              <w:divBdr>
                <w:top w:val="none" w:sz="0" w:space="0" w:color="auto"/>
                <w:left w:val="none" w:sz="0" w:space="0" w:color="auto"/>
                <w:bottom w:val="none" w:sz="0" w:space="0" w:color="auto"/>
                <w:right w:val="none" w:sz="0" w:space="0" w:color="auto"/>
              </w:divBdr>
              <w:divsChild>
                <w:div w:id="16358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3848">
      <w:bodyDiv w:val="1"/>
      <w:marLeft w:val="0"/>
      <w:marRight w:val="0"/>
      <w:marTop w:val="0"/>
      <w:marBottom w:val="0"/>
      <w:divBdr>
        <w:top w:val="none" w:sz="0" w:space="0" w:color="auto"/>
        <w:left w:val="none" w:sz="0" w:space="0" w:color="auto"/>
        <w:bottom w:val="none" w:sz="0" w:space="0" w:color="auto"/>
        <w:right w:val="none" w:sz="0" w:space="0" w:color="auto"/>
      </w:divBdr>
      <w:divsChild>
        <w:div w:id="789973289">
          <w:marLeft w:val="0"/>
          <w:marRight w:val="0"/>
          <w:marTop w:val="0"/>
          <w:marBottom w:val="0"/>
          <w:divBdr>
            <w:top w:val="none" w:sz="0" w:space="0" w:color="auto"/>
            <w:left w:val="none" w:sz="0" w:space="0" w:color="auto"/>
            <w:bottom w:val="none" w:sz="0" w:space="0" w:color="auto"/>
            <w:right w:val="none" w:sz="0" w:space="0" w:color="auto"/>
          </w:divBdr>
          <w:divsChild>
            <w:div w:id="560869317">
              <w:marLeft w:val="0"/>
              <w:marRight w:val="0"/>
              <w:marTop w:val="0"/>
              <w:marBottom w:val="0"/>
              <w:divBdr>
                <w:top w:val="none" w:sz="0" w:space="0" w:color="auto"/>
                <w:left w:val="none" w:sz="0" w:space="0" w:color="auto"/>
                <w:bottom w:val="none" w:sz="0" w:space="0" w:color="auto"/>
                <w:right w:val="none" w:sz="0" w:space="0" w:color="auto"/>
              </w:divBdr>
              <w:divsChild>
                <w:div w:id="6701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2932">
      <w:bodyDiv w:val="1"/>
      <w:marLeft w:val="0"/>
      <w:marRight w:val="0"/>
      <w:marTop w:val="0"/>
      <w:marBottom w:val="0"/>
      <w:divBdr>
        <w:top w:val="none" w:sz="0" w:space="0" w:color="auto"/>
        <w:left w:val="none" w:sz="0" w:space="0" w:color="auto"/>
        <w:bottom w:val="none" w:sz="0" w:space="0" w:color="auto"/>
        <w:right w:val="none" w:sz="0" w:space="0" w:color="auto"/>
      </w:divBdr>
      <w:divsChild>
        <w:div w:id="744227196">
          <w:marLeft w:val="0"/>
          <w:marRight w:val="0"/>
          <w:marTop w:val="0"/>
          <w:marBottom w:val="0"/>
          <w:divBdr>
            <w:top w:val="none" w:sz="0" w:space="0" w:color="auto"/>
            <w:left w:val="none" w:sz="0" w:space="0" w:color="auto"/>
            <w:bottom w:val="none" w:sz="0" w:space="0" w:color="auto"/>
            <w:right w:val="none" w:sz="0" w:space="0" w:color="auto"/>
          </w:divBdr>
          <w:divsChild>
            <w:div w:id="785538236">
              <w:marLeft w:val="0"/>
              <w:marRight w:val="0"/>
              <w:marTop w:val="0"/>
              <w:marBottom w:val="0"/>
              <w:divBdr>
                <w:top w:val="none" w:sz="0" w:space="0" w:color="auto"/>
                <w:left w:val="none" w:sz="0" w:space="0" w:color="auto"/>
                <w:bottom w:val="none" w:sz="0" w:space="0" w:color="auto"/>
                <w:right w:val="none" w:sz="0" w:space="0" w:color="auto"/>
              </w:divBdr>
              <w:divsChild>
                <w:div w:id="534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299">
      <w:bodyDiv w:val="1"/>
      <w:marLeft w:val="0"/>
      <w:marRight w:val="0"/>
      <w:marTop w:val="0"/>
      <w:marBottom w:val="0"/>
      <w:divBdr>
        <w:top w:val="none" w:sz="0" w:space="0" w:color="auto"/>
        <w:left w:val="none" w:sz="0" w:space="0" w:color="auto"/>
        <w:bottom w:val="none" w:sz="0" w:space="0" w:color="auto"/>
        <w:right w:val="none" w:sz="0" w:space="0" w:color="auto"/>
      </w:divBdr>
      <w:divsChild>
        <w:div w:id="44720745">
          <w:marLeft w:val="0"/>
          <w:marRight w:val="0"/>
          <w:marTop w:val="0"/>
          <w:marBottom w:val="0"/>
          <w:divBdr>
            <w:top w:val="none" w:sz="0" w:space="0" w:color="auto"/>
            <w:left w:val="none" w:sz="0" w:space="0" w:color="auto"/>
            <w:bottom w:val="none" w:sz="0" w:space="0" w:color="auto"/>
            <w:right w:val="none" w:sz="0" w:space="0" w:color="auto"/>
          </w:divBdr>
          <w:divsChild>
            <w:div w:id="1259557210">
              <w:marLeft w:val="0"/>
              <w:marRight w:val="0"/>
              <w:marTop w:val="0"/>
              <w:marBottom w:val="0"/>
              <w:divBdr>
                <w:top w:val="none" w:sz="0" w:space="0" w:color="auto"/>
                <w:left w:val="none" w:sz="0" w:space="0" w:color="auto"/>
                <w:bottom w:val="none" w:sz="0" w:space="0" w:color="auto"/>
                <w:right w:val="none" w:sz="0" w:space="0" w:color="auto"/>
              </w:divBdr>
              <w:divsChild>
                <w:div w:id="926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4022">
      <w:bodyDiv w:val="1"/>
      <w:marLeft w:val="0"/>
      <w:marRight w:val="0"/>
      <w:marTop w:val="0"/>
      <w:marBottom w:val="0"/>
      <w:divBdr>
        <w:top w:val="none" w:sz="0" w:space="0" w:color="auto"/>
        <w:left w:val="none" w:sz="0" w:space="0" w:color="auto"/>
        <w:bottom w:val="none" w:sz="0" w:space="0" w:color="auto"/>
        <w:right w:val="none" w:sz="0" w:space="0" w:color="auto"/>
      </w:divBdr>
      <w:divsChild>
        <w:div w:id="814178534">
          <w:marLeft w:val="0"/>
          <w:marRight w:val="0"/>
          <w:marTop w:val="0"/>
          <w:marBottom w:val="0"/>
          <w:divBdr>
            <w:top w:val="none" w:sz="0" w:space="0" w:color="auto"/>
            <w:left w:val="none" w:sz="0" w:space="0" w:color="auto"/>
            <w:bottom w:val="none" w:sz="0" w:space="0" w:color="auto"/>
            <w:right w:val="none" w:sz="0" w:space="0" w:color="auto"/>
          </w:divBdr>
          <w:divsChild>
            <w:div w:id="1941333097">
              <w:marLeft w:val="0"/>
              <w:marRight w:val="0"/>
              <w:marTop w:val="0"/>
              <w:marBottom w:val="0"/>
              <w:divBdr>
                <w:top w:val="none" w:sz="0" w:space="0" w:color="auto"/>
                <w:left w:val="none" w:sz="0" w:space="0" w:color="auto"/>
                <w:bottom w:val="none" w:sz="0" w:space="0" w:color="auto"/>
                <w:right w:val="none" w:sz="0" w:space="0" w:color="auto"/>
              </w:divBdr>
              <w:divsChild>
                <w:div w:id="628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7018">
      <w:bodyDiv w:val="1"/>
      <w:marLeft w:val="0"/>
      <w:marRight w:val="0"/>
      <w:marTop w:val="0"/>
      <w:marBottom w:val="0"/>
      <w:divBdr>
        <w:top w:val="none" w:sz="0" w:space="0" w:color="auto"/>
        <w:left w:val="none" w:sz="0" w:space="0" w:color="auto"/>
        <w:bottom w:val="none" w:sz="0" w:space="0" w:color="auto"/>
        <w:right w:val="none" w:sz="0" w:space="0" w:color="auto"/>
      </w:divBdr>
      <w:divsChild>
        <w:div w:id="26026680">
          <w:marLeft w:val="0"/>
          <w:marRight w:val="0"/>
          <w:marTop w:val="0"/>
          <w:marBottom w:val="0"/>
          <w:divBdr>
            <w:top w:val="none" w:sz="0" w:space="0" w:color="auto"/>
            <w:left w:val="none" w:sz="0" w:space="0" w:color="auto"/>
            <w:bottom w:val="none" w:sz="0" w:space="0" w:color="auto"/>
            <w:right w:val="none" w:sz="0" w:space="0" w:color="auto"/>
          </w:divBdr>
          <w:divsChild>
            <w:div w:id="1152991232">
              <w:marLeft w:val="0"/>
              <w:marRight w:val="0"/>
              <w:marTop w:val="0"/>
              <w:marBottom w:val="0"/>
              <w:divBdr>
                <w:top w:val="none" w:sz="0" w:space="0" w:color="auto"/>
                <w:left w:val="none" w:sz="0" w:space="0" w:color="auto"/>
                <w:bottom w:val="none" w:sz="0" w:space="0" w:color="auto"/>
                <w:right w:val="none" w:sz="0" w:space="0" w:color="auto"/>
              </w:divBdr>
              <w:divsChild>
                <w:div w:id="310450436">
                  <w:marLeft w:val="0"/>
                  <w:marRight w:val="0"/>
                  <w:marTop w:val="0"/>
                  <w:marBottom w:val="0"/>
                  <w:divBdr>
                    <w:top w:val="none" w:sz="0" w:space="0" w:color="auto"/>
                    <w:left w:val="none" w:sz="0" w:space="0" w:color="auto"/>
                    <w:bottom w:val="none" w:sz="0" w:space="0" w:color="auto"/>
                    <w:right w:val="none" w:sz="0" w:space="0" w:color="auto"/>
                  </w:divBdr>
                </w:div>
              </w:divsChild>
            </w:div>
            <w:div w:id="148638577">
              <w:marLeft w:val="0"/>
              <w:marRight w:val="0"/>
              <w:marTop w:val="0"/>
              <w:marBottom w:val="0"/>
              <w:divBdr>
                <w:top w:val="none" w:sz="0" w:space="0" w:color="auto"/>
                <w:left w:val="none" w:sz="0" w:space="0" w:color="auto"/>
                <w:bottom w:val="none" w:sz="0" w:space="0" w:color="auto"/>
                <w:right w:val="none" w:sz="0" w:space="0" w:color="auto"/>
              </w:divBdr>
              <w:divsChild>
                <w:div w:id="1751586780">
                  <w:marLeft w:val="0"/>
                  <w:marRight w:val="0"/>
                  <w:marTop w:val="0"/>
                  <w:marBottom w:val="0"/>
                  <w:divBdr>
                    <w:top w:val="none" w:sz="0" w:space="0" w:color="auto"/>
                    <w:left w:val="none" w:sz="0" w:space="0" w:color="auto"/>
                    <w:bottom w:val="none" w:sz="0" w:space="0" w:color="auto"/>
                    <w:right w:val="none" w:sz="0" w:space="0" w:color="auto"/>
                  </w:divBdr>
                </w:div>
                <w:div w:id="1467821228">
                  <w:marLeft w:val="0"/>
                  <w:marRight w:val="0"/>
                  <w:marTop w:val="0"/>
                  <w:marBottom w:val="0"/>
                  <w:divBdr>
                    <w:top w:val="none" w:sz="0" w:space="0" w:color="auto"/>
                    <w:left w:val="none" w:sz="0" w:space="0" w:color="auto"/>
                    <w:bottom w:val="none" w:sz="0" w:space="0" w:color="auto"/>
                    <w:right w:val="none" w:sz="0" w:space="0" w:color="auto"/>
                  </w:divBdr>
                </w:div>
                <w:div w:id="1506749108">
                  <w:marLeft w:val="0"/>
                  <w:marRight w:val="0"/>
                  <w:marTop w:val="0"/>
                  <w:marBottom w:val="0"/>
                  <w:divBdr>
                    <w:top w:val="none" w:sz="0" w:space="0" w:color="auto"/>
                    <w:left w:val="none" w:sz="0" w:space="0" w:color="auto"/>
                    <w:bottom w:val="none" w:sz="0" w:space="0" w:color="auto"/>
                    <w:right w:val="none" w:sz="0" w:space="0" w:color="auto"/>
                  </w:divBdr>
                </w:div>
                <w:div w:id="1245913082">
                  <w:marLeft w:val="0"/>
                  <w:marRight w:val="0"/>
                  <w:marTop w:val="0"/>
                  <w:marBottom w:val="0"/>
                  <w:divBdr>
                    <w:top w:val="none" w:sz="0" w:space="0" w:color="auto"/>
                    <w:left w:val="none" w:sz="0" w:space="0" w:color="auto"/>
                    <w:bottom w:val="none" w:sz="0" w:space="0" w:color="auto"/>
                    <w:right w:val="none" w:sz="0" w:space="0" w:color="auto"/>
                  </w:divBdr>
                </w:div>
                <w:div w:id="1285579720">
                  <w:marLeft w:val="0"/>
                  <w:marRight w:val="0"/>
                  <w:marTop w:val="0"/>
                  <w:marBottom w:val="0"/>
                  <w:divBdr>
                    <w:top w:val="none" w:sz="0" w:space="0" w:color="auto"/>
                    <w:left w:val="none" w:sz="0" w:space="0" w:color="auto"/>
                    <w:bottom w:val="none" w:sz="0" w:space="0" w:color="auto"/>
                    <w:right w:val="none" w:sz="0" w:space="0" w:color="auto"/>
                  </w:divBdr>
                </w:div>
                <w:div w:id="364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91036">
      <w:bodyDiv w:val="1"/>
      <w:marLeft w:val="0"/>
      <w:marRight w:val="0"/>
      <w:marTop w:val="0"/>
      <w:marBottom w:val="0"/>
      <w:divBdr>
        <w:top w:val="none" w:sz="0" w:space="0" w:color="auto"/>
        <w:left w:val="none" w:sz="0" w:space="0" w:color="auto"/>
        <w:bottom w:val="none" w:sz="0" w:space="0" w:color="auto"/>
        <w:right w:val="none" w:sz="0" w:space="0" w:color="auto"/>
      </w:divBdr>
      <w:divsChild>
        <w:div w:id="1538472757">
          <w:marLeft w:val="0"/>
          <w:marRight w:val="0"/>
          <w:marTop w:val="0"/>
          <w:marBottom w:val="0"/>
          <w:divBdr>
            <w:top w:val="none" w:sz="0" w:space="0" w:color="auto"/>
            <w:left w:val="none" w:sz="0" w:space="0" w:color="auto"/>
            <w:bottom w:val="none" w:sz="0" w:space="0" w:color="auto"/>
            <w:right w:val="none" w:sz="0" w:space="0" w:color="auto"/>
          </w:divBdr>
          <w:divsChild>
            <w:div w:id="1699887090">
              <w:marLeft w:val="0"/>
              <w:marRight w:val="0"/>
              <w:marTop w:val="0"/>
              <w:marBottom w:val="0"/>
              <w:divBdr>
                <w:top w:val="none" w:sz="0" w:space="0" w:color="auto"/>
                <w:left w:val="none" w:sz="0" w:space="0" w:color="auto"/>
                <w:bottom w:val="none" w:sz="0" w:space="0" w:color="auto"/>
                <w:right w:val="none" w:sz="0" w:space="0" w:color="auto"/>
              </w:divBdr>
              <w:divsChild>
                <w:div w:id="3534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5778">
      <w:bodyDiv w:val="1"/>
      <w:marLeft w:val="0"/>
      <w:marRight w:val="0"/>
      <w:marTop w:val="0"/>
      <w:marBottom w:val="0"/>
      <w:divBdr>
        <w:top w:val="none" w:sz="0" w:space="0" w:color="auto"/>
        <w:left w:val="none" w:sz="0" w:space="0" w:color="auto"/>
        <w:bottom w:val="none" w:sz="0" w:space="0" w:color="auto"/>
        <w:right w:val="none" w:sz="0" w:space="0" w:color="auto"/>
      </w:divBdr>
      <w:divsChild>
        <w:div w:id="808790672">
          <w:marLeft w:val="0"/>
          <w:marRight w:val="0"/>
          <w:marTop w:val="0"/>
          <w:marBottom w:val="0"/>
          <w:divBdr>
            <w:top w:val="none" w:sz="0" w:space="0" w:color="auto"/>
            <w:left w:val="none" w:sz="0" w:space="0" w:color="auto"/>
            <w:bottom w:val="none" w:sz="0" w:space="0" w:color="auto"/>
            <w:right w:val="none" w:sz="0" w:space="0" w:color="auto"/>
          </w:divBdr>
          <w:divsChild>
            <w:div w:id="1599945466">
              <w:marLeft w:val="0"/>
              <w:marRight w:val="0"/>
              <w:marTop w:val="0"/>
              <w:marBottom w:val="0"/>
              <w:divBdr>
                <w:top w:val="none" w:sz="0" w:space="0" w:color="auto"/>
                <w:left w:val="none" w:sz="0" w:space="0" w:color="auto"/>
                <w:bottom w:val="none" w:sz="0" w:space="0" w:color="auto"/>
                <w:right w:val="none" w:sz="0" w:space="0" w:color="auto"/>
              </w:divBdr>
              <w:divsChild>
                <w:div w:id="13840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168">
      <w:bodyDiv w:val="1"/>
      <w:marLeft w:val="0"/>
      <w:marRight w:val="0"/>
      <w:marTop w:val="0"/>
      <w:marBottom w:val="0"/>
      <w:divBdr>
        <w:top w:val="none" w:sz="0" w:space="0" w:color="auto"/>
        <w:left w:val="none" w:sz="0" w:space="0" w:color="auto"/>
        <w:bottom w:val="none" w:sz="0" w:space="0" w:color="auto"/>
        <w:right w:val="none" w:sz="0" w:space="0" w:color="auto"/>
      </w:divBdr>
      <w:divsChild>
        <w:div w:id="99186416">
          <w:marLeft w:val="0"/>
          <w:marRight w:val="0"/>
          <w:marTop w:val="0"/>
          <w:marBottom w:val="0"/>
          <w:divBdr>
            <w:top w:val="none" w:sz="0" w:space="0" w:color="auto"/>
            <w:left w:val="none" w:sz="0" w:space="0" w:color="auto"/>
            <w:bottom w:val="none" w:sz="0" w:space="0" w:color="auto"/>
            <w:right w:val="none" w:sz="0" w:space="0" w:color="auto"/>
          </w:divBdr>
          <w:divsChild>
            <w:div w:id="1555653259">
              <w:marLeft w:val="0"/>
              <w:marRight w:val="0"/>
              <w:marTop w:val="0"/>
              <w:marBottom w:val="0"/>
              <w:divBdr>
                <w:top w:val="none" w:sz="0" w:space="0" w:color="auto"/>
                <w:left w:val="none" w:sz="0" w:space="0" w:color="auto"/>
                <w:bottom w:val="none" w:sz="0" w:space="0" w:color="auto"/>
                <w:right w:val="none" w:sz="0" w:space="0" w:color="auto"/>
              </w:divBdr>
              <w:divsChild>
                <w:div w:id="1839733357">
                  <w:marLeft w:val="0"/>
                  <w:marRight w:val="0"/>
                  <w:marTop w:val="0"/>
                  <w:marBottom w:val="0"/>
                  <w:divBdr>
                    <w:top w:val="none" w:sz="0" w:space="0" w:color="auto"/>
                    <w:left w:val="none" w:sz="0" w:space="0" w:color="auto"/>
                    <w:bottom w:val="none" w:sz="0" w:space="0" w:color="auto"/>
                    <w:right w:val="none" w:sz="0" w:space="0" w:color="auto"/>
                  </w:divBdr>
                  <w:divsChild>
                    <w:div w:id="2117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0525">
      <w:bodyDiv w:val="1"/>
      <w:marLeft w:val="0"/>
      <w:marRight w:val="0"/>
      <w:marTop w:val="0"/>
      <w:marBottom w:val="0"/>
      <w:divBdr>
        <w:top w:val="none" w:sz="0" w:space="0" w:color="auto"/>
        <w:left w:val="none" w:sz="0" w:space="0" w:color="auto"/>
        <w:bottom w:val="none" w:sz="0" w:space="0" w:color="auto"/>
        <w:right w:val="none" w:sz="0" w:space="0" w:color="auto"/>
      </w:divBdr>
      <w:divsChild>
        <w:div w:id="252322915">
          <w:marLeft w:val="0"/>
          <w:marRight w:val="0"/>
          <w:marTop w:val="0"/>
          <w:marBottom w:val="0"/>
          <w:divBdr>
            <w:top w:val="none" w:sz="0" w:space="0" w:color="auto"/>
            <w:left w:val="none" w:sz="0" w:space="0" w:color="auto"/>
            <w:bottom w:val="none" w:sz="0" w:space="0" w:color="auto"/>
            <w:right w:val="none" w:sz="0" w:space="0" w:color="auto"/>
          </w:divBdr>
          <w:divsChild>
            <w:div w:id="528035420">
              <w:marLeft w:val="0"/>
              <w:marRight w:val="0"/>
              <w:marTop w:val="0"/>
              <w:marBottom w:val="0"/>
              <w:divBdr>
                <w:top w:val="none" w:sz="0" w:space="0" w:color="auto"/>
                <w:left w:val="none" w:sz="0" w:space="0" w:color="auto"/>
                <w:bottom w:val="none" w:sz="0" w:space="0" w:color="auto"/>
                <w:right w:val="none" w:sz="0" w:space="0" w:color="auto"/>
              </w:divBdr>
              <w:divsChild>
                <w:div w:id="19315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Radiology Use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Radiology-Yes</c:v>
                </c:pt>
              </c:strCache>
            </c:strRef>
          </c:tx>
          <c:spPr>
            <a:solidFill>
              <a:schemeClr val="accent1"/>
            </a:solidFill>
            <a:ln>
              <a:noFill/>
            </a:ln>
            <a:effectLst/>
          </c:spPr>
          <c:invertIfNegative val="0"/>
          <c:cat>
            <c:strRef>
              <c:f>Sheet1!$A$2:$A$3</c:f>
              <c:strCache>
                <c:ptCount val="2"/>
                <c:pt idx="0">
                  <c:v>PT as PCP</c:v>
                </c:pt>
                <c:pt idx="1">
                  <c:v>FP as PCP</c:v>
                </c:pt>
              </c:strCache>
            </c:strRef>
          </c:cat>
          <c:val>
            <c:numRef>
              <c:f>Sheet1!$B$2:$B$3</c:f>
              <c:numCache>
                <c:formatCode>General</c:formatCode>
                <c:ptCount val="2"/>
                <c:pt idx="0">
                  <c:v>11.11</c:v>
                </c:pt>
                <c:pt idx="1">
                  <c:v>82.11</c:v>
                </c:pt>
              </c:numCache>
            </c:numRef>
          </c:val>
          <c:extLst>
            <c:ext xmlns:c16="http://schemas.microsoft.com/office/drawing/2014/chart" uri="{C3380CC4-5D6E-409C-BE32-E72D297353CC}">
              <c16:uniqueId val="{00000000-659F-5A49-95A5-A1AB92BC96B6}"/>
            </c:ext>
          </c:extLst>
        </c:ser>
        <c:ser>
          <c:idx val="1"/>
          <c:order val="1"/>
          <c:tx>
            <c:strRef>
              <c:f>Sheet1!$C$1</c:f>
              <c:strCache>
                <c:ptCount val="1"/>
                <c:pt idx="0">
                  <c:v>Radiology-No</c:v>
                </c:pt>
              </c:strCache>
            </c:strRef>
          </c:tx>
          <c:spPr>
            <a:solidFill>
              <a:schemeClr val="accent2"/>
            </a:solidFill>
            <a:ln>
              <a:noFill/>
            </a:ln>
            <a:effectLst/>
          </c:spPr>
          <c:invertIfNegative val="0"/>
          <c:cat>
            <c:strRef>
              <c:f>Sheet1!$A$2:$A$3</c:f>
              <c:strCache>
                <c:ptCount val="2"/>
                <c:pt idx="0">
                  <c:v>PT as PCP</c:v>
                </c:pt>
                <c:pt idx="1">
                  <c:v>FP as PCP</c:v>
                </c:pt>
              </c:strCache>
            </c:strRef>
          </c:cat>
          <c:val>
            <c:numRef>
              <c:f>Sheet1!$C$2:$C$3</c:f>
              <c:numCache>
                <c:formatCode>General</c:formatCode>
                <c:ptCount val="2"/>
                <c:pt idx="0">
                  <c:v>88.89</c:v>
                </c:pt>
                <c:pt idx="1">
                  <c:v>17.89</c:v>
                </c:pt>
              </c:numCache>
            </c:numRef>
          </c:val>
          <c:extLst>
            <c:ext xmlns:c16="http://schemas.microsoft.com/office/drawing/2014/chart" uri="{C3380CC4-5D6E-409C-BE32-E72D297353CC}">
              <c16:uniqueId val="{00000001-659F-5A49-95A5-A1AB92BC96B6}"/>
            </c:ext>
          </c:extLst>
        </c:ser>
        <c:dLbls>
          <c:showLegendKey val="0"/>
          <c:showVal val="0"/>
          <c:showCatName val="0"/>
          <c:showSerName val="0"/>
          <c:showPercent val="0"/>
          <c:showBubbleSize val="0"/>
        </c:dLbls>
        <c:gapWidth val="219"/>
        <c:overlap val="-27"/>
        <c:axId val="1964966447"/>
        <c:axId val="1964966831"/>
      </c:barChart>
      <c:catAx>
        <c:axId val="196496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966831"/>
        <c:crosses val="autoZero"/>
        <c:auto val="1"/>
        <c:lblAlgn val="ctr"/>
        <c:lblOffset val="100"/>
        <c:noMultiLvlLbl val="0"/>
      </c:catAx>
      <c:valAx>
        <c:axId val="1964966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966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Medication</a:t>
            </a:r>
            <a:r>
              <a:rPr lang="en-US" baseline="0"/>
              <a:t> Use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Medication-Yes</c:v>
                </c:pt>
              </c:strCache>
            </c:strRef>
          </c:tx>
          <c:spPr>
            <a:solidFill>
              <a:schemeClr val="accent1"/>
            </a:solidFill>
            <a:ln>
              <a:noFill/>
            </a:ln>
            <a:effectLst/>
          </c:spPr>
          <c:invertIfNegative val="0"/>
          <c:cat>
            <c:strRef>
              <c:f>Sheet1!$A$2:$A$3</c:f>
              <c:strCache>
                <c:ptCount val="2"/>
                <c:pt idx="0">
                  <c:v>PT as PCP</c:v>
                </c:pt>
                <c:pt idx="1">
                  <c:v>FP as PCP</c:v>
                </c:pt>
              </c:strCache>
            </c:strRef>
          </c:cat>
          <c:val>
            <c:numRef>
              <c:f>Sheet1!$B$2:$B$3</c:f>
              <c:numCache>
                <c:formatCode>General</c:formatCode>
                <c:ptCount val="2"/>
                <c:pt idx="0">
                  <c:v>24.07</c:v>
                </c:pt>
                <c:pt idx="1">
                  <c:v>90.53</c:v>
                </c:pt>
              </c:numCache>
            </c:numRef>
          </c:val>
          <c:extLst>
            <c:ext xmlns:c16="http://schemas.microsoft.com/office/drawing/2014/chart" uri="{C3380CC4-5D6E-409C-BE32-E72D297353CC}">
              <c16:uniqueId val="{00000000-018F-DF44-8CB4-7ED269C6F4A9}"/>
            </c:ext>
          </c:extLst>
        </c:ser>
        <c:ser>
          <c:idx val="1"/>
          <c:order val="1"/>
          <c:tx>
            <c:strRef>
              <c:f>Sheet1!$C$1</c:f>
              <c:strCache>
                <c:ptCount val="1"/>
                <c:pt idx="0">
                  <c:v>Medication-No</c:v>
                </c:pt>
              </c:strCache>
            </c:strRef>
          </c:tx>
          <c:spPr>
            <a:solidFill>
              <a:schemeClr val="accent2"/>
            </a:solidFill>
            <a:ln>
              <a:noFill/>
            </a:ln>
            <a:effectLst/>
          </c:spPr>
          <c:invertIfNegative val="0"/>
          <c:cat>
            <c:strRef>
              <c:f>Sheet1!$A$2:$A$3</c:f>
              <c:strCache>
                <c:ptCount val="2"/>
                <c:pt idx="0">
                  <c:v>PT as PCP</c:v>
                </c:pt>
                <c:pt idx="1">
                  <c:v>FP as PCP</c:v>
                </c:pt>
              </c:strCache>
            </c:strRef>
          </c:cat>
          <c:val>
            <c:numRef>
              <c:f>Sheet1!$C$2:$C$3</c:f>
              <c:numCache>
                <c:formatCode>General</c:formatCode>
                <c:ptCount val="2"/>
                <c:pt idx="0">
                  <c:v>76</c:v>
                </c:pt>
                <c:pt idx="1">
                  <c:v>9</c:v>
                </c:pt>
              </c:numCache>
            </c:numRef>
          </c:val>
          <c:extLst>
            <c:ext xmlns:c16="http://schemas.microsoft.com/office/drawing/2014/chart" uri="{C3380CC4-5D6E-409C-BE32-E72D297353CC}">
              <c16:uniqueId val="{00000001-018F-DF44-8CB4-7ED269C6F4A9}"/>
            </c:ext>
          </c:extLst>
        </c:ser>
        <c:dLbls>
          <c:showLegendKey val="0"/>
          <c:showVal val="0"/>
          <c:showCatName val="0"/>
          <c:showSerName val="0"/>
          <c:showPercent val="0"/>
          <c:showBubbleSize val="0"/>
        </c:dLbls>
        <c:gapWidth val="219"/>
        <c:overlap val="-27"/>
        <c:axId val="1936740415"/>
        <c:axId val="1936742047"/>
      </c:barChart>
      <c:catAx>
        <c:axId val="193674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742047"/>
        <c:crosses val="autoZero"/>
        <c:auto val="1"/>
        <c:lblAlgn val="ctr"/>
        <c:lblOffset val="100"/>
        <c:noMultiLvlLbl val="0"/>
      </c:catAx>
      <c:valAx>
        <c:axId val="19367420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74041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FB2F-5C7C-D140-89D7-3972749B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Rosenquest, Krista Marie</cp:lastModifiedBy>
  <cp:revision>2</cp:revision>
  <dcterms:created xsi:type="dcterms:W3CDTF">2020-12-02T16:50:00Z</dcterms:created>
  <dcterms:modified xsi:type="dcterms:W3CDTF">2020-12-02T16:50:00Z</dcterms:modified>
</cp:coreProperties>
</file>