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5C5BE742" w14:textId="77777777" w:rsidTr="002F16E1">
        <w:tc>
          <w:tcPr>
            <w:tcW w:w="10421" w:type="dxa"/>
            <w:shd w:val="clear" w:color="auto" w:fill="auto"/>
          </w:tcPr>
          <w:p w14:paraId="0299ABAE" w14:textId="59C3A7BD" w:rsidR="005263ED" w:rsidRPr="002F16E1" w:rsidRDefault="00196026" w:rsidP="002F16E1">
            <w:pPr>
              <w:jc w:val="center"/>
              <w:rPr>
                <w:b/>
                <w:sz w:val="18"/>
                <w:szCs w:val="18"/>
              </w:rPr>
            </w:pPr>
            <w:r w:rsidRPr="002F16E1">
              <w:rPr>
                <w:b/>
                <w:sz w:val="18"/>
                <w:szCs w:val="18"/>
              </w:rPr>
              <w:t>CRITICALLY APPRAISED TOPIC</w:t>
            </w:r>
          </w:p>
        </w:tc>
      </w:tr>
    </w:tbl>
    <w:p w14:paraId="4CC3BFE5"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2937C2" w:rsidRPr="002F16E1" w14:paraId="482F4498" w14:textId="77777777" w:rsidTr="002937C2">
        <w:tc>
          <w:tcPr>
            <w:tcW w:w="10421" w:type="dxa"/>
          </w:tcPr>
          <w:p w14:paraId="218EDB51" w14:textId="08EFDC32" w:rsidR="002937C2" w:rsidRPr="002F16E1" w:rsidRDefault="00E02DE1" w:rsidP="00A8554C">
            <w:pPr>
              <w:spacing w:before="120" w:after="120"/>
              <w:rPr>
                <w:sz w:val="16"/>
                <w:szCs w:val="16"/>
              </w:rPr>
            </w:pPr>
            <w:r>
              <w:rPr>
                <w:bCs/>
                <w:sz w:val="18"/>
                <w:szCs w:val="18"/>
              </w:rPr>
              <w:t>In a 60-year-old female patient suffering from frequent falls 1 year after stroke (P), is the Timed Up and Go test (TUG)(I) a more accurate predictor of falls (O) than other measures (C)?</w:t>
            </w:r>
          </w:p>
        </w:tc>
      </w:tr>
    </w:tbl>
    <w:p w14:paraId="58674A91" w14:textId="77777777" w:rsidR="00554FFC" w:rsidRDefault="00554FFC" w:rsidP="00077862">
      <w:pPr>
        <w:spacing w:before="120" w:after="120"/>
        <w:rPr>
          <w:b/>
          <w:sz w:val="18"/>
          <w:szCs w:val="18"/>
        </w:rPr>
      </w:pPr>
    </w:p>
    <w:p w14:paraId="0DA4843B"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65"/>
        <w:gridCol w:w="1094"/>
        <w:gridCol w:w="2556"/>
      </w:tblGrid>
      <w:tr w:rsidR="003A6741" w:rsidRPr="002F16E1" w14:paraId="18787117" w14:textId="77777777" w:rsidTr="002F16E1">
        <w:tc>
          <w:tcPr>
            <w:tcW w:w="1908" w:type="dxa"/>
            <w:shd w:val="clear" w:color="auto" w:fill="auto"/>
          </w:tcPr>
          <w:p w14:paraId="7B717FF4"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C46C081" w14:textId="67A159BB" w:rsidR="003A6741" w:rsidRPr="002F16E1" w:rsidRDefault="00ED4C91" w:rsidP="002F16E1">
            <w:pPr>
              <w:spacing w:before="120" w:after="120"/>
              <w:rPr>
                <w:sz w:val="18"/>
                <w:szCs w:val="18"/>
              </w:rPr>
            </w:pPr>
            <w:r>
              <w:rPr>
                <w:sz w:val="18"/>
                <w:szCs w:val="18"/>
              </w:rPr>
              <w:t xml:space="preserve">Kristen Fontela </w:t>
            </w:r>
          </w:p>
        </w:tc>
        <w:tc>
          <w:tcPr>
            <w:tcW w:w="1107" w:type="dxa"/>
            <w:shd w:val="clear" w:color="auto" w:fill="auto"/>
          </w:tcPr>
          <w:p w14:paraId="51540149"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EC220FE" w14:textId="0C45BD6F" w:rsidR="003A6741" w:rsidRPr="002F16E1" w:rsidRDefault="00216E5B" w:rsidP="002F16E1">
            <w:pPr>
              <w:spacing w:before="120" w:after="120"/>
              <w:rPr>
                <w:sz w:val="18"/>
                <w:szCs w:val="18"/>
              </w:rPr>
            </w:pPr>
            <w:r>
              <w:rPr>
                <w:sz w:val="18"/>
                <w:szCs w:val="18"/>
              </w:rPr>
              <w:t>December 4,</w:t>
            </w:r>
            <w:bookmarkStart w:id="0" w:name="_GoBack"/>
            <w:bookmarkEnd w:id="0"/>
            <w:r w:rsidR="00ED4C91">
              <w:rPr>
                <w:sz w:val="18"/>
                <w:szCs w:val="18"/>
              </w:rPr>
              <w:t xml:space="preserve"> 2019</w:t>
            </w:r>
          </w:p>
        </w:tc>
      </w:tr>
      <w:tr w:rsidR="008B031E" w:rsidRPr="002F16E1" w14:paraId="60C4F271" w14:textId="77777777" w:rsidTr="002F16E1">
        <w:tc>
          <w:tcPr>
            <w:tcW w:w="1908" w:type="dxa"/>
            <w:shd w:val="clear" w:color="auto" w:fill="auto"/>
          </w:tcPr>
          <w:p w14:paraId="5F973766"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7353F29" w14:textId="2935125C" w:rsidR="008B031E" w:rsidRPr="002F16E1" w:rsidRDefault="00ED4C91" w:rsidP="002F16E1">
            <w:pPr>
              <w:spacing w:before="120" w:after="120"/>
              <w:rPr>
                <w:sz w:val="18"/>
                <w:szCs w:val="18"/>
              </w:rPr>
            </w:pPr>
            <w:r>
              <w:rPr>
                <w:sz w:val="18"/>
                <w:szCs w:val="18"/>
              </w:rPr>
              <w:t>Kristen_fontela@med.unc.edu</w:t>
            </w:r>
          </w:p>
        </w:tc>
      </w:tr>
    </w:tbl>
    <w:p w14:paraId="7E95BE20" w14:textId="77777777" w:rsidR="00554FFC" w:rsidRDefault="00554FFC" w:rsidP="00A66A42">
      <w:pPr>
        <w:spacing w:before="120" w:after="120"/>
        <w:rPr>
          <w:b/>
          <w:sz w:val="18"/>
          <w:szCs w:val="18"/>
        </w:rPr>
      </w:pPr>
    </w:p>
    <w:p w14:paraId="51ABD31A" w14:textId="77777777" w:rsidR="00FE7D95" w:rsidRDefault="00A66A42" w:rsidP="00A66A42">
      <w:pPr>
        <w:spacing w:before="120" w:after="120"/>
        <w:rPr>
          <w:b/>
          <w:sz w:val="18"/>
          <w:szCs w:val="18"/>
        </w:rPr>
      </w:pPr>
      <w:r w:rsidRPr="009F6E87">
        <w:rPr>
          <w:b/>
          <w:sz w:val="18"/>
          <w:szCs w:val="18"/>
        </w:rPr>
        <w:t>CLINI</w:t>
      </w:r>
      <w:r w:rsidR="00E45289" w:rsidRPr="009F6E87">
        <w:rPr>
          <w:b/>
          <w:sz w:val="18"/>
          <w:szCs w:val="18"/>
        </w:rPr>
        <w:t>C</w:t>
      </w:r>
      <w:r w:rsidRPr="009F6E87">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6435360C" w14:textId="77777777" w:rsidTr="004D0877">
        <w:tc>
          <w:tcPr>
            <w:tcW w:w="10195" w:type="dxa"/>
            <w:shd w:val="clear" w:color="auto" w:fill="auto"/>
          </w:tcPr>
          <w:p w14:paraId="5332EADC" w14:textId="6B833E46" w:rsidR="008A69D4" w:rsidRPr="00E67659" w:rsidRDefault="00DC4861" w:rsidP="00E06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18"/>
                <w:szCs w:val="18"/>
                <w:lang w:val="en-US"/>
              </w:rPr>
            </w:pPr>
            <w:r w:rsidRPr="00E67659">
              <w:rPr>
                <w:rFonts w:eastAsiaTheme="minorHAnsi"/>
                <w:color w:val="000000" w:themeColor="text1"/>
                <w:sz w:val="18"/>
                <w:szCs w:val="18"/>
                <w:lang w:val="en-US"/>
              </w:rPr>
              <w:t>This clinical question is based on a 6</w:t>
            </w:r>
            <w:r w:rsidR="009D4E81" w:rsidRPr="00E67659">
              <w:rPr>
                <w:rFonts w:eastAsiaTheme="minorHAnsi"/>
                <w:color w:val="000000" w:themeColor="text1"/>
                <w:sz w:val="18"/>
                <w:szCs w:val="18"/>
                <w:lang w:val="en-US"/>
              </w:rPr>
              <w:t>0</w:t>
            </w:r>
            <w:r w:rsidRPr="00E67659">
              <w:rPr>
                <w:rFonts w:eastAsiaTheme="minorHAnsi"/>
                <w:color w:val="000000" w:themeColor="text1"/>
                <w:sz w:val="18"/>
                <w:szCs w:val="18"/>
                <w:lang w:val="en-US"/>
              </w:rPr>
              <w:t xml:space="preserve">-year-old </w:t>
            </w:r>
            <w:r w:rsidR="009D4E81" w:rsidRPr="00E67659">
              <w:rPr>
                <w:rFonts w:eastAsiaTheme="minorHAnsi"/>
                <w:color w:val="000000" w:themeColor="text1"/>
                <w:sz w:val="18"/>
                <w:szCs w:val="18"/>
                <w:lang w:val="en-US"/>
              </w:rPr>
              <w:t>female</w:t>
            </w:r>
            <w:r w:rsidRPr="00E67659">
              <w:rPr>
                <w:rFonts w:eastAsiaTheme="minorHAnsi"/>
                <w:color w:val="000000" w:themeColor="text1"/>
                <w:sz w:val="18"/>
                <w:szCs w:val="18"/>
                <w:lang w:val="en-US"/>
              </w:rPr>
              <w:t xml:space="preserve"> who suffered a stroke </w:t>
            </w:r>
            <w:r w:rsidR="009B3493" w:rsidRPr="00E67659">
              <w:rPr>
                <w:rFonts w:eastAsiaTheme="minorHAnsi"/>
                <w:color w:val="000000" w:themeColor="text1"/>
                <w:sz w:val="18"/>
                <w:szCs w:val="18"/>
                <w:lang w:val="en-US"/>
              </w:rPr>
              <w:t>13</w:t>
            </w:r>
            <w:r w:rsidRPr="00E67659">
              <w:rPr>
                <w:rFonts w:eastAsiaTheme="minorHAnsi"/>
                <w:color w:val="000000" w:themeColor="text1"/>
                <w:sz w:val="18"/>
                <w:szCs w:val="18"/>
                <w:lang w:val="en-US"/>
              </w:rPr>
              <w:t xml:space="preserve"> months ago. H</w:t>
            </w:r>
            <w:r w:rsidR="009D4E81" w:rsidRPr="00E67659">
              <w:rPr>
                <w:rFonts w:eastAsiaTheme="minorHAnsi"/>
                <w:color w:val="000000" w:themeColor="text1"/>
                <w:sz w:val="18"/>
                <w:szCs w:val="18"/>
                <w:lang w:val="en-US"/>
              </w:rPr>
              <w:t>er</w:t>
            </w:r>
            <w:r w:rsidR="000F172B" w:rsidRPr="00E67659">
              <w:rPr>
                <w:rFonts w:eastAsiaTheme="minorHAnsi"/>
                <w:color w:val="000000" w:themeColor="text1"/>
                <w:sz w:val="18"/>
                <w:szCs w:val="18"/>
                <w:lang w:val="en-US"/>
              </w:rPr>
              <w:t xml:space="preserve"> impairments include </w:t>
            </w:r>
            <w:r w:rsidR="009B3493" w:rsidRPr="00E67659">
              <w:rPr>
                <w:rFonts w:eastAsiaTheme="minorHAnsi"/>
                <w:color w:val="000000" w:themeColor="text1"/>
                <w:sz w:val="18"/>
                <w:szCs w:val="18"/>
                <w:lang w:val="en-US"/>
              </w:rPr>
              <w:t xml:space="preserve">right-sided paresis, decreased proprioception, and gait deficits, including decreased R step length, decreased R hip and knee extension during toe off and swing, and decreased gait speed. </w:t>
            </w:r>
            <w:r w:rsidR="009D4E81" w:rsidRPr="00E67659">
              <w:rPr>
                <w:rFonts w:eastAsiaTheme="minorHAnsi"/>
                <w:color w:val="000000" w:themeColor="text1"/>
                <w:sz w:val="18"/>
                <w:szCs w:val="18"/>
                <w:lang w:val="en-US"/>
              </w:rPr>
              <w:t>She</w:t>
            </w:r>
            <w:r w:rsidR="009B3493" w:rsidRPr="00E67659">
              <w:rPr>
                <w:rFonts w:eastAsiaTheme="minorHAnsi"/>
                <w:color w:val="000000" w:themeColor="text1"/>
                <w:sz w:val="18"/>
                <w:szCs w:val="18"/>
                <w:lang w:val="en-US"/>
              </w:rPr>
              <w:t xml:space="preserve"> would benefit from balance and gait measures to determine primary areas for interventions and improvements. </w:t>
            </w:r>
            <w:r w:rsidRPr="00E67659">
              <w:rPr>
                <w:rFonts w:eastAsiaTheme="minorHAnsi"/>
                <w:color w:val="000000" w:themeColor="text1"/>
                <w:sz w:val="18"/>
                <w:szCs w:val="18"/>
                <w:lang w:val="en-US"/>
              </w:rPr>
              <w:t xml:space="preserve"> </w:t>
            </w:r>
            <w:r w:rsidR="00177571" w:rsidRPr="00E67659">
              <w:rPr>
                <w:rFonts w:eastAsiaTheme="minorHAnsi"/>
                <w:color w:val="000000" w:themeColor="text1"/>
                <w:sz w:val="18"/>
                <w:szCs w:val="18"/>
                <w:lang w:val="en-US"/>
              </w:rPr>
              <w:t xml:space="preserve">Individuals who experience a stroke face many </w:t>
            </w:r>
            <w:r w:rsidR="00783DD0" w:rsidRPr="00E67659">
              <w:rPr>
                <w:rFonts w:eastAsiaTheme="minorHAnsi"/>
                <w:color w:val="000000" w:themeColor="text1"/>
                <w:sz w:val="18"/>
                <w:szCs w:val="18"/>
                <w:lang w:val="en-US"/>
              </w:rPr>
              <w:t xml:space="preserve">challenges, including </w:t>
            </w:r>
            <w:r w:rsidR="00177571" w:rsidRPr="00E67659">
              <w:rPr>
                <w:rFonts w:eastAsiaTheme="minorHAnsi"/>
                <w:color w:val="000000" w:themeColor="text1"/>
                <w:sz w:val="18"/>
                <w:szCs w:val="18"/>
                <w:lang w:val="en-US"/>
              </w:rPr>
              <w:t>motor and functional impairments</w:t>
            </w:r>
            <w:r w:rsidR="00894177" w:rsidRPr="00E67659">
              <w:rPr>
                <w:rFonts w:eastAsiaTheme="minorHAnsi"/>
                <w:color w:val="000000" w:themeColor="text1"/>
                <w:sz w:val="18"/>
                <w:szCs w:val="18"/>
                <w:lang w:val="en-US"/>
              </w:rPr>
              <w:t>.</w:t>
            </w:r>
            <w:r w:rsidR="00894177" w:rsidRPr="00E67659">
              <w:rPr>
                <w:rFonts w:eastAsiaTheme="minorHAnsi"/>
                <w:color w:val="000000" w:themeColor="text1"/>
                <w:sz w:val="18"/>
                <w:szCs w:val="18"/>
                <w:vertAlign w:val="superscript"/>
                <w:lang w:val="en-US"/>
              </w:rPr>
              <w:t>1,2</w:t>
            </w:r>
            <w:r w:rsidR="00894177" w:rsidRPr="00E67659">
              <w:rPr>
                <w:rFonts w:eastAsiaTheme="minorHAnsi"/>
                <w:color w:val="000000" w:themeColor="text1"/>
                <w:sz w:val="18"/>
                <w:szCs w:val="18"/>
                <w:lang w:val="en-US"/>
              </w:rPr>
              <w:t xml:space="preserve"> These impairments put stroke survivors at a much higher risk for falls than the general population.</w:t>
            </w:r>
            <w:r w:rsidR="00894177" w:rsidRPr="00E67659">
              <w:rPr>
                <w:rFonts w:eastAsiaTheme="minorHAnsi"/>
                <w:color w:val="000000" w:themeColor="text1"/>
                <w:sz w:val="18"/>
                <w:szCs w:val="18"/>
                <w:vertAlign w:val="superscript"/>
                <w:lang w:val="en-US"/>
              </w:rPr>
              <w:t>1,2,3</w:t>
            </w:r>
            <w:r w:rsidR="00894177" w:rsidRPr="00E67659">
              <w:rPr>
                <w:rFonts w:eastAsiaTheme="minorHAnsi"/>
                <w:color w:val="000000" w:themeColor="text1"/>
                <w:sz w:val="18"/>
                <w:szCs w:val="18"/>
                <w:lang w:val="en-US"/>
              </w:rPr>
              <w:t xml:space="preserve"> Fall prevalence has been shown to be as high as 73% in stroke survivors in the first 6 months post-stroke, and is double the prevalence for health</w:t>
            </w:r>
            <w:r w:rsidR="009B3493" w:rsidRPr="00E67659">
              <w:rPr>
                <w:rFonts w:eastAsiaTheme="minorHAnsi"/>
                <w:color w:val="000000" w:themeColor="text1"/>
                <w:sz w:val="18"/>
                <w:szCs w:val="18"/>
                <w:lang w:val="en-US"/>
              </w:rPr>
              <w:t>y</w:t>
            </w:r>
            <w:r w:rsidR="00894177" w:rsidRPr="00E67659">
              <w:rPr>
                <w:rFonts w:eastAsiaTheme="minorHAnsi"/>
                <w:color w:val="000000" w:themeColor="text1"/>
                <w:sz w:val="18"/>
                <w:szCs w:val="18"/>
                <w:lang w:val="en-US"/>
              </w:rPr>
              <w:t xml:space="preserve"> controls.</w:t>
            </w:r>
            <w:r w:rsidR="00894177" w:rsidRPr="00E67659">
              <w:rPr>
                <w:rFonts w:eastAsiaTheme="minorHAnsi"/>
                <w:color w:val="000000" w:themeColor="text1"/>
                <w:sz w:val="18"/>
                <w:szCs w:val="18"/>
                <w:vertAlign w:val="superscript"/>
                <w:lang w:val="en-US"/>
              </w:rPr>
              <w:t>2,3</w:t>
            </w:r>
            <w:r w:rsidR="00894177" w:rsidRPr="00E67659">
              <w:rPr>
                <w:rFonts w:eastAsiaTheme="minorHAnsi"/>
                <w:color w:val="000000" w:themeColor="text1"/>
                <w:sz w:val="18"/>
                <w:szCs w:val="18"/>
                <w:lang w:val="en-US"/>
              </w:rPr>
              <w:t xml:space="preserve"> </w:t>
            </w:r>
            <w:r w:rsidR="00CC3631" w:rsidRPr="00E67659">
              <w:rPr>
                <w:rFonts w:eastAsiaTheme="minorHAnsi"/>
                <w:color w:val="000000" w:themeColor="text1"/>
                <w:sz w:val="18"/>
                <w:szCs w:val="18"/>
                <w:lang w:val="en-US"/>
              </w:rPr>
              <w:t xml:space="preserve">There are several post-stroke risk factors for falls, which lead to reduced </w:t>
            </w:r>
            <w:r w:rsidR="002C1479" w:rsidRPr="00E67659">
              <w:rPr>
                <w:rFonts w:eastAsiaTheme="minorHAnsi"/>
                <w:color w:val="000000" w:themeColor="text1"/>
                <w:sz w:val="18"/>
                <w:szCs w:val="18"/>
                <w:lang w:val="en-US"/>
              </w:rPr>
              <w:t>confidence in gait and balance and fear falling.</w:t>
            </w:r>
            <w:r w:rsidR="002C1479" w:rsidRPr="00E67659">
              <w:rPr>
                <w:rFonts w:eastAsiaTheme="minorHAnsi"/>
                <w:color w:val="000000" w:themeColor="text1"/>
                <w:sz w:val="18"/>
                <w:szCs w:val="18"/>
                <w:vertAlign w:val="superscript"/>
                <w:lang w:val="en-US"/>
              </w:rPr>
              <w:t>1</w:t>
            </w:r>
            <w:r w:rsidR="002C1479" w:rsidRPr="00E67659">
              <w:rPr>
                <w:rFonts w:eastAsiaTheme="minorHAnsi"/>
                <w:color w:val="000000" w:themeColor="text1"/>
                <w:sz w:val="18"/>
                <w:szCs w:val="18"/>
                <w:lang w:val="en-US"/>
              </w:rPr>
              <w:t xml:space="preserve"> </w:t>
            </w:r>
            <w:r w:rsidR="00814136" w:rsidRPr="00E67659">
              <w:rPr>
                <w:rFonts w:eastAsiaTheme="minorHAnsi"/>
                <w:color w:val="000000" w:themeColor="text1"/>
                <w:sz w:val="18"/>
                <w:szCs w:val="18"/>
                <w:lang w:val="en-US"/>
              </w:rPr>
              <w:t>Advanced age, history of falls, use of assistive device, and polypharmacy are common risk factors</w:t>
            </w:r>
            <w:r w:rsidR="009B3493" w:rsidRPr="00E67659">
              <w:rPr>
                <w:rFonts w:eastAsiaTheme="minorHAnsi"/>
                <w:color w:val="000000" w:themeColor="text1"/>
                <w:sz w:val="18"/>
                <w:szCs w:val="18"/>
                <w:lang w:val="en-US"/>
              </w:rPr>
              <w:t xml:space="preserve"> for falls</w:t>
            </w:r>
            <w:r w:rsidR="00814136" w:rsidRPr="00E67659">
              <w:rPr>
                <w:rFonts w:eastAsiaTheme="minorHAnsi"/>
                <w:color w:val="000000" w:themeColor="text1"/>
                <w:sz w:val="18"/>
                <w:szCs w:val="18"/>
                <w:lang w:val="en-US"/>
              </w:rPr>
              <w:t xml:space="preserve"> in the general population of older adults.</w:t>
            </w:r>
            <w:r w:rsidR="00814136" w:rsidRPr="00E67659">
              <w:rPr>
                <w:rFonts w:eastAsiaTheme="minorHAnsi"/>
                <w:color w:val="000000" w:themeColor="text1"/>
                <w:sz w:val="18"/>
                <w:szCs w:val="18"/>
                <w:vertAlign w:val="superscript"/>
                <w:lang w:val="en-US"/>
              </w:rPr>
              <w:t>1,3</w:t>
            </w:r>
            <w:r w:rsidR="00814136" w:rsidRPr="00E67659">
              <w:rPr>
                <w:rFonts w:eastAsiaTheme="minorHAnsi"/>
                <w:color w:val="000000" w:themeColor="text1"/>
                <w:sz w:val="18"/>
                <w:szCs w:val="18"/>
                <w:lang w:val="en-US"/>
              </w:rPr>
              <w:t xml:space="preserve"> </w:t>
            </w:r>
            <w:r w:rsidR="000D74CA" w:rsidRPr="00E67659">
              <w:rPr>
                <w:rFonts w:eastAsiaTheme="minorHAnsi"/>
                <w:color w:val="000000" w:themeColor="text1"/>
                <w:sz w:val="18"/>
                <w:szCs w:val="18"/>
                <w:lang w:val="en-US"/>
              </w:rPr>
              <w:t xml:space="preserve">While stroke survivors are challenged with some of the same fall risks, </w:t>
            </w:r>
            <w:r w:rsidR="00371851" w:rsidRPr="00E67659">
              <w:rPr>
                <w:rFonts w:eastAsiaTheme="minorHAnsi"/>
                <w:color w:val="000000" w:themeColor="text1"/>
                <w:sz w:val="18"/>
                <w:szCs w:val="18"/>
                <w:lang w:val="en-US"/>
              </w:rPr>
              <w:t xml:space="preserve">research indicates </w:t>
            </w:r>
            <w:r w:rsidR="00963D18" w:rsidRPr="00E67659">
              <w:rPr>
                <w:rFonts w:eastAsiaTheme="minorHAnsi"/>
                <w:color w:val="000000" w:themeColor="text1"/>
                <w:sz w:val="18"/>
                <w:szCs w:val="18"/>
                <w:lang w:val="en-US"/>
              </w:rPr>
              <w:t xml:space="preserve">a variety of </w:t>
            </w:r>
            <w:r w:rsidR="00F01308" w:rsidRPr="00E67659">
              <w:rPr>
                <w:rFonts w:eastAsiaTheme="minorHAnsi"/>
                <w:color w:val="000000" w:themeColor="text1"/>
                <w:sz w:val="18"/>
                <w:szCs w:val="18"/>
                <w:lang w:val="en-US"/>
              </w:rPr>
              <w:t xml:space="preserve">additional </w:t>
            </w:r>
            <w:r w:rsidR="00963D18" w:rsidRPr="00E67659">
              <w:rPr>
                <w:rFonts w:eastAsiaTheme="minorHAnsi"/>
                <w:color w:val="000000" w:themeColor="text1"/>
                <w:sz w:val="18"/>
                <w:szCs w:val="18"/>
                <w:lang w:val="en-US"/>
              </w:rPr>
              <w:t>fall risk factors</w:t>
            </w:r>
            <w:r w:rsidR="00DD3145" w:rsidRPr="00E67659">
              <w:rPr>
                <w:rFonts w:eastAsiaTheme="minorHAnsi"/>
                <w:color w:val="000000" w:themeColor="text1"/>
                <w:sz w:val="18"/>
                <w:szCs w:val="18"/>
                <w:lang w:val="en-US"/>
              </w:rPr>
              <w:t xml:space="preserve"> including </w:t>
            </w:r>
            <w:r w:rsidR="005376D0" w:rsidRPr="00E67659">
              <w:rPr>
                <w:rFonts w:eastAsiaTheme="minorHAnsi"/>
                <w:color w:val="000000" w:themeColor="text1"/>
                <w:sz w:val="18"/>
                <w:szCs w:val="18"/>
                <w:lang w:val="en-US"/>
              </w:rPr>
              <w:t xml:space="preserve">gait speed, scores on various outcome measures, </w:t>
            </w:r>
            <w:r w:rsidR="0084192D" w:rsidRPr="00E67659">
              <w:rPr>
                <w:rFonts w:eastAsiaTheme="minorHAnsi"/>
                <w:color w:val="000000" w:themeColor="text1"/>
                <w:sz w:val="18"/>
                <w:szCs w:val="18"/>
                <w:lang w:val="en-US"/>
              </w:rPr>
              <w:t xml:space="preserve">time since stroke, </w:t>
            </w:r>
            <w:r w:rsidR="00BE3D3A" w:rsidRPr="00E67659">
              <w:rPr>
                <w:rFonts w:eastAsiaTheme="minorHAnsi"/>
                <w:color w:val="000000" w:themeColor="text1"/>
                <w:sz w:val="18"/>
                <w:szCs w:val="18"/>
                <w:lang w:val="en-US"/>
              </w:rPr>
              <w:t>and step variability, to name a few.</w:t>
            </w:r>
            <w:r w:rsidR="00BE3D3A" w:rsidRPr="00E67659">
              <w:rPr>
                <w:rFonts w:eastAsiaTheme="minorHAnsi"/>
                <w:color w:val="000000" w:themeColor="text1"/>
                <w:sz w:val="18"/>
                <w:szCs w:val="18"/>
                <w:vertAlign w:val="superscript"/>
                <w:lang w:val="en-US"/>
              </w:rPr>
              <w:t>1,3</w:t>
            </w:r>
            <w:r w:rsidR="00BE3D3A" w:rsidRPr="00E67659">
              <w:rPr>
                <w:rFonts w:eastAsiaTheme="minorHAnsi"/>
                <w:color w:val="000000" w:themeColor="text1"/>
                <w:sz w:val="18"/>
                <w:szCs w:val="18"/>
                <w:lang w:val="en-US"/>
              </w:rPr>
              <w:t xml:space="preserve"> </w:t>
            </w:r>
            <w:r w:rsidR="003C46D9" w:rsidRPr="00E67659">
              <w:rPr>
                <w:rFonts w:eastAsiaTheme="minorHAnsi"/>
                <w:color w:val="000000" w:themeColor="text1"/>
                <w:sz w:val="18"/>
                <w:szCs w:val="18"/>
                <w:lang w:val="en-US"/>
              </w:rPr>
              <w:t>Because</w:t>
            </w:r>
            <w:r w:rsidR="00DD681A" w:rsidRPr="00E67659">
              <w:rPr>
                <w:rFonts w:eastAsiaTheme="minorHAnsi"/>
                <w:color w:val="000000" w:themeColor="text1"/>
                <w:sz w:val="18"/>
                <w:szCs w:val="18"/>
                <w:lang w:val="en-US"/>
              </w:rPr>
              <w:t xml:space="preserve"> </w:t>
            </w:r>
            <w:r w:rsidR="003C46D9" w:rsidRPr="00E67659">
              <w:rPr>
                <w:rFonts w:eastAsiaTheme="minorHAnsi"/>
                <w:color w:val="000000" w:themeColor="text1"/>
                <w:sz w:val="18"/>
                <w:szCs w:val="18"/>
                <w:lang w:val="en-US"/>
              </w:rPr>
              <w:t>of the myriad of</w:t>
            </w:r>
            <w:r w:rsidR="00DD681A" w:rsidRPr="00E67659">
              <w:rPr>
                <w:rFonts w:eastAsiaTheme="minorHAnsi"/>
                <w:color w:val="000000" w:themeColor="text1"/>
                <w:sz w:val="18"/>
                <w:szCs w:val="18"/>
                <w:lang w:val="en-US"/>
              </w:rPr>
              <w:t xml:space="preserve"> gait and balance </w:t>
            </w:r>
            <w:r w:rsidR="003C46D9" w:rsidRPr="00E67659">
              <w:rPr>
                <w:rFonts w:eastAsiaTheme="minorHAnsi"/>
                <w:color w:val="000000" w:themeColor="text1"/>
                <w:sz w:val="18"/>
                <w:szCs w:val="18"/>
                <w:lang w:val="en-US"/>
              </w:rPr>
              <w:t>components associated</w:t>
            </w:r>
            <w:r w:rsidR="00DD681A" w:rsidRPr="00E67659">
              <w:rPr>
                <w:rFonts w:eastAsiaTheme="minorHAnsi"/>
                <w:color w:val="000000" w:themeColor="text1"/>
                <w:sz w:val="18"/>
                <w:szCs w:val="18"/>
                <w:lang w:val="en-US"/>
              </w:rPr>
              <w:t xml:space="preserve"> with falls</w:t>
            </w:r>
            <w:r w:rsidR="00023519" w:rsidRPr="00E67659">
              <w:rPr>
                <w:rFonts w:eastAsiaTheme="minorHAnsi"/>
                <w:color w:val="000000" w:themeColor="text1"/>
                <w:sz w:val="18"/>
                <w:szCs w:val="18"/>
                <w:lang w:val="en-US"/>
              </w:rPr>
              <w:t>,</w:t>
            </w:r>
            <w:r w:rsidR="00D70926" w:rsidRPr="00E67659">
              <w:rPr>
                <w:rFonts w:eastAsiaTheme="minorHAnsi"/>
                <w:color w:val="000000" w:themeColor="text1"/>
                <w:sz w:val="18"/>
                <w:szCs w:val="18"/>
                <w:vertAlign w:val="superscript"/>
                <w:lang w:val="en-US"/>
              </w:rPr>
              <w:t>3</w:t>
            </w:r>
            <w:r w:rsidR="00023519" w:rsidRPr="00E67659">
              <w:rPr>
                <w:rFonts w:eastAsiaTheme="minorHAnsi"/>
                <w:color w:val="000000" w:themeColor="text1"/>
                <w:sz w:val="18"/>
                <w:szCs w:val="18"/>
                <w:lang w:val="en-US"/>
              </w:rPr>
              <w:t xml:space="preserve"> </w:t>
            </w:r>
            <w:r w:rsidR="00623DE9" w:rsidRPr="00E67659">
              <w:rPr>
                <w:rFonts w:eastAsiaTheme="minorHAnsi"/>
                <w:color w:val="000000" w:themeColor="text1"/>
                <w:sz w:val="18"/>
                <w:szCs w:val="18"/>
                <w:lang w:val="en-US"/>
              </w:rPr>
              <w:t xml:space="preserve">it is difficult to determine a single measure that best predicts falls in post-stroke patients. </w:t>
            </w:r>
          </w:p>
          <w:p w14:paraId="5D200C6D" w14:textId="18BC72B4" w:rsidR="00E13C87" w:rsidRDefault="00E13C87" w:rsidP="00E06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8"/>
                <w:szCs w:val="18"/>
                <w:lang w:val="en-US"/>
              </w:rPr>
            </w:pPr>
          </w:p>
          <w:p w14:paraId="1089112D" w14:textId="45A01028" w:rsidR="003C729C" w:rsidRPr="00D51F7F" w:rsidRDefault="004A1B19" w:rsidP="00E06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8"/>
                <w:szCs w:val="18"/>
                <w:lang w:val="en-US"/>
              </w:rPr>
            </w:pPr>
            <w:r>
              <w:rPr>
                <w:rFonts w:eastAsiaTheme="minorHAnsi"/>
                <w:color w:val="000000"/>
                <w:sz w:val="18"/>
                <w:szCs w:val="18"/>
                <w:lang w:val="en-US"/>
              </w:rPr>
              <w:t xml:space="preserve">Several outcome measures attempt to </w:t>
            </w:r>
            <w:r w:rsidR="008F4E7C">
              <w:rPr>
                <w:rFonts w:eastAsiaTheme="minorHAnsi"/>
                <w:color w:val="000000"/>
                <w:sz w:val="18"/>
                <w:szCs w:val="18"/>
                <w:lang w:val="en-US"/>
              </w:rPr>
              <w:t>predict falls in patients a</w:t>
            </w:r>
            <w:r w:rsidR="00E167F0">
              <w:rPr>
                <w:rFonts w:eastAsiaTheme="minorHAnsi"/>
                <w:color w:val="000000"/>
                <w:sz w:val="18"/>
                <w:szCs w:val="18"/>
                <w:lang w:val="en-US"/>
              </w:rPr>
              <w:t>fter stroke</w:t>
            </w:r>
            <w:r w:rsidR="00141A25">
              <w:rPr>
                <w:rFonts w:eastAsiaTheme="minorHAnsi"/>
                <w:color w:val="000000"/>
                <w:sz w:val="18"/>
                <w:szCs w:val="18"/>
                <w:lang w:val="en-US"/>
              </w:rPr>
              <w:t xml:space="preserve"> including the Timed Up and Go test (TUG), the Berg Balance Scale (BBS), </w:t>
            </w:r>
            <w:r w:rsidR="001A72F4">
              <w:rPr>
                <w:rFonts w:eastAsiaTheme="minorHAnsi"/>
                <w:color w:val="000000"/>
                <w:sz w:val="18"/>
                <w:szCs w:val="18"/>
                <w:lang w:val="en-US"/>
              </w:rPr>
              <w:t>gait speed</w:t>
            </w:r>
            <w:r w:rsidR="00125D34">
              <w:rPr>
                <w:rFonts w:eastAsiaTheme="minorHAnsi"/>
                <w:color w:val="000000"/>
                <w:sz w:val="18"/>
                <w:szCs w:val="18"/>
                <w:lang w:val="en-US"/>
              </w:rPr>
              <w:t xml:space="preserve"> test</w:t>
            </w:r>
            <w:r w:rsidR="001A72F4">
              <w:rPr>
                <w:rFonts w:eastAsiaTheme="minorHAnsi"/>
                <w:color w:val="000000"/>
                <w:sz w:val="18"/>
                <w:szCs w:val="18"/>
                <w:lang w:val="en-US"/>
              </w:rPr>
              <w:t xml:space="preserve">, </w:t>
            </w:r>
            <w:r w:rsidR="00125D34">
              <w:rPr>
                <w:rFonts w:eastAsiaTheme="minorHAnsi"/>
                <w:color w:val="000000"/>
                <w:sz w:val="18"/>
                <w:szCs w:val="18"/>
                <w:lang w:val="en-US"/>
              </w:rPr>
              <w:t xml:space="preserve">and the </w:t>
            </w:r>
            <w:r w:rsidR="001A72F4">
              <w:rPr>
                <w:rFonts w:eastAsiaTheme="minorHAnsi"/>
                <w:color w:val="000000"/>
                <w:sz w:val="18"/>
                <w:szCs w:val="18"/>
                <w:lang w:val="en-US"/>
              </w:rPr>
              <w:t>6 Minute Walk Test (6MWT)</w:t>
            </w:r>
            <w:r w:rsidR="00125D34">
              <w:rPr>
                <w:rFonts w:eastAsiaTheme="minorHAnsi"/>
                <w:color w:val="000000"/>
                <w:sz w:val="18"/>
                <w:szCs w:val="18"/>
                <w:lang w:val="en-US"/>
              </w:rPr>
              <w:t>.</w:t>
            </w:r>
            <w:r w:rsidR="00AE6412">
              <w:rPr>
                <w:rFonts w:eastAsiaTheme="minorHAnsi"/>
                <w:color w:val="000000"/>
                <w:sz w:val="18"/>
                <w:szCs w:val="18"/>
                <w:vertAlign w:val="superscript"/>
                <w:lang w:val="en-US"/>
              </w:rPr>
              <w:t>1,2,3</w:t>
            </w:r>
            <w:r w:rsidR="0064140A">
              <w:rPr>
                <w:rFonts w:eastAsiaTheme="minorHAnsi"/>
                <w:color w:val="000000"/>
                <w:sz w:val="18"/>
                <w:szCs w:val="18"/>
                <w:lang w:val="en-US"/>
              </w:rPr>
              <w:t xml:space="preserve"> </w:t>
            </w:r>
            <w:r w:rsidR="00EF282B">
              <w:rPr>
                <w:rFonts w:eastAsiaTheme="minorHAnsi"/>
                <w:color w:val="000000"/>
                <w:sz w:val="18"/>
                <w:szCs w:val="18"/>
                <w:lang w:val="en-US"/>
              </w:rPr>
              <w:t>A systematic review found that components of mobility including gait speed, TUG scores, and BBS scores are the strongest predictors of falls post-stroke.</w:t>
            </w:r>
            <w:r w:rsidR="00EF282B">
              <w:rPr>
                <w:rFonts w:eastAsiaTheme="minorHAnsi"/>
                <w:color w:val="000000"/>
                <w:sz w:val="18"/>
                <w:szCs w:val="18"/>
                <w:vertAlign w:val="superscript"/>
                <w:lang w:val="en-US"/>
              </w:rPr>
              <w:t>3</w:t>
            </w:r>
            <w:r w:rsidR="00EF282B">
              <w:rPr>
                <w:rFonts w:eastAsiaTheme="minorHAnsi"/>
                <w:color w:val="000000"/>
                <w:sz w:val="18"/>
                <w:szCs w:val="18"/>
                <w:lang w:val="en-US"/>
              </w:rPr>
              <w:t xml:space="preserve"> However, other research indicates associations between TUG performance and scores on the Fast Gait Speed Test and 6MWT.</w:t>
            </w:r>
            <w:r w:rsidR="00EF282B">
              <w:rPr>
                <w:rFonts w:eastAsiaTheme="minorHAnsi"/>
                <w:color w:val="000000"/>
                <w:sz w:val="18"/>
                <w:szCs w:val="18"/>
                <w:vertAlign w:val="superscript"/>
                <w:lang w:val="en-US"/>
              </w:rPr>
              <w:t>2</w:t>
            </w:r>
            <w:r w:rsidR="00EF282B">
              <w:rPr>
                <w:rFonts w:eastAsiaTheme="minorHAnsi"/>
                <w:color w:val="000000"/>
                <w:sz w:val="18"/>
                <w:szCs w:val="18"/>
                <w:lang w:val="en-US"/>
              </w:rPr>
              <w:t xml:space="preserve"> </w:t>
            </w:r>
            <w:r w:rsidR="00C271C8">
              <w:rPr>
                <w:rFonts w:eastAsiaTheme="minorHAnsi"/>
                <w:color w:val="000000"/>
                <w:sz w:val="18"/>
                <w:szCs w:val="18"/>
                <w:lang w:val="en-US"/>
              </w:rPr>
              <w:t xml:space="preserve">In addition, while the BBS is commonly used to assess falls risk post-stroke, it may effectively predict falls only </w:t>
            </w:r>
            <w:r w:rsidR="00D51F7F">
              <w:rPr>
                <w:rFonts w:eastAsiaTheme="minorHAnsi"/>
                <w:color w:val="000000"/>
                <w:sz w:val="18"/>
                <w:szCs w:val="18"/>
                <w:lang w:val="en-US"/>
              </w:rPr>
              <w:t>when combined with other measures.</w:t>
            </w:r>
            <w:r w:rsidR="00D51F7F">
              <w:rPr>
                <w:rFonts w:eastAsiaTheme="minorHAnsi"/>
                <w:color w:val="000000"/>
                <w:sz w:val="18"/>
                <w:szCs w:val="18"/>
                <w:vertAlign w:val="superscript"/>
                <w:lang w:val="en-US"/>
              </w:rPr>
              <w:t>3</w:t>
            </w:r>
            <w:r w:rsidR="00D51F7F">
              <w:rPr>
                <w:rFonts w:eastAsiaTheme="minorHAnsi"/>
                <w:color w:val="000000"/>
                <w:sz w:val="18"/>
                <w:szCs w:val="18"/>
                <w:lang w:val="en-US"/>
              </w:rPr>
              <w:t xml:space="preserve"> </w:t>
            </w:r>
            <w:r w:rsidR="00F56023">
              <w:rPr>
                <w:rFonts w:eastAsiaTheme="minorHAnsi"/>
                <w:color w:val="000000"/>
                <w:sz w:val="18"/>
                <w:szCs w:val="18"/>
                <w:lang w:val="en-US"/>
              </w:rPr>
              <w:t>Despite this disagreement, dynamic balance measures have been found on multiple occasions to be better predictors of falls than static measures.</w:t>
            </w:r>
            <w:r w:rsidR="00F56023">
              <w:rPr>
                <w:rFonts w:eastAsiaTheme="minorHAnsi"/>
                <w:color w:val="000000"/>
                <w:sz w:val="18"/>
                <w:szCs w:val="18"/>
                <w:vertAlign w:val="superscript"/>
                <w:lang w:val="en-US"/>
              </w:rPr>
              <w:t>3</w:t>
            </w:r>
            <w:r w:rsidR="00F56023">
              <w:rPr>
                <w:rFonts w:eastAsiaTheme="minorHAnsi"/>
                <w:color w:val="000000"/>
                <w:sz w:val="18"/>
                <w:szCs w:val="18"/>
                <w:lang w:val="en-US"/>
              </w:rPr>
              <w:t xml:space="preserve"> </w:t>
            </w:r>
            <w:r w:rsidR="00F95105">
              <w:rPr>
                <w:rFonts w:eastAsiaTheme="minorHAnsi"/>
                <w:color w:val="000000"/>
                <w:sz w:val="18"/>
                <w:szCs w:val="18"/>
                <w:lang w:val="en-US"/>
              </w:rPr>
              <w:t xml:space="preserve">However, as of 2019, there was no </w:t>
            </w:r>
            <w:r w:rsidR="00F01308">
              <w:rPr>
                <w:rFonts w:eastAsiaTheme="minorHAnsi"/>
                <w:color w:val="000000"/>
                <w:sz w:val="18"/>
                <w:szCs w:val="18"/>
                <w:lang w:val="en-US"/>
              </w:rPr>
              <w:t>single</w:t>
            </w:r>
            <w:r w:rsidR="00F95105">
              <w:rPr>
                <w:rFonts w:eastAsiaTheme="minorHAnsi"/>
                <w:color w:val="000000"/>
                <w:sz w:val="18"/>
                <w:szCs w:val="18"/>
                <w:lang w:val="en-US"/>
              </w:rPr>
              <w:t xml:space="preserve"> balance measure deemed the best predictor of falls following strokes.</w:t>
            </w:r>
            <w:r w:rsidR="00F95105">
              <w:rPr>
                <w:rFonts w:eastAsiaTheme="minorHAnsi"/>
                <w:color w:val="000000"/>
                <w:sz w:val="18"/>
                <w:szCs w:val="18"/>
                <w:vertAlign w:val="superscript"/>
                <w:lang w:val="en-US"/>
              </w:rPr>
              <w:t>3</w:t>
            </w:r>
            <w:r w:rsidR="00F95105">
              <w:rPr>
                <w:rFonts w:eastAsiaTheme="minorHAnsi"/>
                <w:color w:val="000000"/>
                <w:sz w:val="18"/>
                <w:szCs w:val="18"/>
                <w:lang w:val="en-US"/>
              </w:rPr>
              <w:t xml:space="preserve"> </w:t>
            </w:r>
            <w:r w:rsidR="00F56023">
              <w:rPr>
                <w:rFonts w:eastAsiaTheme="minorHAnsi"/>
                <w:color w:val="000000"/>
                <w:sz w:val="18"/>
                <w:szCs w:val="18"/>
                <w:lang w:val="en-US"/>
              </w:rPr>
              <w:t xml:space="preserve"> </w:t>
            </w:r>
          </w:p>
          <w:p w14:paraId="75758494" w14:textId="5562F59F" w:rsidR="00177571" w:rsidRDefault="00177571" w:rsidP="00E06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8"/>
                <w:szCs w:val="18"/>
                <w:lang w:val="en-US"/>
              </w:rPr>
            </w:pPr>
          </w:p>
          <w:p w14:paraId="44434830" w14:textId="1763B37C" w:rsidR="00A66A42" w:rsidRPr="007072A3" w:rsidRDefault="00BB6FED" w:rsidP="009A67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8"/>
                <w:szCs w:val="18"/>
                <w:lang w:val="en-US"/>
              </w:rPr>
            </w:pPr>
            <w:r>
              <w:rPr>
                <w:rFonts w:eastAsiaTheme="minorHAnsi"/>
                <w:color w:val="000000"/>
                <w:sz w:val="18"/>
                <w:szCs w:val="18"/>
                <w:lang w:val="en-US"/>
              </w:rPr>
              <w:t xml:space="preserve">While several studies have found good clinimetric properties of the TUG in a stroke population, there is still </w:t>
            </w:r>
            <w:r w:rsidR="00F01308">
              <w:rPr>
                <w:rFonts w:eastAsiaTheme="minorHAnsi"/>
                <w:color w:val="000000"/>
                <w:sz w:val="18"/>
                <w:szCs w:val="18"/>
                <w:lang w:val="en-US"/>
              </w:rPr>
              <w:t>a deficiency in the literature</w:t>
            </w:r>
            <w:r>
              <w:rPr>
                <w:rFonts w:eastAsiaTheme="minorHAnsi"/>
                <w:color w:val="000000"/>
                <w:sz w:val="18"/>
                <w:szCs w:val="18"/>
                <w:lang w:val="en-US"/>
              </w:rPr>
              <w:t xml:space="preserve"> regarding its ability to predict falls.</w:t>
            </w:r>
            <w:r w:rsidR="001B3004">
              <w:rPr>
                <w:rFonts w:eastAsiaTheme="minorHAnsi"/>
                <w:color w:val="000000"/>
                <w:sz w:val="18"/>
                <w:szCs w:val="18"/>
                <w:vertAlign w:val="superscript"/>
                <w:lang w:val="en-US"/>
              </w:rPr>
              <w:t>1,2</w:t>
            </w:r>
            <w:r w:rsidR="00166AC5">
              <w:rPr>
                <w:rFonts w:eastAsiaTheme="minorHAnsi"/>
                <w:color w:val="000000"/>
                <w:sz w:val="18"/>
                <w:szCs w:val="18"/>
                <w:lang w:val="en-US"/>
              </w:rPr>
              <w:t xml:space="preserve"> </w:t>
            </w:r>
            <w:r w:rsidR="00B058E2">
              <w:rPr>
                <w:rFonts w:eastAsiaTheme="minorHAnsi"/>
                <w:color w:val="000000"/>
                <w:sz w:val="18"/>
                <w:szCs w:val="18"/>
                <w:lang w:val="en-US"/>
              </w:rPr>
              <w:t>One study found tha</w:t>
            </w:r>
            <w:r w:rsidR="003A4699">
              <w:rPr>
                <w:rFonts w:eastAsiaTheme="minorHAnsi"/>
                <w:color w:val="000000"/>
                <w:sz w:val="18"/>
                <w:szCs w:val="18"/>
                <w:lang w:val="en-US"/>
              </w:rPr>
              <w:t>t</w:t>
            </w:r>
            <w:r w:rsidR="00B058E2">
              <w:rPr>
                <w:rFonts w:eastAsiaTheme="minorHAnsi"/>
                <w:color w:val="000000"/>
                <w:sz w:val="18"/>
                <w:szCs w:val="18"/>
                <w:lang w:val="en-US"/>
              </w:rPr>
              <w:t xml:space="preserve"> the TUG was able to predict fall risk during the first year post-stroke if it was performed within 1 week of the stroke. However, another study’s results indicated that the TUG was unable to predict falls in the chronic phase after stroke.</w:t>
            </w:r>
            <w:r w:rsidR="00B058E2">
              <w:rPr>
                <w:rFonts w:eastAsiaTheme="minorHAnsi"/>
                <w:color w:val="000000"/>
                <w:sz w:val="18"/>
                <w:szCs w:val="18"/>
                <w:vertAlign w:val="superscript"/>
                <w:lang w:val="en-US"/>
              </w:rPr>
              <w:t>2,3</w:t>
            </w:r>
            <w:r w:rsidR="00B058E2">
              <w:rPr>
                <w:rFonts w:eastAsiaTheme="minorHAnsi"/>
                <w:color w:val="000000"/>
                <w:sz w:val="18"/>
                <w:szCs w:val="18"/>
                <w:lang w:val="en-US"/>
              </w:rPr>
              <w:t xml:space="preserve"> </w:t>
            </w:r>
            <w:r w:rsidR="009B6AFC">
              <w:rPr>
                <w:rFonts w:eastAsiaTheme="minorHAnsi"/>
                <w:color w:val="000000"/>
                <w:sz w:val="18"/>
                <w:szCs w:val="18"/>
                <w:lang w:val="en-US"/>
              </w:rPr>
              <w:t xml:space="preserve">There is inconclusive data regarding the appropriate cutoff score for the TUG </w:t>
            </w:r>
            <w:r w:rsidR="009B3493">
              <w:rPr>
                <w:rFonts w:eastAsiaTheme="minorHAnsi"/>
                <w:color w:val="000000"/>
                <w:sz w:val="18"/>
                <w:szCs w:val="18"/>
                <w:lang w:val="en-US"/>
              </w:rPr>
              <w:t>for</w:t>
            </w:r>
            <w:r w:rsidR="009B6AFC">
              <w:rPr>
                <w:rFonts w:eastAsiaTheme="minorHAnsi"/>
                <w:color w:val="000000"/>
                <w:sz w:val="18"/>
                <w:szCs w:val="18"/>
                <w:lang w:val="en-US"/>
              </w:rPr>
              <w:t xml:space="preserve"> falls prediction</w:t>
            </w:r>
            <w:r w:rsidR="00F01308">
              <w:rPr>
                <w:rFonts w:eastAsiaTheme="minorHAnsi"/>
                <w:color w:val="000000"/>
                <w:sz w:val="18"/>
                <w:szCs w:val="18"/>
                <w:lang w:val="en-US"/>
              </w:rPr>
              <w:t>.</w:t>
            </w:r>
            <w:r w:rsidR="00DB24CC">
              <w:rPr>
                <w:rFonts w:eastAsiaTheme="minorHAnsi"/>
                <w:color w:val="000000"/>
                <w:sz w:val="18"/>
                <w:szCs w:val="18"/>
                <w:vertAlign w:val="superscript"/>
                <w:lang w:val="en-US"/>
              </w:rPr>
              <w:t>2</w:t>
            </w:r>
            <w:r w:rsidR="00F01308">
              <w:rPr>
                <w:rFonts w:eastAsiaTheme="minorHAnsi"/>
                <w:color w:val="000000"/>
                <w:sz w:val="18"/>
                <w:szCs w:val="18"/>
                <w:vertAlign w:val="superscript"/>
                <w:lang w:val="en-US"/>
              </w:rPr>
              <w:t xml:space="preserve"> </w:t>
            </w:r>
            <w:r w:rsidR="00A81864">
              <w:rPr>
                <w:rFonts w:eastAsiaTheme="minorHAnsi"/>
                <w:color w:val="000000"/>
                <w:sz w:val="18"/>
                <w:szCs w:val="18"/>
                <w:lang w:val="en-US"/>
              </w:rPr>
              <w:t>While the BBS is commonly used to assess falls risk post-stroke, it requires much more time than the TUG to administer.</w:t>
            </w:r>
            <w:r w:rsidR="00A81864">
              <w:rPr>
                <w:rFonts w:eastAsiaTheme="minorHAnsi"/>
                <w:color w:val="000000"/>
                <w:sz w:val="18"/>
                <w:szCs w:val="18"/>
                <w:vertAlign w:val="superscript"/>
                <w:lang w:val="en-US"/>
              </w:rPr>
              <w:t>1</w:t>
            </w:r>
            <w:r w:rsidR="00A81864">
              <w:rPr>
                <w:rFonts w:eastAsiaTheme="minorHAnsi"/>
                <w:color w:val="000000"/>
                <w:sz w:val="18"/>
                <w:szCs w:val="18"/>
                <w:lang w:val="en-US"/>
              </w:rPr>
              <w:t xml:space="preserve"> Thus, the research is unclear regarding the ability of the TUG to predict falls in patients one-year post-stroke, especially compared to other balance and gait measures.</w:t>
            </w:r>
            <w:r w:rsidR="00E43B25">
              <w:rPr>
                <w:rFonts w:eastAsiaTheme="minorHAnsi"/>
                <w:color w:val="000000"/>
                <w:sz w:val="18"/>
                <w:szCs w:val="18"/>
                <w:lang w:val="en-US"/>
              </w:rPr>
              <w:t xml:space="preserve"> If researchers are able to determine which outcome measure is best for assessing mobility and balance after a stroke, it </w:t>
            </w:r>
            <w:r w:rsidR="00236785">
              <w:rPr>
                <w:rFonts w:eastAsiaTheme="minorHAnsi"/>
                <w:color w:val="000000"/>
                <w:sz w:val="18"/>
                <w:szCs w:val="18"/>
                <w:lang w:val="en-US"/>
              </w:rPr>
              <w:t xml:space="preserve">will help </w:t>
            </w:r>
            <w:r w:rsidR="002F5D94">
              <w:rPr>
                <w:rFonts w:eastAsiaTheme="minorHAnsi"/>
                <w:color w:val="000000"/>
                <w:sz w:val="18"/>
                <w:szCs w:val="18"/>
                <w:lang w:val="en-US"/>
              </w:rPr>
              <w:t>clinicians</w:t>
            </w:r>
            <w:r w:rsidR="00236785">
              <w:rPr>
                <w:rFonts w:eastAsiaTheme="minorHAnsi"/>
                <w:color w:val="000000"/>
                <w:sz w:val="18"/>
                <w:szCs w:val="18"/>
                <w:lang w:val="en-US"/>
              </w:rPr>
              <w:t xml:space="preserve"> </w:t>
            </w:r>
            <w:r w:rsidR="00311ECB">
              <w:rPr>
                <w:rFonts w:eastAsiaTheme="minorHAnsi"/>
                <w:color w:val="000000"/>
                <w:sz w:val="18"/>
                <w:szCs w:val="18"/>
                <w:lang w:val="en-US"/>
              </w:rPr>
              <w:t xml:space="preserve">anticipate </w:t>
            </w:r>
            <w:r w:rsidR="00F01308">
              <w:rPr>
                <w:rFonts w:eastAsiaTheme="minorHAnsi"/>
                <w:color w:val="000000"/>
                <w:sz w:val="18"/>
                <w:szCs w:val="18"/>
                <w:lang w:val="en-US"/>
              </w:rPr>
              <w:t xml:space="preserve">falls sooner </w:t>
            </w:r>
            <w:r w:rsidR="00D161BF">
              <w:rPr>
                <w:rFonts w:eastAsiaTheme="minorHAnsi"/>
                <w:color w:val="000000"/>
                <w:sz w:val="18"/>
                <w:szCs w:val="18"/>
                <w:lang w:val="en-US"/>
              </w:rPr>
              <w:t xml:space="preserve">and intervene </w:t>
            </w:r>
            <w:r w:rsidR="00F01308">
              <w:rPr>
                <w:rFonts w:eastAsiaTheme="minorHAnsi"/>
                <w:color w:val="000000"/>
                <w:sz w:val="18"/>
                <w:szCs w:val="18"/>
                <w:lang w:val="en-US"/>
              </w:rPr>
              <w:t>more efficiently</w:t>
            </w:r>
            <w:r w:rsidR="00311ECB">
              <w:rPr>
                <w:rFonts w:eastAsiaTheme="minorHAnsi"/>
                <w:color w:val="000000"/>
                <w:sz w:val="18"/>
                <w:szCs w:val="18"/>
                <w:lang w:val="en-US"/>
              </w:rPr>
              <w:t xml:space="preserve">. </w:t>
            </w:r>
            <w:r w:rsidR="00D161BF">
              <w:rPr>
                <w:rFonts w:eastAsiaTheme="minorHAnsi"/>
                <w:color w:val="000000"/>
                <w:sz w:val="18"/>
                <w:szCs w:val="18"/>
                <w:lang w:val="en-US"/>
              </w:rPr>
              <w:t xml:space="preserve">This could </w:t>
            </w:r>
            <w:r w:rsidR="00E43B25">
              <w:rPr>
                <w:rFonts w:eastAsiaTheme="minorHAnsi"/>
                <w:color w:val="000000"/>
                <w:sz w:val="18"/>
                <w:szCs w:val="18"/>
                <w:lang w:val="en-US"/>
              </w:rPr>
              <w:t>improve</w:t>
            </w:r>
            <w:r w:rsidR="00CB4043">
              <w:rPr>
                <w:rFonts w:eastAsiaTheme="minorHAnsi"/>
                <w:color w:val="000000"/>
                <w:sz w:val="18"/>
                <w:szCs w:val="18"/>
                <w:lang w:val="en-US"/>
              </w:rPr>
              <w:t xml:space="preserve"> development of</w:t>
            </w:r>
            <w:r w:rsidR="00E43B25">
              <w:rPr>
                <w:rFonts w:eastAsiaTheme="minorHAnsi"/>
                <w:color w:val="000000"/>
                <w:sz w:val="18"/>
                <w:szCs w:val="18"/>
                <w:lang w:val="en-US"/>
              </w:rPr>
              <w:t xml:space="preserve"> interventions for falls prevention </w:t>
            </w:r>
            <w:r w:rsidR="00D161BF">
              <w:rPr>
                <w:rFonts w:eastAsiaTheme="minorHAnsi"/>
                <w:color w:val="000000"/>
                <w:sz w:val="18"/>
                <w:szCs w:val="18"/>
                <w:lang w:val="en-US"/>
              </w:rPr>
              <w:t>post-strok</w:t>
            </w:r>
            <w:r w:rsidR="00B15403">
              <w:rPr>
                <w:rFonts w:eastAsiaTheme="minorHAnsi"/>
                <w:color w:val="000000"/>
                <w:sz w:val="18"/>
                <w:szCs w:val="18"/>
                <w:lang w:val="en-US"/>
              </w:rPr>
              <w:t>e</w:t>
            </w:r>
            <w:r w:rsidR="00E43B25">
              <w:rPr>
                <w:rFonts w:eastAsiaTheme="minorHAnsi"/>
                <w:color w:val="000000"/>
                <w:sz w:val="18"/>
                <w:szCs w:val="18"/>
                <w:vertAlign w:val="superscript"/>
                <w:lang w:val="en-US"/>
              </w:rPr>
              <w:t>1</w:t>
            </w:r>
            <w:r w:rsidR="00D161BF">
              <w:rPr>
                <w:rFonts w:eastAsiaTheme="minorHAnsi"/>
                <w:color w:val="000000"/>
                <w:sz w:val="18"/>
                <w:szCs w:val="18"/>
                <w:lang w:val="en-US"/>
              </w:rPr>
              <w:t xml:space="preserve"> and reduce the </w:t>
            </w:r>
            <w:r w:rsidR="00F20932">
              <w:rPr>
                <w:rFonts w:eastAsiaTheme="minorHAnsi"/>
                <w:color w:val="000000"/>
                <w:sz w:val="18"/>
                <w:szCs w:val="18"/>
                <w:lang w:val="en-US"/>
              </w:rPr>
              <w:t>physical and economic</w:t>
            </w:r>
            <w:r w:rsidR="00D161BF">
              <w:rPr>
                <w:rFonts w:eastAsiaTheme="minorHAnsi"/>
                <w:color w:val="000000"/>
                <w:sz w:val="18"/>
                <w:szCs w:val="18"/>
                <w:lang w:val="en-US"/>
              </w:rPr>
              <w:t xml:space="preserve"> </w:t>
            </w:r>
            <w:r w:rsidR="00DF5870">
              <w:rPr>
                <w:rFonts w:eastAsiaTheme="minorHAnsi"/>
                <w:color w:val="000000"/>
                <w:sz w:val="18"/>
                <w:szCs w:val="18"/>
                <w:lang w:val="en-US"/>
              </w:rPr>
              <w:t xml:space="preserve">burden </w:t>
            </w:r>
            <w:r w:rsidR="002F4E9C">
              <w:rPr>
                <w:rFonts w:eastAsiaTheme="minorHAnsi"/>
                <w:color w:val="000000"/>
                <w:sz w:val="18"/>
                <w:szCs w:val="18"/>
                <w:lang w:val="en-US"/>
              </w:rPr>
              <w:t>of falls</w:t>
            </w:r>
            <w:r w:rsidR="00F20932">
              <w:rPr>
                <w:rFonts w:eastAsiaTheme="minorHAnsi"/>
                <w:color w:val="000000"/>
                <w:sz w:val="18"/>
                <w:szCs w:val="18"/>
                <w:lang w:val="en-US"/>
              </w:rPr>
              <w:t xml:space="preserve"> in this populati</w:t>
            </w:r>
            <w:r w:rsidR="009B3493">
              <w:rPr>
                <w:rFonts w:eastAsiaTheme="minorHAnsi"/>
                <w:color w:val="000000"/>
                <w:sz w:val="18"/>
                <w:szCs w:val="18"/>
                <w:lang w:val="en-US"/>
              </w:rPr>
              <w:t>on and for individuals like the one who inspired this CAT.</w:t>
            </w:r>
            <w:r w:rsidR="00F20932">
              <w:rPr>
                <w:rFonts w:eastAsiaTheme="minorHAnsi"/>
                <w:color w:val="000000"/>
                <w:sz w:val="18"/>
                <w:szCs w:val="18"/>
                <w:lang w:val="en-US"/>
              </w:rPr>
              <w:t xml:space="preserve"> </w:t>
            </w:r>
          </w:p>
        </w:tc>
      </w:tr>
    </w:tbl>
    <w:p w14:paraId="686757AD" w14:textId="77777777" w:rsidR="00554FFC" w:rsidRDefault="00554FFC" w:rsidP="00A66A42">
      <w:pPr>
        <w:spacing w:before="120"/>
        <w:rPr>
          <w:b/>
          <w:sz w:val="18"/>
          <w:szCs w:val="18"/>
        </w:rPr>
      </w:pPr>
    </w:p>
    <w:p w14:paraId="5F9B8893" w14:textId="77777777" w:rsidR="00A66A42" w:rsidRPr="00A66A42" w:rsidRDefault="00A66A42" w:rsidP="00A66A42">
      <w:pPr>
        <w:spacing w:before="120"/>
        <w:rPr>
          <w:b/>
          <w:sz w:val="18"/>
          <w:szCs w:val="18"/>
        </w:rPr>
      </w:pPr>
      <w:r w:rsidRPr="001D32DE">
        <w:rPr>
          <w:b/>
          <w:sz w:val="18"/>
          <w:szCs w:val="18"/>
        </w:rPr>
        <w:t>SUMMARY OF SEARCH</w:t>
      </w:r>
    </w:p>
    <w:p w14:paraId="6CD34B7D"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78D4921C" w14:textId="77777777" w:rsidTr="002F16E1">
        <w:tc>
          <w:tcPr>
            <w:tcW w:w="10421" w:type="dxa"/>
            <w:shd w:val="clear" w:color="auto" w:fill="auto"/>
          </w:tcPr>
          <w:p w14:paraId="58E454E3" w14:textId="25A56D92" w:rsidR="00400D14" w:rsidRDefault="00CD0141" w:rsidP="003A5708">
            <w:pPr>
              <w:pStyle w:val="ListParagraph"/>
              <w:numPr>
                <w:ilvl w:val="0"/>
                <w:numId w:val="15"/>
              </w:numPr>
              <w:spacing w:before="120" w:after="120"/>
              <w:rPr>
                <w:sz w:val="18"/>
                <w:szCs w:val="18"/>
              </w:rPr>
            </w:pPr>
            <w:r>
              <w:rPr>
                <w:sz w:val="18"/>
                <w:szCs w:val="18"/>
              </w:rPr>
              <w:t>Several databases were searched, including PubMed, PEDro, Cochrane Library, and CINAHL regarding prediction of falls by balance-related outcome measures in individuals post-stroke.</w:t>
            </w:r>
          </w:p>
          <w:p w14:paraId="47DFC36D" w14:textId="02971172" w:rsidR="00CD0141" w:rsidRDefault="0091047F" w:rsidP="003A5708">
            <w:pPr>
              <w:pStyle w:val="ListParagraph"/>
              <w:numPr>
                <w:ilvl w:val="0"/>
                <w:numId w:val="15"/>
              </w:numPr>
              <w:spacing w:before="120" w:after="120"/>
              <w:rPr>
                <w:sz w:val="18"/>
                <w:szCs w:val="18"/>
              </w:rPr>
            </w:pPr>
            <w:r>
              <w:rPr>
                <w:sz w:val="18"/>
                <w:szCs w:val="18"/>
              </w:rPr>
              <w:t xml:space="preserve">Eight articles were found according to established inclusion/exclusion criteria </w:t>
            </w:r>
            <w:r w:rsidR="00041510">
              <w:rPr>
                <w:sz w:val="18"/>
                <w:szCs w:val="18"/>
              </w:rPr>
              <w:t xml:space="preserve">to include </w:t>
            </w:r>
            <w:r w:rsidR="00B8496C">
              <w:rPr>
                <w:sz w:val="18"/>
                <w:szCs w:val="18"/>
              </w:rPr>
              <w:t>6</w:t>
            </w:r>
            <w:r w:rsidR="00041510">
              <w:rPr>
                <w:sz w:val="18"/>
                <w:szCs w:val="18"/>
              </w:rPr>
              <w:t xml:space="preserve"> observational cross-sectional design studies, 1 systematic review, and </w:t>
            </w:r>
            <w:r w:rsidR="00523C56">
              <w:rPr>
                <w:sz w:val="18"/>
                <w:szCs w:val="18"/>
              </w:rPr>
              <w:t xml:space="preserve">1 prospective cohort study. </w:t>
            </w:r>
          </w:p>
          <w:p w14:paraId="78850087" w14:textId="7FA4F7E0" w:rsidR="00C92FC0" w:rsidRDefault="00C92FC0" w:rsidP="003A5708">
            <w:pPr>
              <w:pStyle w:val="ListParagraph"/>
              <w:numPr>
                <w:ilvl w:val="0"/>
                <w:numId w:val="15"/>
              </w:numPr>
              <w:spacing w:before="120" w:after="120"/>
              <w:rPr>
                <w:sz w:val="18"/>
                <w:szCs w:val="18"/>
              </w:rPr>
            </w:pPr>
            <w:r>
              <w:rPr>
                <w:sz w:val="18"/>
                <w:szCs w:val="18"/>
              </w:rPr>
              <w:t>The original PICO question compared predictive value of the TUG and ABC scales; however, none of these studies directly compared these measures</w:t>
            </w:r>
            <w:r w:rsidR="0070068D">
              <w:rPr>
                <w:sz w:val="18"/>
                <w:szCs w:val="18"/>
              </w:rPr>
              <w:t>’ abilities to predict falls</w:t>
            </w:r>
            <w:r>
              <w:rPr>
                <w:sz w:val="18"/>
                <w:szCs w:val="18"/>
              </w:rPr>
              <w:t xml:space="preserve">. Thus, the PICO question was changed to compare </w:t>
            </w:r>
            <w:r w:rsidR="00962674">
              <w:rPr>
                <w:sz w:val="18"/>
                <w:szCs w:val="18"/>
              </w:rPr>
              <w:t>the TUG’s predictive value to other measures.</w:t>
            </w:r>
          </w:p>
          <w:p w14:paraId="08432039" w14:textId="49026845" w:rsidR="00962674" w:rsidRDefault="00962674" w:rsidP="003A5708">
            <w:pPr>
              <w:pStyle w:val="ListParagraph"/>
              <w:numPr>
                <w:ilvl w:val="0"/>
                <w:numId w:val="15"/>
              </w:numPr>
              <w:spacing w:before="120" w:after="120"/>
              <w:rPr>
                <w:sz w:val="18"/>
                <w:szCs w:val="18"/>
              </w:rPr>
            </w:pPr>
            <w:r>
              <w:rPr>
                <w:sz w:val="18"/>
                <w:szCs w:val="18"/>
              </w:rPr>
              <w:t>The</w:t>
            </w:r>
            <w:r w:rsidR="008F72E2">
              <w:rPr>
                <w:sz w:val="18"/>
                <w:szCs w:val="18"/>
              </w:rPr>
              <w:t xml:space="preserve"> literature contained</w:t>
            </w:r>
            <w:r>
              <w:rPr>
                <w:sz w:val="18"/>
                <w:szCs w:val="18"/>
              </w:rPr>
              <w:t xml:space="preserve"> evidence to suggest the predictive strength of several balance measures</w:t>
            </w:r>
            <w:r w:rsidR="008F72E2">
              <w:rPr>
                <w:sz w:val="18"/>
                <w:szCs w:val="18"/>
              </w:rPr>
              <w:t xml:space="preserve"> in patients with stroke</w:t>
            </w:r>
            <w:r>
              <w:rPr>
                <w:sz w:val="18"/>
                <w:szCs w:val="18"/>
              </w:rPr>
              <w:t>,</w:t>
            </w:r>
            <w:r w:rsidR="00B47B22">
              <w:rPr>
                <w:sz w:val="18"/>
                <w:szCs w:val="18"/>
              </w:rPr>
              <w:t xml:space="preserve"> including the TUG, gait characteristics, Berg Balance Scale, </w:t>
            </w:r>
            <w:r w:rsidR="00DD408C">
              <w:rPr>
                <w:sz w:val="18"/>
                <w:szCs w:val="18"/>
              </w:rPr>
              <w:t xml:space="preserve">and </w:t>
            </w:r>
            <w:r w:rsidR="00B47B22">
              <w:rPr>
                <w:sz w:val="18"/>
                <w:szCs w:val="18"/>
              </w:rPr>
              <w:t>6 Minute Walk Test</w:t>
            </w:r>
            <w:r w:rsidR="008F72E2">
              <w:rPr>
                <w:sz w:val="18"/>
                <w:szCs w:val="18"/>
              </w:rPr>
              <w:t>.</w:t>
            </w:r>
          </w:p>
          <w:p w14:paraId="4A995EBF" w14:textId="6074379C" w:rsidR="00A66A42" w:rsidRPr="001D32DE" w:rsidRDefault="002133BB" w:rsidP="002F16E1">
            <w:pPr>
              <w:pStyle w:val="ListParagraph"/>
              <w:numPr>
                <w:ilvl w:val="0"/>
                <w:numId w:val="15"/>
              </w:numPr>
              <w:spacing w:before="120" w:after="120"/>
              <w:rPr>
                <w:sz w:val="18"/>
                <w:szCs w:val="18"/>
              </w:rPr>
            </w:pPr>
            <w:r>
              <w:rPr>
                <w:sz w:val="18"/>
                <w:szCs w:val="18"/>
              </w:rPr>
              <w:lastRenderedPageBreak/>
              <w:t xml:space="preserve">Overall, the literature does not designate a gold standard for assessing falls risk </w:t>
            </w:r>
            <w:r w:rsidR="003C10ED">
              <w:rPr>
                <w:sz w:val="18"/>
                <w:szCs w:val="18"/>
              </w:rPr>
              <w:t xml:space="preserve">in patients post-stroke. </w:t>
            </w:r>
          </w:p>
        </w:tc>
      </w:tr>
    </w:tbl>
    <w:p w14:paraId="0DF63C61" w14:textId="77777777" w:rsidR="00A66A42" w:rsidRPr="00637684" w:rsidRDefault="00637684" w:rsidP="00637684">
      <w:pPr>
        <w:spacing w:before="120" w:after="120"/>
        <w:rPr>
          <w:b/>
          <w:sz w:val="18"/>
          <w:szCs w:val="18"/>
        </w:rPr>
      </w:pPr>
      <w:r w:rsidRPr="00D5219B">
        <w:rPr>
          <w:b/>
          <w:sz w:val="18"/>
          <w:szCs w:val="18"/>
        </w:rPr>
        <w:lastRenderedPageBreak/>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0E894841" w14:textId="77777777" w:rsidTr="002F16E1">
        <w:tc>
          <w:tcPr>
            <w:tcW w:w="10421" w:type="dxa"/>
            <w:shd w:val="clear" w:color="auto" w:fill="auto"/>
          </w:tcPr>
          <w:p w14:paraId="57F28947" w14:textId="04A1C5BD" w:rsidR="00637684" w:rsidRPr="002F16E1" w:rsidRDefault="00190BC1" w:rsidP="002F16E1">
            <w:pPr>
              <w:spacing w:before="120" w:after="120"/>
              <w:rPr>
                <w:sz w:val="18"/>
                <w:szCs w:val="18"/>
              </w:rPr>
            </w:pPr>
            <w:r>
              <w:rPr>
                <w:sz w:val="18"/>
                <w:szCs w:val="18"/>
              </w:rPr>
              <w:t>More research is required to determine the best measure of fall prediction in a 60-year-old female patient 1 year after a stroke.</w:t>
            </w:r>
            <w:r w:rsidR="00232514">
              <w:rPr>
                <w:sz w:val="18"/>
                <w:szCs w:val="18"/>
              </w:rPr>
              <w:t xml:space="preserve"> While the TUG has been shown to have good psychometric properties </w:t>
            </w:r>
            <w:r w:rsidR="004F197E">
              <w:rPr>
                <w:sz w:val="18"/>
                <w:szCs w:val="18"/>
              </w:rPr>
              <w:t xml:space="preserve">in patients post-stroke, there is limited evidence suggesting its fall predictive validity. </w:t>
            </w:r>
            <w:r w:rsidR="0051728D">
              <w:rPr>
                <w:sz w:val="18"/>
                <w:szCs w:val="18"/>
              </w:rPr>
              <w:t xml:space="preserve">The literature demonstrates inconclusive results regarding the </w:t>
            </w:r>
            <w:r w:rsidR="00FD1E48">
              <w:rPr>
                <w:sz w:val="18"/>
                <w:szCs w:val="18"/>
              </w:rPr>
              <w:t>TUG’s superiority over other measures in predicting falls.</w:t>
            </w:r>
          </w:p>
        </w:tc>
      </w:tr>
    </w:tbl>
    <w:p w14:paraId="43A5A8D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55CB97F8" w14:textId="77777777" w:rsidTr="002F16E1">
        <w:tc>
          <w:tcPr>
            <w:tcW w:w="10421" w:type="dxa"/>
            <w:shd w:val="clear" w:color="auto" w:fill="E6E6E6"/>
          </w:tcPr>
          <w:p w14:paraId="454A7DDE"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7E91FBA0"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416F36F7"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831"/>
        <w:gridCol w:w="2331"/>
        <w:gridCol w:w="2533"/>
      </w:tblGrid>
      <w:tr w:rsidR="00554FFC" w:rsidRPr="002F16E1" w14:paraId="275D2BCD" w14:textId="77777777" w:rsidTr="000A7541">
        <w:tc>
          <w:tcPr>
            <w:tcW w:w="10195" w:type="dxa"/>
            <w:gridSpan w:val="4"/>
            <w:shd w:val="clear" w:color="auto" w:fill="E6E6E6"/>
          </w:tcPr>
          <w:p w14:paraId="629C75B9"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7C092D74" w14:textId="77777777" w:rsidTr="000A7541">
        <w:tc>
          <w:tcPr>
            <w:tcW w:w="2500" w:type="dxa"/>
            <w:tcBorders>
              <w:right w:val="single" w:sz="8" w:space="0" w:color="auto"/>
            </w:tcBorders>
            <w:shd w:val="clear" w:color="auto" w:fill="auto"/>
          </w:tcPr>
          <w:p w14:paraId="3C661909"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831" w:type="dxa"/>
            <w:tcBorders>
              <w:left w:val="single" w:sz="8" w:space="0" w:color="auto"/>
            </w:tcBorders>
            <w:shd w:val="clear" w:color="auto" w:fill="auto"/>
          </w:tcPr>
          <w:p w14:paraId="33DB45A3"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31" w:type="dxa"/>
            <w:tcBorders>
              <w:left w:val="single" w:sz="8" w:space="0" w:color="auto"/>
            </w:tcBorders>
            <w:shd w:val="clear" w:color="auto" w:fill="auto"/>
          </w:tcPr>
          <w:p w14:paraId="7E0B501C"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533" w:type="dxa"/>
            <w:tcBorders>
              <w:left w:val="single" w:sz="8" w:space="0" w:color="auto"/>
            </w:tcBorders>
            <w:shd w:val="clear" w:color="auto" w:fill="auto"/>
          </w:tcPr>
          <w:p w14:paraId="130D3078"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0A7541" w:rsidRPr="002F16E1" w14:paraId="6825BF1C" w14:textId="77777777" w:rsidTr="000A7541">
        <w:tc>
          <w:tcPr>
            <w:tcW w:w="2500" w:type="dxa"/>
            <w:tcBorders>
              <w:right w:val="single" w:sz="8" w:space="0" w:color="auto"/>
            </w:tcBorders>
            <w:shd w:val="clear" w:color="auto" w:fill="auto"/>
          </w:tcPr>
          <w:p w14:paraId="311E6176" w14:textId="77777777" w:rsidR="000A7541" w:rsidRDefault="000A7541" w:rsidP="000A7541">
            <w:pPr>
              <w:spacing w:before="120" w:after="120"/>
              <w:rPr>
                <w:rFonts w:ascii="Arial" w:hAnsi="Arial"/>
              </w:rPr>
            </w:pPr>
            <w:r>
              <w:rPr>
                <w:rFonts w:ascii="Arial" w:hAnsi="Arial"/>
              </w:rPr>
              <w:t>Stroke</w:t>
            </w:r>
          </w:p>
          <w:p w14:paraId="758DB1EC" w14:textId="77777777" w:rsidR="000A7541" w:rsidRDefault="000A7541" w:rsidP="000A7541">
            <w:pPr>
              <w:spacing w:before="120" w:after="120"/>
              <w:rPr>
                <w:rFonts w:ascii="Arial" w:hAnsi="Arial"/>
              </w:rPr>
            </w:pPr>
            <w:r>
              <w:rPr>
                <w:rFonts w:ascii="Arial" w:hAnsi="Arial"/>
              </w:rPr>
              <w:t>CVA</w:t>
            </w:r>
          </w:p>
          <w:p w14:paraId="57EFA491" w14:textId="77777777" w:rsidR="000A7541" w:rsidRDefault="000A7541" w:rsidP="000A7541">
            <w:pPr>
              <w:spacing w:before="120" w:after="120"/>
              <w:rPr>
                <w:rFonts w:ascii="Arial" w:hAnsi="Arial"/>
              </w:rPr>
            </w:pPr>
            <w:r>
              <w:rPr>
                <w:rFonts w:ascii="Arial" w:hAnsi="Arial"/>
              </w:rPr>
              <w:t>Cerebrovascular Accident</w:t>
            </w:r>
          </w:p>
          <w:p w14:paraId="1F893601" w14:textId="77777777" w:rsidR="000A7541" w:rsidRDefault="000A7541" w:rsidP="000A7541">
            <w:pPr>
              <w:spacing w:before="120" w:after="120"/>
              <w:rPr>
                <w:rFonts w:ascii="Arial" w:hAnsi="Arial"/>
              </w:rPr>
            </w:pPr>
            <w:r>
              <w:rPr>
                <w:rFonts w:ascii="Arial" w:hAnsi="Arial"/>
              </w:rPr>
              <w:t>Post-stroke</w:t>
            </w:r>
          </w:p>
          <w:p w14:paraId="6DE98A58" w14:textId="77777777" w:rsidR="000A7541" w:rsidRDefault="000A7541" w:rsidP="000A7541">
            <w:pPr>
              <w:spacing w:before="120" w:after="120"/>
              <w:rPr>
                <w:rFonts w:ascii="Arial" w:hAnsi="Arial"/>
              </w:rPr>
            </w:pPr>
            <w:r>
              <w:rPr>
                <w:rFonts w:ascii="Arial" w:hAnsi="Arial"/>
              </w:rPr>
              <w:t>“Frequent falls”</w:t>
            </w:r>
          </w:p>
          <w:p w14:paraId="0721AE62" w14:textId="336D44D6" w:rsidR="000A7541" w:rsidRPr="002F16E1" w:rsidRDefault="000A7541" w:rsidP="000A7541">
            <w:pPr>
              <w:spacing w:before="120" w:after="120"/>
              <w:rPr>
                <w:rFonts w:ascii="Arial" w:hAnsi="Arial"/>
              </w:rPr>
            </w:pPr>
            <w:r>
              <w:rPr>
                <w:rFonts w:ascii="Arial" w:hAnsi="Arial"/>
              </w:rPr>
              <w:t>Fall*</w:t>
            </w:r>
          </w:p>
        </w:tc>
        <w:tc>
          <w:tcPr>
            <w:tcW w:w="2831" w:type="dxa"/>
            <w:tcBorders>
              <w:left w:val="single" w:sz="8" w:space="0" w:color="auto"/>
            </w:tcBorders>
            <w:shd w:val="clear" w:color="auto" w:fill="auto"/>
          </w:tcPr>
          <w:p w14:paraId="7B9AC024" w14:textId="77777777" w:rsidR="000A7541" w:rsidRDefault="000A7541" w:rsidP="000A7541">
            <w:pPr>
              <w:spacing w:before="120" w:after="120"/>
              <w:rPr>
                <w:rFonts w:ascii="Arial" w:hAnsi="Arial"/>
              </w:rPr>
            </w:pPr>
            <w:r>
              <w:rPr>
                <w:rFonts w:ascii="Arial" w:hAnsi="Arial"/>
              </w:rPr>
              <w:t>Timed Up and Go test</w:t>
            </w:r>
          </w:p>
          <w:p w14:paraId="322BA72A" w14:textId="7ACA220E" w:rsidR="000A7541" w:rsidRPr="002F16E1" w:rsidRDefault="000A7541" w:rsidP="000A7541">
            <w:pPr>
              <w:spacing w:before="120" w:after="120"/>
              <w:rPr>
                <w:rFonts w:ascii="Arial" w:hAnsi="Arial"/>
              </w:rPr>
            </w:pPr>
            <w:r>
              <w:rPr>
                <w:rFonts w:ascii="Arial" w:hAnsi="Arial"/>
              </w:rPr>
              <w:t>TUG</w:t>
            </w:r>
          </w:p>
        </w:tc>
        <w:tc>
          <w:tcPr>
            <w:tcW w:w="2331" w:type="dxa"/>
            <w:tcBorders>
              <w:left w:val="single" w:sz="8" w:space="0" w:color="auto"/>
            </w:tcBorders>
            <w:shd w:val="clear" w:color="auto" w:fill="auto"/>
          </w:tcPr>
          <w:p w14:paraId="3DE11746" w14:textId="77777777" w:rsidR="000A7541" w:rsidRDefault="000A7541" w:rsidP="000A7541">
            <w:pPr>
              <w:spacing w:before="120" w:after="120"/>
              <w:rPr>
                <w:rFonts w:ascii="Arial" w:hAnsi="Arial"/>
              </w:rPr>
            </w:pPr>
            <w:r>
              <w:rPr>
                <w:rFonts w:ascii="Arial" w:hAnsi="Arial"/>
              </w:rPr>
              <w:t>Activities-Specific Balance Confidence scale</w:t>
            </w:r>
          </w:p>
          <w:p w14:paraId="4FB8CDA0" w14:textId="7F46B4F6" w:rsidR="000A7541" w:rsidRPr="002F16E1" w:rsidRDefault="000A7541" w:rsidP="000A7541">
            <w:pPr>
              <w:spacing w:before="120" w:after="120"/>
              <w:rPr>
                <w:rFonts w:ascii="Arial" w:hAnsi="Arial"/>
              </w:rPr>
            </w:pPr>
            <w:r>
              <w:rPr>
                <w:rFonts w:ascii="Arial" w:hAnsi="Arial"/>
              </w:rPr>
              <w:t>ABC</w:t>
            </w:r>
          </w:p>
        </w:tc>
        <w:tc>
          <w:tcPr>
            <w:tcW w:w="2533" w:type="dxa"/>
            <w:tcBorders>
              <w:left w:val="single" w:sz="8" w:space="0" w:color="auto"/>
            </w:tcBorders>
            <w:shd w:val="clear" w:color="auto" w:fill="auto"/>
          </w:tcPr>
          <w:p w14:paraId="278BADD0" w14:textId="77777777" w:rsidR="000A7541" w:rsidRDefault="000A7541" w:rsidP="000A7541">
            <w:pPr>
              <w:spacing w:before="120" w:after="120"/>
              <w:rPr>
                <w:rFonts w:ascii="Arial" w:hAnsi="Arial"/>
              </w:rPr>
            </w:pPr>
            <w:r>
              <w:rPr>
                <w:rFonts w:ascii="Arial" w:hAnsi="Arial"/>
              </w:rPr>
              <w:t>Fall* predict*</w:t>
            </w:r>
          </w:p>
          <w:p w14:paraId="3497BE55" w14:textId="77777777" w:rsidR="000A7541" w:rsidRDefault="000A7541" w:rsidP="000A7541">
            <w:pPr>
              <w:spacing w:before="120" w:after="120"/>
              <w:rPr>
                <w:rFonts w:ascii="Arial" w:hAnsi="Arial"/>
              </w:rPr>
            </w:pPr>
            <w:r>
              <w:rPr>
                <w:rFonts w:ascii="Arial" w:hAnsi="Arial"/>
              </w:rPr>
              <w:t>“Predictive validity”</w:t>
            </w:r>
          </w:p>
          <w:p w14:paraId="3C6D9E71" w14:textId="77777777" w:rsidR="000A7541" w:rsidRDefault="000A7541" w:rsidP="000A7541">
            <w:pPr>
              <w:spacing w:before="120" w:after="120"/>
              <w:rPr>
                <w:rFonts w:ascii="Arial" w:hAnsi="Arial"/>
              </w:rPr>
            </w:pPr>
            <w:r>
              <w:rPr>
                <w:rFonts w:ascii="Arial" w:hAnsi="Arial"/>
              </w:rPr>
              <w:t>Validity</w:t>
            </w:r>
          </w:p>
          <w:p w14:paraId="54642D8A" w14:textId="77777777" w:rsidR="000A7541" w:rsidRDefault="000A7541" w:rsidP="000A7541">
            <w:pPr>
              <w:spacing w:before="120" w:after="120"/>
              <w:rPr>
                <w:rFonts w:ascii="Arial" w:hAnsi="Arial"/>
              </w:rPr>
            </w:pPr>
            <w:r>
              <w:rPr>
                <w:rFonts w:ascii="Arial" w:hAnsi="Arial"/>
              </w:rPr>
              <w:t>Accuracy</w:t>
            </w:r>
          </w:p>
          <w:p w14:paraId="2233F4D4" w14:textId="77777777" w:rsidR="000A7541" w:rsidRDefault="000A7541" w:rsidP="000A7541">
            <w:pPr>
              <w:spacing w:before="120" w:after="120"/>
              <w:rPr>
                <w:rFonts w:ascii="Arial" w:hAnsi="Arial"/>
              </w:rPr>
            </w:pPr>
            <w:r>
              <w:rPr>
                <w:rFonts w:ascii="Arial" w:hAnsi="Arial"/>
              </w:rPr>
              <w:t>MDC</w:t>
            </w:r>
          </w:p>
          <w:p w14:paraId="3E443FDC" w14:textId="77777777" w:rsidR="000A7541" w:rsidRDefault="000A7541" w:rsidP="000A7541">
            <w:pPr>
              <w:spacing w:before="120" w:after="120"/>
              <w:rPr>
                <w:rFonts w:ascii="Arial" w:hAnsi="Arial"/>
              </w:rPr>
            </w:pPr>
            <w:r>
              <w:rPr>
                <w:rFonts w:ascii="Arial" w:hAnsi="Arial"/>
              </w:rPr>
              <w:t>Minimum detectable change</w:t>
            </w:r>
          </w:p>
          <w:p w14:paraId="5B52A267" w14:textId="77777777" w:rsidR="000A7541" w:rsidRDefault="000A7541" w:rsidP="000A7541">
            <w:pPr>
              <w:spacing w:before="120" w:after="120"/>
              <w:rPr>
                <w:rFonts w:ascii="Arial" w:hAnsi="Arial"/>
              </w:rPr>
            </w:pPr>
            <w:r>
              <w:rPr>
                <w:rFonts w:ascii="Arial" w:hAnsi="Arial"/>
              </w:rPr>
              <w:t>MCID</w:t>
            </w:r>
          </w:p>
          <w:p w14:paraId="0C2D2E33" w14:textId="77777777" w:rsidR="000A7541" w:rsidRDefault="000A7541" w:rsidP="000A7541">
            <w:pPr>
              <w:spacing w:before="120" w:after="120"/>
              <w:rPr>
                <w:rFonts w:ascii="Arial" w:hAnsi="Arial"/>
              </w:rPr>
            </w:pPr>
            <w:r>
              <w:rPr>
                <w:rFonts w:ascii="Arial" w:hAnsi="Arial"/>
              </w:rPr>
              <w:t>Minimum clinically important difference</w:t>
            </w:r>
          </w:p>
          <w:p w14:paraId="7FB54505" w14:textId="3C5219C4" w:rsidR="000A7541" w:rsidRPr="002F16E1" w:rsidRDefault="000A7541" w:rsidP="000A7541">
            <w:pPr>
              <w:spacing w:before="120" w:after="120"/>
              <w:rPr>
                <w:rFonts w:ascii="Arial" w:hAnsi="Arial"/>
              </w:rPr>
            </w:pPr>
            <w:r>
              <w:rPr>
                <w:rFonts w:ascii="Arial" w:hAnsi="Arial"/>
              </w:rPr>
              <w:t>Prediction</w:t>
            </w:r>
          </w:p>
        </w:tc>
      </w:tr>
    </w:tbl>
    <w:p w14:paraId="0B217D67" w14:textId="77777777" w:rsidR="00554FFC" w:rsidRDefault="00554FFC" w:rsidP="00554FFC"/>
    <w:p w14:paraId="1ED47EEF"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5916583C" w14:textId="73F9C96E" w:rsidR="00554FFC" w:rsidRDefault="00554FFC" w:rsidP="00554FFC">
      <w:pPr>
        <w:rPr>
          <w:i/>
          <w:color w:val="365F91"/>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59D33A44" w14:textId="77777777" w:rsidR="00584C37" w:rsidRDefault="00584C37" w:rsidP="00554FFC">
      <w:pPr>
        <w:rPr>
          <w:iCs/>
        </w:rPr>
      </w:pPr>
    </w:p>
    <w:p w14:paraId="50B188F5" w14:textId="53936D41" w:rsidR="00584C37" w:rsidRPr="00584C37" w:rsidRDefault="00584C37" w:rsidP="00554FFC">
      <w:pPr>
        <w:rPr>
          <w:iCs/>
        </w:rPr>
      </w:pPr>
      <w:r>
        <w:rPr>
          <w:iCs/>
        </w:rPr>
        <w:t>Search #18 is my final search strategy</w:t>
      </w:r>
    </w:p>
    <w:p w14:paraId="3C921CD2" w14:textId="56134815" w:rsidR="00554FFC" w:rsidRDefault="004E323D" w:rsidP="00554FFC">
      <w:pPr>
        <w:spacing w:before="120" w:after="120"/>
        <w:rPr>
          <w:sz w:val="18"/>
          <w:szCs w:val="18"/>
        </w:rPr>
      </w:pPr>
      <w:r>
        <w:rPr>
          <w:rFonts w:ascii="Times New Roman" w:hAnsi="Times New Roman"/>
          <w:noProof/>
          <w:sz w:val="24"/>
          <w:szCs w:val="24"/>
        </w:rPr>
        <mc:AlternateContent>
          <mc:Choice Requires="wpi">
            <w:drawing>
              <wp:anchor distT="0" distB="0" distL="114300" distR="114300" simplePos="0" relativeHeight="251659264" behindDoc="0" locked="0" layoutInCell="1" allowOverlap="1" wp14:anchorId="3CC12D76" wp14:editId="6E2A1D2F">
                <wp:simplePos x="0" y="0"/>
                <wp:positionH relativeFrom="column">
                  <wp:posOffset>249121</wp:posOffset>
                </wp:positionH>
                <wp:positionV relativeFrom="paragraph">
                  <wp:posOffset>476950</wp:posOffset>
                </wp:positionV>
                <wp:extent cx="345960" cy="245520"/>
                <wp:effectExtent l="38100" t="38100" r="22860" b="46990"/>
                <wp:wrapNone/>
                <wp:docPr id="9" name="Ink 9"/>
                <wp:cNvGraphicFramePr/>
                <a:graphic xmlns:a="http://schemas.openxmlformats.org/drawingml/2006/main">
                  <a:graphicData uri="http://schemas.microsoft.com/office/word/2010/wordprocessingInk">
                    <w14:contentPart bwMode="auto" r:id="rId5">
                      <w14:nvContentPartPr>
                        <w14:cNvContentPartPr/>
                      </w14:nvContentPartPr>
                      <w14:xfrm>
                        <a:off x="0" y="0"/>
                        <a:ext cx="345960" cy="245520"/>
                      </w14:xfrm>
                    </w14:contentPart>
                  </a:graphicData>
                </a:graphic>
              </wp:anchor>
            </w:drawing>
          </mc:Choice>
          <mc:Fallback>
            <w:pict>
              <v:shapetype w14:anchorId="015035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8.9pt;margin-top:36.85pt;width:28.7pt;height:20.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P62GAQAALAMAAA4AAABkcnMvZTJvRG9jLnhtbJxSQW7CMBC8V+of&#13;&#10;LN9LEgpViQgciipxKOXQPsB1bGI19kZrQ+D33SSkQKuqEpfIu+OMZ3Z2Ot/bku0UegMu48kg5kw5&#13;&#10;Cblxm4y/vz3fPXLmg3C5KMGpjB+U5/PZ7c20rlI1hALKXCEjEufTusp4EUKVRpGXhbLCD6BSjkAN&#13;&#10;aEWgEjdRjqImdltGwzh+iGrAvEKQynvqLjqQz1p+rZUMr1p7FViZ8Ukck7zQH5AOyQN1PprOOObR&#13;&#10;bCrSDYqqMPIoSVyhyArjSMA31UIEwbZoflFZIxE86DCQYCPQ2kjV+iFnSfzD2dJ9Nq6SkdxiKsEF&#13;&#10;5cJaYOhn1wLXPGFLmkD9AjmlI7YB+JGRxvN/GJ3oBcitJT1dIqhKEWgdfGEqzxmmJs84LvPkpN/t&#13;&#10;nk4O1njytdqtkTX3J5w5YUkS+WaTJpre+uryX0KiI/QX616jbfIgsWyfcUr80HzbuNU+MEnN+9F4&#13;&#10;0uyCJGg4Go+HLd4zdwx9dTZ9evwi5/O6EXa25LMvAAAA//8DAFBLAwQUAAYACAAAACEAVzd/M9sD&#13;&#10;AADPCgAAEAAAAGRycy9pbmsvaW5rMS54bWy0Vk1v00AQvSPxH1bLoZc42V3bSYhIOVEJCSTEhwTH&#13;&#10;kCyNRWxXttO0/56ZeWPXEeGCQK12M19vZt7Mpn31+qE8mPvYtEVdra2fOmtita13RXW7tl8+3yRL&#13;&#10;a9puU+02h7qKa/sYW/v6+vmzV0X1szys6DSEULX8qTys7b7r7laz2el0mp7Sad3czoJz6ext9fP9&#13;&#10;O3utUbv4o6iKjlK2vWpbV1186BhsVezWdts9uMGfsD/Vx2YbBzNrmu2TR9dstvGmbspNNyDuN1UV&#13;&#10;D6balFT3V2u6xzv6UFCe29hYUxbUcBKmPltkyzcvSbF5WNuRfKQSW6qktLPLmN/+A+bN75hcVhoW&#13;&#10;84U1WtIu3nNNM+F89efePzT1XWy6Ij7RDFLU8Gi2kIUfENXEtj4ceTbW3G8OR6LMO0drobn97AIh&#13;&#10;v+MRN/8Uj3j5I964uHNqtL0xD0rasFL9aLuijLTo5d2wY11LwKz+1DXyHILzLxPvE5d/9vkq8yuX&#13;&#10;ThdLPxqFbnGP+b05tvsB73vztK9iGVhDZ6di1+0H0t3U5QPpY8ovhe5jcbvv/i52Wx9qeg466xdv&#13;&#10;Fj6EbNST5BuW7cLTlf0z2vrH+GNtX8jrNRIJhfSep7kJGf3mi3xylSyu3JWb2GCddRNn6Gfi5UyC&#13;&#10;XDhVSGBShzO/FEG4zh3GQciAM/FzQ/CUjzwmSSpCxqkmPlUdad0kM3y6JGM3b/hKxY0EDiUFW3K5&#13;&#10;ci6SBcYJ4ubkszp72AMSQAKME1Vfm4DBABSN10YzgSEekYxz5lIsZZyTkCULOr3YnVbBVQaJQypW&#13;&#10;swogmTRGQKQiC3VDLTMuTvrILPiE0Z2Yg+QgAxhZkoGEcd+Mhe775thKWjmFVfXnRMgQRhmSwKyq&#13;&#10;IfEyARTNlZEFc9AU0qZ2A37RrQ4LljlH8rQ5O5XMAoa+FFWylPweLZLEBWCaJHD5HjxnMq4UAvYF&#13;&#10;ROuEsE8gT9dprhVyUtTP0SQQp3QynXThhB0nWr4UgUClRBNrpOQizkikdkVKIQSp2aFdDz90Q+nJ&#13;&#10;GwBOOg+9F894yMPc0Wz4cjJ97SPIhM6Q+wIEB7OljLxEOkK6mFVSMhwmpjrwqT3oFmtSDnHYFGlA&#13;&#10;y6DXJyjGC2YuHqmk0xeHWSsT2HnM0IlXn1Jq6pdWhjPebGqT8fXhg1wvb0I3VssBuconIEF3/5h4&#13;&#10;OGd04buG5sVt5CAfDzuA6P4rRWtiAFA8fgTKHza1H+FotlwEBeoE+jZEpxZc5ERuZyoIaEnjVRiH&#13;&#10;aAJqgutDMghnYKgZMx9/1yFvn116lNcGJNGf/eMz/GWiv+jXvwAAAP//AwBQSwMEFAAGAAgAAAAh&#13;&#10;AHkYpCDgAAAADQEAAA8AAABkcnMvZG93bnJldi54bWxMj8FOwzAMhu9IvENkJG4s3cbo1jWd0BDc&#13;&#10;0MTgAbLGNFUTp2qytXt7zAkulq3f/v395W7yTlxwiG0gBfNZBgKpDqalRsHX5+vDGkRMmox2gVDB&#13;&#10;FSPsqtubUhcmjPSBl2NqBJtQLLQCm1JfSBlri17HWeiRWPsOg9eJx6GRZtAjm3snF1n2JL1uiT9Y&#13;&#10;3ePeYt0dz15B9+a6d2fzFR7Wm8dmxH7vr71S93fTy5bL8xZEwin9XcBvBuaHisFO4UwmCqdgmTN+&#13;&#10;UpAvcxCsb1YLECfem3Mjq1L+T1H9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Hv+P62GAQAALAMAAA4AAAAAAAAAAAAAAAAAPAIAAGRycy9lMm9Eb2MueG1s&#13;&#10;UEsBAi0AFAAGAAgAAAAhAFc3fzPbAwAAzwoAABAAAAAAAAAAAAAAAAAA7gMAAGRycy9pbmsvaW5r&#13;&#10;MS54bWxQSwECLQAUAAYACAAAACEAeRikIOAAAAANAQAADwAAAAAAAAAAAAAAAAD3BwAAZHJzL2Rv&#13;&#10;d25yZXYueG1sUEsBAi0AFAAGAAgAAAAhAHkYvJ2/AAAAIQEAABkAAAAAAAAAAAAAAAAABAkAAGRy&#13;&#10;cy9fcmVscy9lMm9Eb2MueG1sLnJlbHNQSwUGAAAAAAYABgB4AQAA+gkAAAAA&#13;&#10;">
                <v:imagedata r:id="rId6" o:title=""/>
              </v:shape>
            </w:pict>
          </mc:Fallback>
        </mc:AlternateContent>
      </w:r>
      <w:r w:rsidR="00584C37" w:rsidRPr="00B00972">
        <w:rPr>
          <w:rFonts w:ascii="Times New Roman" w:hAnsi="Times New Roman"/>
          <w:noProof/>
          <w:sz w:val="24"/>
          <w:szCs w:val="24"/>
        </w:rPr>
        <w:drawing>
          <wp:inline distT="0" distB="0" distL="0" distR="0" wp14:anchorId="0FAB9237" wp14:editId="6C31D3AF">
            <wp:extent cx="6086764" cy="3246377"/>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2 at 11.50.05 AM.png"/>
                    <pic:cNvPicPr/>
                  </pic:nvPicPr>
                  <pic:blipFill rotWithShape="1">
                    <a:blip r:embed="rId7" cstate="print">
                      <a:extLst>
                        <a:ext uri="{28A0092B-C50C-407E-A947-70E740481C1C}">
                          <a14:useLocalDpi xmlns:a14="http://schemas.microsoft.com/office/drawing/2010/main" val="0"/>
                        </a:ext>
                      </a:extLst>
                    </a:blip>
                    <a:srcRect l="11159" t="25840" r="8331" b="7018"/>
                    <a:stretch/>
                  </pic:blipFill>
                  <pic:spPr bwMode="auto">
                    <a:xfrm>
                      <a:off x="0" y="0"/>
                      <a:ext cx="6119777" cy="3263984"/>
                    </a:xfrm>
                    <a:prstGeom prst="rect">
                      <a:avLst/>
                    </a:prstGeom>
                    <a:ln>
                      <a:noFill/>
                    </a:ln>
                    <a:extLst>
                      <a:ext uri="{53640926-AAD7-44D8-BBD7-CCE9431645EC}">
                        <a14:shadowObscured xmlns:a14="http://schemas.microsoft.com/office/drawing/2010/main"/>
                      </a:ext>
                    </a:extLst>
                  </pic:spPr>
                </pic:pic>
              </a:graphicData>
            </a:graphic>
          </wp:inline>
        </w:drawing>
      </w:r>
    </w:p>
    <w:p w14:paraId="4C686D32" w14:textId="77777777" w:rsidR="00554FFC" w:rsidRDefault="00554FFC" w:rsidP="00554FFC">
      <w:pPr>
        <w:spacing w:before="120" w:after="120"/>
        <w:rPr>
          <w:sz w:val="18"/>
          <w:szCs w:val="18"/>
        </w:rPr>
      </w:pPr>
    </w:p>
    <w:p w14:paraId="5D31E6E3"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07DFE4B4" w14:textId="77777777" w:rsidTr="00D07B0A">
        <w:tc>
          <w:tcPr>
            <w:tcW w:w="4687" w:type="dxa"/>
            <w:shd w:val="clear" w:color="auto" w:fill="E6E6E6"/>
          </w:tcPr>
          <w:p w14:paraId="5E73767E"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4" w:type="dxa"/>
            <w:shd w:val="clear" w:color="auto" w:fill="E6E6E6"/>
          </w:tcPr>
          <w:p w14:paraId="0E95AC6C" w14:textId="77777777" w:rsidR="00554FFC" w:rsidRPr="002F16E1" w:rsidRDefault="00554FFC" w:rsidP="009E380F">
            <w:pPr>
              <w:spacing w:before="120" w:after="120"/>
              <w:jc w:val="center"/>
              <w:rPr>
                <w:b/>
                <w:sz w:val="18"/>
                <w:szCs w:val="18"/>
              </w:rPr>
            </w:pPr>
            <w:r>
              <w:rPr>
                <w:b/>
                <w:sz w:val="18"/>
                <w:szCs w:val="18"/>
              </w:rPr>
              <w:t>Number of results</w:t>
            </w:r>
          </w:p>
        </w:tc>
        <w:tc>
          <w:tcPr>
            <w:tcW w:w="3704" w:type="dxa"/>
            <w:shd w:val="clear" w:color="auto" w:fill="E6E6E6"/>
          </w:tcPr>
          <w:p w14:paraId="1F046D40"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D07B0A" w:rsidRPr="002F16E1" w14:paraId="0A2D8803" w14:textId="77777777" w:rsidTr="00D07B0A">
        <w:tc>
          <w:tcPr>
            <w:tcW w:w="4687" w:type="dxa"/>
            <w:shd w:val="clear" w:color="auto" w:fill="auto"/>
          </w:tcPr>
          <w:p w14:paraId="3931FDFC"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t>PubMed</w:t>
            </w:r>
          </w:p>
          <w:p w14:paraId="4DE97BD2" w14:textId="77777777" w:rsidR="00D07B0A" w:rsidRPr="00B00972" w:rsidRDefault="00D07B0A" w:rsidP="00D07B0A">
            <w:pPr>
              <w:spacing w:before="120" w:after="120"/>
              <w:rPr>
                <w:rFonts w:ascii="Times New Roman" w:hAnsi="Times New Roman"/>
                <w:b/>
                <w:sz w:val="24"/>
                <w:szCs w:val="24"/>
              </w:rPr>
            </w:pPr>
          </w:p>
          <w:p w14:paraId="114007E0" w14:textId="77777777" w:rsidR="00D07B0A" w:rsidRPr="00B00972" w:rsidRDefault="00D07B0A" w:rsidP="00D07B0A">
            <w:pPr>
              <w:spacing w:before="120" w:after="120"/>
              <w:rPr>
                <w:rFonts w:ascii="Times New Roman" w:hAnsi="Times New Roman"/>
                <w:b/>
                <w:sz w:val="24"/>
                <w:szCs w:val="24"/>
              </w:rPr>
            </w:pPr>
          </w:p>
          <w:p w14:paraId="607AD505"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lastRenderedPageBreak/>
              <w:t>PEDro</w:t>
            </w:r>
          </w:p>
          <w:p w14:paraId="634B06F1"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t>Cochrane Library</w:t>
            </w:r>
          </w:p>
          <w:p w14:paraId="50563B7E"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br/>
              <w:t>CINAHL</w:t>
            </w:r>
          </w:p>
          <w:p w14:paraId="173538DA" w14:textId="77777777" w:rsidR="00D07B0A" w:rsidRPr="00B00972" w:rsidRDefault="00D07B0A" w:rsidP="00D07B0A">
            <w:pPr>
              <w:spacing w:before="120" w:after="120"/>
              <w:rPr>
                <w:rFonts w:ascii="Times New Roman" w:hAnsi="Times New Roman"/>
                <w:b/>
                <w:sz w:val="24"/>
                <w:szCs w:val="24"/>
              </w:rPr>
            </w:pPr>
          </w:p>
          <w:p w14:paraId="6FD2C222" w14:textId="77777777" w:rsidR="00D07B0A" w:rsidRPr="00B00972" w:rsidRDefault="00D07B0A" w:rsidP="00D07B0A">
            <w:pPr>
              <w:spacing w:before="120" w:after="120"/>
              <w:rPr>
                <w:rFonts w:ascii="Times New Roman" w:hAnsi="Times New Roman"/>
                <w:b/>
                <w:sz w:val="24"/>
                <w:szCs w:val="24"/>
              </w:rPr>
            </w:pPr>
          </w:p>
          <w:p w14:paraId="036E8260" w14:textId="77777777" w:rsidR="00D07B0A" w:rsidRPr="00B00972" w:rsidRDefault="00D07B0A" w:rsidP="00D07B0A">
            <w:pPr>
              <w:spacing w:before="120" w:after="120"/>
              <w:rPr>
                <w:rFonts w:ascii="Times New Roman" w:hAnsi="Times New Roman"/>
                <w:b/>
                <w:sz w:val="24"/>
                <w:szCs w:val="24"/>
              </w:rPr>
            </w:pPr>
          </w:p>
          <w:p w14:paraId="7EF2C3C1" w14:textId="77777777" w:rsidR="00D07B0A" w:rsidRPr="002F16E1" w:rsidRDefault="00D07B0A" w:rsidP="00D07B0A">
            <w:pPr>
              <w:spacing w:before="120" w:after="120"/>
              <w:rPr>
                <w:b/>
                <w:sz w:val="18"/>
                <w:szCs w:val="18"/>
              </w:rPr>
            </w:pPr>
          </w:p>
        </w:tc>
        <w:tc>
          <w:tcPr>
            <w:tcW w:w="1804" w:type="dxa"/>
            <w:shd w:val="clear" w:color="auto" w:fill="auto"/>
          </w:tcPr>
          <w:p w14:paraId="418C3F44"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lastRenderedPageBreak/>
              <w:t>53</w:t>
            </w:r>
          </w:p>
          <w:p w14:paraId="3C63FBDB" w14:textId="77777777" w:rsidR="00D07B0A" w:rsidRPr="00B00972" w:rsidRDefault="00D07B0A" w:rsidP="00D07B0A">
            <w:pPr>
              <w:spacing w:before="120" w:after="120"/>
              <w:rPr>
                <w:rFonts w:ascii="Times New Roman" w:hAnsi="Times New Roman"/>
                <w:b/>
                <w:sz w:val="24"/>
                <w:szCs w:val="24"/>
              </w:rPr>
            </w:pPr>
          </w:p>
          <w:p w14:paraId="62C1C677" w14:textId="77777777" w:rsidR="00D07B0A" w:rsidRPr="00B00972" w:rsidRDefault="00D07B0A" w:rsidP="00D07B0A">
            <w:pPr>
              <w:spacing w:before="120" w:after="120"/>
              <w:rPr>
                <w:rFonts w:ascii="Times New Roman" w:hAnsi="Times New Roman"/>
                <w:b/>
                <w:sz w:val="24"/>
                <w:szCs w:val="24"/>
              </w:rPr>
            </w:pPr>
          </w:p>
          <w:p w14:paraId="3EE7AF21"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lastRenderedPageBreak/>
              <w:t>0</w:t>
            </w:r>
          </w:p>
          <w:p w14:paraId="59364E0B"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t>2</w:t>
            </w:r>
          </w:p>
          <w:p w14:paraId="135CD9A9" w14:textId="77777777" w:rsidR="00D07B0A" w:rsidRPr="00B00972" w:rsidRDefault="00D07B0A" w:rsidP="00D07B0A">
            <w:pPr>
              <w:spacing w:before="120" w:after="120"/>
              <w:rPr>
                <w:rFonts w:ascii="Times New Roman" w:hAnsi="Times New Roman"/>
                <w:b/>
                <w:sz w:val="24"/>
                <w:szCs w:val="24"/>
              </w:rPr>
            </w:pPr>
          </w:p>
          <w:p w14:paraId="6C16DDD1" w14:textId="77777777" w:rsidR="00D07B0A" w:rsidRPr="00B00972" w:rsidRDefault="00D07B0A" w:rsidP="00D07B0A">
            <w:pPr>
              <w:spacing w:before="120" w:after="120"/>
              <w:rPr>
                <w:rFonts w:ascii="Times New Roman" w:hAnsi="Times New Roman"/>
                <w:b/>
                <w:sz w:val="24"/>
                <w:szCs w:val="24"/>
              </w:rPr>
            </w:pPr>
            <w:r w:rsidRPr="00B00972">
              <w:rPr>
                <w:rFonts w:ascii="Times New Roman" w:hAnsi="Times New Roman"/>
                <w:b/>
                <w:sz w:val="24"/>
                <w:szCs w:val="24"/>
              </w:rPr>
              <w:t>6</w:t>
            </w:r>
          </w:p>
          <w:p w14:paraId="424CBF58" w14:textId="77777777" w:rsidR="00D07B0A" w:rsidRPr="002F16E1" w:rsidRDefault="00D07B0A" w:rsidP="00D07B0A">
            <w:pPr>
              <w:spacing w:before="120" w:after="120"/>
              <w:rPr>
                <w:b/>
                <w:sz w:val="18"/>
                <w:szCs w:val="18"/>
              </w:rPr>
            </w:pPr>
          </w:p>
        </w:tc>
        <w:tc>
          <w:tcPr>
            <w:tcW w:w="3704" w:type="dxa"/>
            <w:shd w:val="clear" w:color="auto" w:fill="auto"/>
          </w:tcPr>
          <w:p w14:paraId="44488852" w14:textId="77777777" w:rsidR="00D07B0A" w:rsidRPr="00B00972" w:rsidRDefault="00D07B0A" w:rsidP="00D07B0A">
            <w:pPr>
              <w:spacing w:before="120" w:after="120"/>
              <w:rPr>
                <w:rFonts w:ascii="Times New Roman" w:hAnsi="Times New Roman"/>
                <w:bCs/>
                <w:sz w:val="24"/>
                <w:szCs w:val="24"/>
              </w:rPr>
            </w:pPr>
            <w:r w:rsidRPr="00B00972">
              <w:rPr>
                <w:rFonts w:ascii="Times New Roman" w:hAnsi="Times New Roman"/>
                <w:bCs/>
                <w:sz w:val="24"/>
                <w:szCs w:val="24"/>
              </w:rPr>
              <w:lastRenderedPageBreak/>
              <w:t>Changed “OR” to “AND” ; 9 results</w:t>
            </w:r>
          </w:p>
          <w:p w14:paraId="2DA2931F" w14:textId="77777777" w:rsidR="00D07B0A" w:rsidRPr="00B00972" w:rsidRDefault="00D07B0A" w:rsidP="00D07B0A">
            <w:pPr>
              <w:spacing w:before="120" w:after="120"/>
              <w:rPr>
                <w:rFonts w:ascii="Times New Roman" w:hAnsi="Times New Roman"/>
                <w:bCs/>
                <w:sz w:val="24"/>
                <w:szCs w:val="24"/>
              </w:rPr>
            </w:pPr>
            <w:r w:rsidRPr="00B00972">
              <w:rPr>
                <w:rFonts w:ascii="Times New Roman" w:hAnsi="Times New Roman"/>
                <w:bCs/>
                <w:sz w:val="24"/>
                <w:szCs w:val="24"/>
              </w:rPr>
              <w:t>Added “fall risk” to search; 13 results</w:t>
            </w:r>
          </w:p>
          <w:p w14:paraId="50F2E43A" w14:textId="77777777" w:rsidR="00D07B0A" w:rsidRPr="00B00972" w:rsidRDefault="00D07B0A" w:rsidP="00D07B0A">
            <w:pPr>
              <w:spacing w:before="120" w:after="120"/>
              <w:rPr>
                <w:rFonts w:ascii="Times New Roman" w:hAnsi="Times New Roman"/>
                <w:bCs/>
                <w:sz w:val="24"/>
                <w:szCs w:val="24"/>
              </w:rPr>
            </w:pPr>
          </w:p>
          <w:p w14:paraId="112A685A" w14:textId="77777777" w:rsidR="00D07B0A" w:rsidRPr="00B00972" w:rsidRDefault="00D07B0A" w:rsidP="00D07B0A">
            <w:pPr>
              <w:spacing w:before="120" w:after="120"/>
              <w:rPr>
                <w:rFonts w:ascii="Times New Roman" w:hAnsi="Times New Roman"/>
                <w:bCs/>
                <w:sz w:val="24"/>
                <w:szCs w:val="24"/>
              </w:rPr>
            </w:pPr>
          </w:p>
          <w:p w14:paraId="22F21206" w14:textId="77777777" w:rsidR="00D07B0A" w:rsidRPr="00B00972" w:rsidRDefault="00D07B0A" w:rsidP="00D07B0A">
            <w:pPr>
              <w:spacing w:before="120" w:after="120"/>
              <w:rPr>
                <w:rFonts w:ascii="Times New Roman" w:hAnsi="Times New Roman"/>
                <w:bCs/>
                <w:sz w:val="24"/>
                <w:szCs w:val="24"/>
              </w:rPr>
            </w:pPr>
            <w:r w:rsidRPr="00B00972">
              <w:rPr>
                <w:rFonts w:ascii="Times New Roman" w:hAnsi="Times New Roman"/>
                <w:bCs/>
                <w:sz w:val="24"/>
                <w:szCs w:val="24"/>
              </w:rPr>
              <w:t>Had clinical trials only (no reviews)</w:t>
            </w:r>
          </w:p>
          <w:p w14:paraId="3BAA350A" w14:textId="77777777" w:rsidR="00D07B0A" w:rsidRPr="00B00972" w:rsidRDefault="00D07B0A" w:rsidP="00D07B0A">
            <w:pPr>
              <w:spacing w:before="120" w:after="120"/>
              <w:rPr>
                <w:rFonts w:ascii="Times New Roman" w:hAnsi="Times New Roman"/>
                <w:bCs/>
                <w:sz w:val="24"/>
                <w:szCs w:val="24"/>
              </w:rPr>
            </w:pPr>
          </w:p>
          <w:p w14:paraId="1555731B" w14:textId="0BC197B4" w:rsidR="00D07B0A" w:rsidRPr="002F16E1" w:rsidRDefault="00D07B0A" w:rsidP="00D07B0A">
            <w:pPr>
              <w:spacing w:before="120" w:after="120"/>
              <w:rPr>
                <w:b/>
                <w:sz w:val="18"/>
                <w:szCs w:val="18"/>
              </w:rPr>
            </w:pPr>
            <w:r w:rsidRPr="00B00972">
              <w:rPr>
                <w:rFonts w:ascii="Times New Roman" w:hAnsi="Times New Roman"/>
                <w:bCs/>
                <w:sz w:val="24"/>
                <w:szCs w:val="24"/>
              </w:rPr>
              <w:t>Broadened search (see below) and got 29 results; filtered to include only “Academic journals” and got 22 results; narrowed publication date to last 10 years and got 12 results</w:t>
            </w:r>
          </w:p>
        </w:tc>
      </w:tr>
    </w:tbl>
    <w:p w14:paraId="0FC78D38" w14:textId="77777777" w:rsidR="00554FFC" w:rsidRDefault="00554FFC" w:rsidP="00554FFC">
      <w:pPr>
        <w:spacing w:before="120" w:after="120"/>
        <w:rPr>
          <w:b/>
          <w:sz w:val="18"/>
          <w:szCs w:val="18"/>
        </w:rPr>
      </w:pPr>
    </w:p>
    <w:p w14:paraId="758164AC"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1E99A8DC" w14:textId="77777777" w:rsidTr="00560CEA">
        <w:tc>
          <w:tcPr>
            <w:tcW w:w="10195" w:type="dxa"/>
            <w:shd w:val="clear" w:color="auto" w:fill="E6E6E6"/>
          </w:tcPr>
          <w:p w14:paraId="000017B2" w14:textId="77777777" w:rsidR="00554FFC" w:rsidRPr="002F16E1" w:rsidRDefault="00554FFC" w:rsidP="009E380F">
            <w:pPr>
              <w:spacing w:before="120" w:after="120"/>
              <w:rPr>
                <w:b/>
              </w:rPr>
            </w:pPr>
            <w:r w:rsidRPr="002F16E1">
              <w:rPr>
                <w:b/>
              </w:rPr>
              <w:t>Inclusion Criteria</w:t>
            </w:r>
          </w:p>
        </w:tc>
      </w:tr>
      <w:tr w:rsidR="00560CEA" w14:paraId="21DBE8E9" w14:textId="77777777" w:rsidTr="00560CEA">
        <w:tc>
          <w:tcPr>
            <w:tcW w:w="10195" w:type="dxa"/>
            <w:tcBorders>
              <w:bottom w:val="single" w:sz="4" w:space="0" w:color="auto"/>
            </w:tcBorders>
            <w:shd w:val="clear" w:color="auto" w:fill="auto"/>
          </w:tcPr>
          <w:p w14:paraId="07E87685" w14:textId="77777777" w:rsidR="00560CEA" w:rsidRDefault="00560CEA" w:rsidP="00560CEA">
            <w:pPr>
              <w:pStyle w:val="ListParagraph"/>
              <w:numPr>
                <w:ilvl w:val="0"/>
                <w:numId w:val="13"/>
              </w:numPr>
              <w:spacing w:before="120" w:after="120"/>
            </w:pPr>
            <w:r>
              <w:t>Involves subjects with previous diagnosis of stroke</w:t>
            </w:r>
          </w:p>
          <w:p w14:paraId="7C17772C" w14:textId="77777777" w:rsidR="00560CEA" w:rsidRDefault="00560CEA" w:rsidP="00560CEA">
            <w:pPr>
              <w:pStyle w:val="ListParagraph"/>
              <w:numPr>
                <w:ilvl w:val="0"/>
                <w:numId w:val="13"/>
              </w:numPr>
              <w:spacing w:before="120" w:after="120"/>
            </w:pPr>
            <w:r>
              <w:t>Randomized control trials or systematic reviews</w:t>
            </w:r>
          </w:p>
          <w:p w14:paraId="2B43CF4B" w14:textId="77777777" w:rsidR="00560CEA" w:rsidRDefault="00560CEA" w:rsidP="00560CEA">
            <w:pPr>
              <w:pStyle w:val="ListParagraph"/>
              <w:numPr>
                <w:ilvl w:val="0"/>
                <w:numId w:val="13"/>
              </w:numPr>
              <w:spacing w:before="120" w:after="120"/>
            </w:pPr>
            <w:r>
              <w:t>Description of systematic, standardized measurements and interpretations by qualified researchers/clinicians</w:t>
            </w:r>
          </w:p>
          <w:p w14:paraId="637430E8" w14:textId="77777777" w:rsidR="00560CEA" w:rsidRDefault="00560CEA" w:rsidP="00560CEA">
            <w:pPr>
              <w:pStyle w:val="ListParagraph"/>
              <w:numPr>
                <w:ilvl w:val="0"/>
                <w:numId w:val="13"/>
              </w:numPr>
              <w:spacing w:before="120" w:after="120"/>
            </w:pPr>
            <w:r>
              <w:t>Articles in English</w:t>
            </w:r>
          </w:p>
          <w:p w14:paraId="7B852B1D" w14:textId="77777777" w:rsidR="00560CEA" w:rsidRDefault="00560CEA" w:rsidP="00560CEA">
            <w:pPr>
              <w:pStyle w:val="ListParagraph"/>
              <w:numPr>
                <w:ilvl w:val="0"/>
                <w:numId w:val="13"/>
              </w:numPr>
              <w:spacing w:before="120" w:after="120"/>
            </w:pPr>
            <w:r>
              <w:t>Involves standardized patient measures of falls risk</w:t>
            </w:r>
          </w:p>
          <w:p w14:paraId="6E6B34F7" w14:textId="77777777" w:rsidR="00560CEA" w:rsidRDefault="00560CEA" w:rsidP="00560CEA">
            <w:pPr>
              <w:spacing w:before="120" w:after="120"/>
            </w:pPr>
          </w:p>
        </w:tc>
      </w:tr>
      <w:tr w:rsidR="00560CEA" w:rsidRPr="002F16E1" w14:paraId="159D7B1C" w14:textId="77777777" w:rsidTr="00560CEA">
        <w:tc>
          <w:tcPr>
            <w:tcW w:w="10195" w:type="dxa"/>
            <w:shd w:val="clear" w:color="auto" w:fill="E6E6E6"/>
          </w:tcPr>
          <w:p w14:paraId="0C82EBD1" w14:textId="654C99F9" w:rsidR="00560CEA" w:rsidRPr="002F16E1" w:rsidRDefault="00560CEA" w:rsidP="00560CEA">
            <w:pPr>
              <w:spacing w:before="120" w:after="120"/>
              <w:rPr>
                <w:b/>
              </w:rPr>
            </w:pPr>
            <w:r w:rsidRPr="002F16E1">
              <w:rPr>
                <w:b/>
              </w:rPr>
              <w:t>Exclusion Criteria</w:t>
            </w:r>
          </w:p>
        </w:tc>
      </w:tr>
      <w:tr w:rsidR="00560CEA" w14:paraId="3F2F2EC2" w14:textId="77777777" w:rsidTr="00560CEA">
        <w:tc>
          <w:tcPr>
            <w:tcW w:w="10195" w:type="dxa"/>
            <w:shd w:val="clear" w:color="auto" w:fill="auto"/>
          </w:tcPr>
          <w:p w14:paraId="46BBD88C" w14:textId="77777777" w:rsidR="00560CEA" w:rsidRDefault="00560CEA" w:rsidP="00560CEA">
            <w:pPr>
              <w:pStyle w:val="ListParagraph"/>
              <w:numPr>
                <w:ilvl w:val="0"/>
                <w:numId w:val="14"/>
              </w:numPr>
              <w:spacing w:before="120" w:after="120"/>
            </w:pPr>
            <w:r>
              <w:t>Includes subjects without stroke diagnosis</w:t>
            </w:r>
          </w:p>
          <w:p w14:paraId="2F6F4CB3" w14:textId="77777777" w:rsidR="00560CEA" w:rsidRDefault="00560CEA" w:rsidP="00560CEA">
            <w:pPr>
              <w:pStyle w:val="ListParagraph"/>
              <w:numPr>
                <w:ilvl w:val="0"/>
                <w:numId w:val="14"/>
              </w:numPr>
              <w:spacing w:before="120" w:after="120"/>
            </w:pPr>
            <w:r>
              <w:t>Studies not published in English</w:t>
            </w:r>
          </w:p>
          <w:p w14:paraId="5BDE40B3" w14:textId="77777777" w:rsidR="00560CEA" w:rsidRDefault="00560CEA" w:rsidP="00560CEA">
            <w:pPr>
              <w:pStyle w:val="ListParagraph"/>
              <w:numPr>
                <w:ilvl w:val="0"/>
                <w:numId w:val="14"/>
              </w:numPr>
              <w:spacing w:before="120" w:after="120"/>
            </w:pPr>
            <w:r>
              <w:t>Poster presentations</w:t>
            </w:r>
          </w:p>
          <w:p w14:paraId="7864EC6A" w14:textId="77777777" w:rsidR="00560CEA" w:rsidRDefault="00560CEA" w:rsidP="00560CEA">
            <w:pPr>
              <w:pStyle w:val="ListParagraph"/>
              <w:numPr>
                <w:ilvl w:val="0"/>
                <w:numId w:val="14"/>
              </w:numPr>
              <w:spacing w:before="120" w:after="120"/>
            </w:pPr>
            <w:r>
              <w:t>Dissertations/Theses</w:t>
            </w:r>
          </w:p>
          <w:p w14:paraId="52CE9318" w14:textId="77777777" w:rsidR="00560CEA" w:rsidRDefault="00560CEA" w:rsidP="00560CEA">
            <w:pPr>
              <w:pStyle w:val="ListParagraph"/>
              <w:numPr>
                <w:ilvl w:val="0"/>
                <w:numId w:val="14"/>
              </w:numPr>
              <w:spacing w:before="120" w:after="120"/>
            </w:pPr>
            <w:r>
              <w:t>Textbooks</w:t>
            </w:r>
          </w:p>
          <w:p w14:paraId="031E5F00" w14:textId="77777777" w:rsidR="00560CEA" w:rsidRDefault="00560CEA" w:rsidP="00560CEA">
            <w:pPr>
              <w:spacing w:before="120" w:after="120"/>
            </w:pPr>
          </w:p>
        </w:tc>
      </w:tr>
    </w:tbl>
    <w:p w14:paraId="1021A551" w14:textId="77777777" w:rsidR="00554FFC" w:rsidRDefault="00554FFC" w:rsidP="00554FFC">
      <w:pPr>
        <w:spacing w:before="120" w:after="120"/>
        <w:rPr>
          <w:b/>
          <w:sz w:val="18"/>
          <w:szCs w:val="18"/>
        </w:rPr>
      </w:pPr>
    </w:p>
    <w:p w14:paraId="75CFE0ED"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42F4CF65"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44C533BA"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662"/>
        <w:gridCol w:w="1787"/>
        <w:gridCol w:w="1315"/>
        <w:gridCol w:w="2791"/>
      </w:tblGrid>
      <w:tr w:rsidR="005E4EEC" w:rsidRPr="002F16E1" w14:paraId="2E8BD325" w14:textId="77777777" w:rsidTr="005E4EEC">
        <w:tc>
          <w:tcPr>
            <w:tcW w:w="2640" w:type="dxa"/>
            <w:tcBorders>
              <w:right w:val="single" w:sz="8" w:space="0" w:color="auto"/>
            </w:tcBorders>
            <w:shd w:val="clear" w:color="auto" w:fill="E6E6E6"/>
          </w:tcPr>
          <w:p w14:paraId="7EC595B5" w14:textId="77777777" w:rsidR="005E4EEC" w:rsidRPr="002F16E1" w:rsidRDefault="005E4EEC" w:rsidP="00C34C48">
            <w:pPr>
              <w:spacing w:before="120" w:after="120"/>
              <w:jc w:val="center"/>
              <w:rPr>
                <w:b/>
                <w:sz w:val="18"/>
                <w:szCs w:val="18"/>
              </w:rPr>
            </w:pPr>
            <w:r>
              <w:rPr>
                <w:b/>
                <w:sz w:val="18"/>
                <w:szCs w:val="18"/>
              </w:rPr>
              <w:t>Author (Year)</w:t>
            </w:r>
          </w:p>
        </w:tc>
        <w:tc>
          <w:tcPr>
            <w:tcW w:w="1662" w:type="dxa"/>
            <w:tcBorders>
              <w:left w:val="single" w:sz="8" w:space="0" w:color="auto"/>
            </w:tcBorders>
            <w:shd w:val="clear" w:color="auto" w:fill="E6E6E6"/>
          </w:tcPr>
          <w:p w14:paraId="7D0D32CB" w14:textId="77777777" w:rsidR="005E4EEC" w:rsidRPr="002F16E1" w:rsidRDefault="005E4EEC" w:rsidP="00C34C48">
            <w:pPr>
              <w:spacing w:before="120" w:after="120"/>
              <w:jc w:val="center"/>
              <w:rPr>
                <w:b/>
                <w:sz w:val="18"/>
                <w:szCs w:val="18"/>
              </w:rPr>
            </w:pPr>
            <w:r>
              <w:rPr>
                <w:b/>
                <w:sz w:val="18"/>
                <w:szCs w:val="18"/>
              </w:rPr>
              <w:t>Risk of bias (quality score)</w:t>
            </w:r>
          </w:p>
        </w:tc>
        <w:tc>
          <w:tcPr>
            <w:tcW w:w="1787" w:type="dxa"/>
            <w:shd w:val="clear" w:color="auto" w:fill="E6E6E6"/>
          </w:tcPr>
          <w:p w14:paraId="7E628144" w14:textId="77777777" w:rsidR="005E4EEC" w:rsidRPr="002F16E1" w:rsidRDefault="005E4EEC" w:rsidP="00C34C48">
            <w:pPr>
              <w:spacing w:before="120" w:after="120"/>
              <w:jc w:val="center"/>
              <w:rPr>
                <w:b/>
                <w:sz w:val="18"/>
                <w:szCs w:val="18"/>
              </w:rPr>
            </w:pPr>
            <w:r>
              <w:rPr>
                <w:b/>
                <w:sz w:val="18"/>
                <w:szCs w:val="18"/>
              </w:rPr>
              <w:t>Level of Evidence</w:t>
            </w:r>
          </w:p>
        </w:tc>
        <w:tc>
          <w:tcPr>
            <w:tcW w:w="1315" w:type="dxa"/>
            <w:shd w:val="clear" w:color="auto" w:fill="E6E6E6"/>
          </w:tcPr>
          <w:p w14:paraId="240600B8" w14:textId="77777777" w:rsidR="005E4EEC" w:rsidRPr="002F16E1" w:rsidRDefault="005E4EEC" w:rsidP="00C34C48">
            <w:pPr>
              <w:spacing w:before="120" w:after="120"/>
              <w:jc w:val="center"/>
              <w:rPr>
                <w:b/>
                <w:sz w:val="18"/>
                <w:szCs w:val="18"/>
              </w:rPr>
            </w:pPr>
            <w:r>
              <w:rPr>
                <w:b/>
                <w:sz w:val="18"/>
                <w:szCs w:val="18"/>
              </w:rPr>
              <w:t>Relevance</w:t>
            </w:r>
          </w:p>
        </w:tc>
        <w:tc>
          <w:tcPr>
            <w:tcW w:w="2791" w:type="dxa"/>
            <w:shd w:val="clear" w:color="auto" w:fill="E6E6E6"/>
          </w:tcPr>
          <w:p w14:paraId="155665CB" w14:textId="77777777" w:rsidR="005E4EEC" w:rsidRPr="002F16E1" w:rsidRDefault="005E4EEC" w:rsidP="00C34C48">
            <w:pPr>
              <w:spacing w:before="120" w:after="120"/>
              <w:jc w:val="center"/>
              <w:rPr>
                <w:b/>
                <w:sz w:val="18"/>
                <w:szCs w:val="18"/>
              </w:rPr>
            </w:pPr>
            <w:r>
              <w:rPr>
                <w:b/>
                <w:sz w:val="18"/>
                <w:szCs w:val="18"/>
              </w:rPr>
              <w:t>Study design</w:t>
            </w:r>
          </w:p>
        </w:tc>
      </w:tr>
      <w:tr w:rsidR="005E4EEC" w:rsidRPr="00685D18" w14:paraId="7D8D3114" w14:textId="77777777" w:rsidTr="005E4EEC">
        <w:tc>
          <w:tcPr>
            <w:tcW w:w="2640" w:type="dxa"/>
            <w:tcBorders>
              <w:right w:val="single" w:sz="8" w:space="0" w:color="auto"/>
            </w:tcBorders>
            <w:shd w:val="clear" w:color="auto" w:fill="auto"/>
          </w:tcPr>
          <w:p w14:paraId="45300756" w14:textId="77777777" w:rsidR="005E4EEC" w:rsidRPr="00685D18" w:rsidRDefault="005E4EEC" w:rsidP="00C34C48">
            <w:pPr>
              <w:spacing w:before="120" w:after="120"/>
              <w:rPr>
                <w:bCs/>
                <w:sz w:val="18"/>
                <w:szCs w:val="18"/>
              </w:rPr>
            </w:pPr>
            <w:r w:rsidRPr="00685D18">
              <w:rPr>
                <w:bCs/>
                <w:sz w:val="18"/>
                <w:szCs w:val="18"/>
              </w:rPr>
              <w:t>SeungHeon An (2017)</w:t>
            </w:r>
          </w:p>
        </w:tc>
        <w:tc>
          <w:tcPr>
            <w:tcW w:w="1662" w:type="dxa"/>
            <w:tcBorders>
              <w:left w:val="single" w:sz="8" w:space="0" w:color="auto"/>
            </w:tcBorders>
            <w:shd w:val="clear" w:color="auto" w:fill="auto"/>
          </w:tcPr>
          <w:p w14:paraId="5E96405D" w14:textId="77777777" w:rsidR="005E4EEC" w:rsidRPr="00685D18" w:rsidRDefault="005E4EEC" w:rsidP="00C34C48">
            <w:pPr>
              <w:spacing w:before="120" w:after="120"/>
              <w:rPr>
                <w:bCs/>
                <w:sz w:val="18"/>
                <w:szCs w:val="18"/>
              </w:rPr>
            </w:pPr>
            <w:r w:rsidRPr="00685D18">
              <w:rPr>
                <w:bCs/>
                <w:sz w:val="18"/>
                <w:szCs w:val="18"/>
              </w:rPr>
              <w:t>6/11 “yes” *</w:t>
            </w:r>
          </w:p>
          <w:p w14:paraId="45300C9F" w14:textId="77777777" w:rsidR="005E4EEC" w:rsidRPr="00685D18" w:rsidRDefault="005E4EEC" w:rsidP="00C34C48">
            <w:pPr>
              <w:spacing w:before="120" w:after="120"/>
              <w:rPr>
                <w:bCs/>
                <w:sz w:val="18"/>
                <w:szCs w:val="18"/>
              </w:rPr>
            </w:pPr>
            <w:r w:rsidRPr="00685D18">
              <w:rPr>
                <w:bCs/>
                <w:sz w:val="18"/>
                <w:szCs w:val="18"/>
              </w:rPr>
              <w:t>Moderate</w:t>
            </w:r>
          </w:p>
        </w:tc>
        <w:tc>
          <w:tcPr>
            <w:tcW w:w="1787" w:type="dxa"/>
            <w:shd w:val="clear" w:color="auto" w:fill="auto"/>
          </w:tcPr>
          <w:p w14:paraId="5F610B9F" w14:textId="77777777" w:rsidR="005E4EEC" w:rsidRPr="00685D18" w:rsidRDefault="005E4EEC" w:rsidP="00C34C48">
            <w:pPr>
              <w:spacing w:before="120" w:after="120"/>
              <w:jc w:val="center"/>
              <w:rPr>
                <w:bCs/>
                <w:sz w:val="18"/>
                <w:szCs w:val="18"/>
              </w:rPr>
            </w:pPr>
            <w:r>
              <w:rPr>
                <w:bCs/>
                <w:sz w:val="18"/>
                <w:szCs w:val="18"/>
              </w:rPr>
              <w:t>2b – in “prognosis” column, without “poor quality,” but not a systematic review</w:t>
            </w:r>
          </w:p>
        </w:tc>
        <w:tc>
          <w:tcPr>
            <w:tcW w:w="1315" w:type="dxa"/>
            <w:shd w:val="clear" w:color="auto" w:fill="auto"/>
          </w:tcPr>
          <w:p w14:paraId="2907C721" w14:textId="77777777" w:rsidR="005E4EEC" w:rsidRPr="00685D18" w:rsidRDefault="005E4EEC" w:rsidP="00C34C48">
            <w:pPr>
              <w:spacing w:before="120" w:after="120"/>
              <w:jc w:val="center"/>
              <w:rPr>
                <w:bCs/>
                <w:sz w:val="18"/>
                <w:szCs w:val="18"/>
              </w:rPr>
            </w:pPr>
            <w:r w:rsidRPr="00685D18">
              <w:rPr>
                <w:bCs/>
                <w:sz w:val="18"/>
                <w:szCs w:val="18"/>
              </w:rPr>
              <w:t>Moderate</w:t>
            </w:r>
          </w:p>
        </w:tc>
        <w:tc>
          <w:tcPr>
            <w:tcW w:w="2791" w:type="dxa"/>
            <w:shd w:val="clear" w:color="auto" w:fill="auto"/>
          </w:tcPr>
          <w:p w14:paraId="2A6EF3D6" w14:textId="77777777" w:rsidR="005E4EEC" w:rsidRPr="00685D18" w:rsidRDefault="005E4EEC" w:rsidP="00C34C48">
            <w:pPr>
              <w:spacing w:before="120" w:after="120"/>
              <w:rPr>
                <w:bCs/>
                <w:sz w:val="18"/>
                <w:szCs w:val="18"/>
              </w:rPr>
            </w:pPr>
            <w:r w:rsidRPr="00685D18">
              <w:rPr>
                <w:bCs/>
                <w:sz w:val="18"/>
                <w:szCs w:val="18"/>
              </w:rPr>
              <w:t>Non-experimental (observational) retrospective cross-sectional design</w:t>
            </w:r>
          </w:p>
        </w:tc>
      </w:tr>
      <w:tr w:rsidR="005E4EEC" w:rsidRPr="00685D18" w14:paraId="143451FB" w14:textId="77777777" w:rsidTr="005E4EEC">
        <w:tc>
          <w:tcPr>
            <w:tcW w:w="2640" w:type="dxa"/>
            <w:tcBorders>
              <w:right w:val="single" w:sz="8" w:space="0" w:color="auto"/>
            </w:tcBorders>
            <w:shd w:val="clear" w:color="auto" w:fill="auto"/>
          </w:tcPr>
          <w:p w14:paraId="2CA0D264" w14:textId="77777777" w:rsidR="005E4EEC" w:rsidRPr="00685D18" w:rsidRDefault="005E4EEC" w:rsidP="00C34C48">
            <w:pPr>
              <w:spacing w:before="120" w:after="120"/>
              <w:rPr>
                <w:bCs/>
                <w:sz w:val="18"/>
                <w:szCs w:val="18"/>
              </w:rPr>
            </w:pPr>
            <w:r w:rsidRPr="00685D18">
              <w:rPr>
                <w:bCs/>
                <w:sz w:val="18"/>
                <w:szCs w:val="18"/>
              </w:rPr>
              <w:t>Peggy P. Chan (2017)</w:t>
            </w:r>
          </w:p>
        </w:tc>
        <w:tc>
          <w:tcPr>
            <w:tcW w:w="1662" w:type="dxa"/>
            <w:tcBorders>
              <w:left w:val="single" w:sz="8" w:space="0" w:color="auto"/>
            </w:tcBorders>
            <w:shd w:val="clear" w:color="auto" w:fill="auto"/>
          </w:tcPr>
          <w:p w14:paraId="30B3FF33" w14:textId="77777777" w:rsidR="005E4EEC" w:rsidRPr="00685D18" w:rsidRDefault="005E4EEC" w:rsidP="00C34C48">
            <w:pPr>
              <w:spacing w:before="120" w:after="120"/>
              <w:rPr>
                <w:bCs/>
                <w:sz w:val="18"/>
                <w:szCs w:val="18"/>
              </w:rPr>
            </w:pPr>
            <w:r w:rsidRPr="00685D18">
              <w:rPr>
                <w:bCs/>
                <w:sz w:val="18"/>
                <w:szCs w:val="18"/>
              </w:rPr>
              <w:t>8/11 “yes” *</w:t>
            </w:r>
          </w:p>
          <w:p w14:paraId="04521C33" w14:textId="77777777" w:rsidR="005E4EEC" w:rsidRPr="00685D18" w:rsidRDefault="005E4EEC" w:rsidP="00C34C48">
            <w:pPr>
              <w:spacing w:before="120" w:after="120"/>
              <w:rPr>
                <w:bCs/>
                <w:sz w:val="18"/>
                <w:szCs w:val="18"/>
              </w:rPr>
            </w:pPr>
            <w:r w:rsidRPr="00685D18">
              <w:rPr>
                <w:bCs/>
                <w:sz w:val="18"/>
                <w:szCs w:val="18"/>
              </w:rPr>
              <w:t>Low</w:t>
            </w:r>
          </w:p>
        </w:tc>
        <w:tc>
          <w:tcPr>
            <w:tcW w:w="1787" w:type="dxa"/>
            <w:shd w:val="clear" w:color="auto" w:fill="auto"/>
          </w:tcPr>
          <w:p w14:paraId="5D108DBE" w14:textId="77777777" w:rsidR="005E4EEC" w:rsidRPr="00685D18" w:rsidRDefault="005E4EEC" w:rsidP="00C34C48">
            <w:pPr>
              <w:spacing w:before="120" w:after="120"/>
              <w:jc w:val="center"/>
              <w:rPr>
                <w:bCs/>
                <w:sz w:val="18"/>
                <w:szCs w:val="18"/>
              </w:rPr>
            </w:pPr>
            <w:r>
              <w:rPr>
                <w:bCs/>
                <w:sz w:val="18"/>
                <w:szCs w:val="18"/>
              </w:rPr>
              <w:t>2b - in “prognosis” column, without “poor quality,” but not a systematic review</w:t>
            </w:r>
          </w:p>
        </w:tc>
        <w:tc>
          <w:tcPr>
            <w:tcW w:w="1315" w:type="dxa"/>
            <w:shd w:val="clear" w:color="auto" w:fill="auto"/>
          </w:tcPr>
          <w:p w14:paraId="5F1A9B39" w14:textId="77777777" w:rsidR="005E4EEC" w:rsidRPr="00685D18" w:rsidRDefault="005E4EEC" w:rsidP="00C34C48">
            <w:pPr>
              <w:spacing w:before="120" w:after="120"/>
              <w:jc w:val="center"/>
              <w:rPr>
                <w:bCs/>
                <w:sz w:val="18"/>
                <w:szCs w:val="18"/>
              </w:rPr>
            </w:pPr>
            <w:r w:rsidRPr="00685D18">
              <w:rPr>
                <w:bCs/>
                <w:sz w:val="18"/>
                <w:szCs w:val="18"/>
              </w:rPr>
              <w:t>Moderate</w:t>
            </w:r>
          </w:p>
        </w:tc>
        <w:tc>
          <w:tcPr>
            <w:tcW w:w="2791" w:type="dxa"/>
            <w:shd w:val="clear" w:color="auto" w:fill="auto"/>
          </w:tcPr>
          <w:p w14:paraId="1AC1B473" w14:textId="77777777" w:rsidR="005E4EEC" w:rsidRPr="00685D18" w:rsidRDefault="005E4EEC" w:rsidP="00C34C48">
            <w:pPr>
              <w:spacing w:before="120" w:after="120"/>
              <w:rPr>
                <w:bCs/>
                <w:sz w:val="18"/>
                <w:szCs w:val="18"/>
              </w:rPr>
            </w:pPr>
            <w:r w:rsidRPr="00685D18">
              <w:rPr>
                <w:bCs/>
                <w:sz w:val="18"/>
                <w:szCs w:val="18"/>
              </w:rPr>
              <w:t>Non-experimental (observational) cross-sectional design</w:t>
            </w:r>
          </w:p>
        </w:tc>
      </w:tr>
      <w:tr w:rsidR="005E4EEC" w:rsidRPr="00685D18" w14:paraId="3561950C" w14:textId="77777777" w:rsidTr="005E4EEC">
        <w:tc>
          <w:tcPr>
            <w:tcW w:w="2640" w:type="dxa"/>
            <w:tcBorders>
              <w:right w:val="single" w:sz="8" w:space="0" w:color="auto"/>
            </w:tcBorders>
            <w:shd w:val="clear" w:color="auto" w:fill="auto"/>
          </w:tcPr>
          <w:p w14:paraId="3639D87C" w14:textId="77777777" w:rsidR="005E4EEC" w:rsidRPr="00685D18" w:rsidRDefault="005E4EEC" w:rsidP="00C34C48">
            <w:pPr>
              <w:spacing w:before="120" w:after="120"/>
              <w:rPr>
                <w:bCs/>
                <w:sz w:val="18"/>
                <w:szCs w:val="18"/>
              </w:rPr>
            </w:pPr>
            <w:r w:rsidRPr="00685D18">
              <w:rPr>
                <w:bCs/>
                <w:sz w:val="18"/>
                <w:szCs w:val="18"/>
              </w:rPr>
              <w:t>Anette Forsberg (2013)</w:t>
            </w:r>
          </w:p>
        </w:tc>
        <w:tc>
          <w:tcPr>
            <w:tcW w:w="1662" w:type="dxa"/>
            <w:tcBorders>
              <w:left w:val="single" w:sz="8" w:space="0" w:color="auto"/>
            </w:tcBorders>
            <w:shd w:val="clear" w:color="auto" w:fill="auto"/>
          </w:tcPr>
          <w:p w14:paraId="6432DFC4" w14:textId="77777777" w:rsidR="005E4EEC" w:rsidRPr="00685D18" w:rsidRDefault="005E4EEC" w:rsidP="00C34C48">
            <w:pPr>
              <w:spacing w:before="120" w:after="120"/>
              <w:rPr>
                <w:bCs/>
                <w:sz w:val="18"/>
                <w:szCs w:val="18"/>
              </w:rPr>
            </w:pPr>
            <w:r w:rsidRPr="00685D18">
              <w:rPr>
                <w:bCs/>
                <w:sz w:val="18"/>
                <w:szCs w:val="18"/>
              </w:rPr>
              <w:t>8/11 “yes” *</w:t>
            </w:r>
          </w:p>
          <w:p w14:paraId="0EBF506D" w14:textId="77777777" w:rsidR="005E4EEC" w:rsidRPr="00685D18" w:rsidRDefault="005E4EEC" w:rsidP="00C34C48">
            <w:pPr>
              <w:spacing w:before="120" w:after="120"/>
              <w:rPr>
                <w:bCs/>
                <w:sz w:val="18"/>
                <w:szCs w:val="18"/>
              </w:rPr>
            </w:pPr>
            <w:r w:rsidRPr="00685D18">
              <w:rPr>
                <w:bCs/>
                <w:sz w:val="18"/>
                <w:szCs w:val="18"/>
              </w:rPr>
              <w:t>Low</w:t>
            </w:r>
          </w:p>
        </w:tc>
        <w:tc>
          <w:tcPr>
            <w:tcW w:w="1787" w:type="dxa"/>
            <w:shd w:val="clear" w:color="auto" w:fill="auto"/>
          </w:tcPr>
          <w:p w14:paraId="5C7D207D" w14:textId="77777777" w:rsidR="005E4EEC" w:rsidRPr="00685D18" w:rsidRDefault="005E4EEC" w:rsidP="00C34C48">
            <w:pPr>
              <w:spacing w:before="120" w:after="120"/>
              <w:jc w:val="center"/>
              <w:rPr>
                <w:bCs/>
                <w:sz w:val="18"/>
                <w:szCs w:val="18"/>
              </w:rPr>
            </w:pPr>
            <w:r>
              <w:rPr>
                <w:bCs/>
                <w:sz w:val="18"/>
                <w:szCs w:val="18"/>
              </w:rPr>
              <w:t>2b - in “prognosis” column, without “poor quality,” but not a systematic review</w:t>
            </w:r>
          </w:p>
        </w:tc>
        <w:tc>
          <w:tcPr>
            <w:tcW w:w="1315" w:type="dxa"/>
            <w:shd w:val="clear" w:color="auto" w:fill="auto"/>
          </w:tcPr>
          <w:p w14:paraId="475452C5" w14:textId="77777777" w:rsidR="005E4EEC" w:rsidRPr="00685D18" w:rsidRDefault="005E4EEC" w:rsidP="00C34C48">
            <w:pPr>
              <w:spacing w:before="120" w:after="120"/>
              <w:jc w:val="center"/>
              <w:rPr>
                <w:bCs/>
                <w:sz w:val="18"/>
                <w:szCs w:val="18"/>
              </w:rPr>
            </w:pPr>
            <w:r w:rsidRPr="00685D18">
              <w:rPr>
                <w:bCs/>
                <w:sz w:val="18"/>
                <w:szCs w:val="18"/>
              </w:rPr>
              <w:t xml:space="preserve">Moderate </w:t>
            </w:r>
          </w:p>
        </w:tc>
        <w:tc>
          <w:tcPr>
            <w:tcW w:w="2791" w:type="dxa"/>
            <w:shd w:val="clear" w:color="auto" w:fill="auto"/>
          </w:tcPr>
          <w:p w14:paraId="08F836F9" w14:textId="77777777" w:rsidR="005E4EEC" w:rsidRPr="00685D18" w:rsidRDefault="005E4EEC" w:rsidP="00C34C48">
            <w:pPr>
              <w:spacing w:before="120" w:after="120"/>
              <w:rPr>
                <w:bCs/>
                <w:sz w:val="18"/>
                <w:szCs w:val="18"/>
              </w:rPr>
            </w:pPr>
            <w:r w:rsidRPr="00685D18">
              <w:rPr>
                <w:bCs/>
                <w:sz w:val="18"/>
                <w:szCs w:val="18"/>
              </w:rPr>
              <w:t xml:space="preserve">Non-experimental (observational) cross-sectional design </w:t>
            </w:r>
          </w:p>
        </w:tc>
      </w:tr>
      <w:tr w:rsidR="005E4EEC" w:rsidRPr="00685D18" w14:paraId="3283DF9C" w14:textId="77777777" w:rsidTr="005E4EEC">
        <w:tc>
          <w:tcPr>
            <w:tcW w:w="2640" w:type="dxa"/>
            <w:tcBorders>
              <w:right w:val="single" w:sz="8" w:space="0" w:color="auto"/>
            </w:tcBorders>
            <w:shd w:val="clear" w:color="auto" w:fill="auto"/>
          </w:tcPr>
          <w:p w14:paraId="7B9FB5BD" w14:textId="77777777" w:rsidR="005E4EEC" w:rsidRPr="00685D18" w:rsidRDefault="005E4EEC" w:rsidP="00C34C48">
            <w:pPr>
              <w:spacing w:before="120" w:after="120"/>
              <w:rPr>
                <w:bCs/>
                <w:sz w:val="18"/>
                <w:szCs w:val="18"/>
              </w:rPr>
            </w:pPr>
            <w:r w:rsidRPr="00685D18">
              <w:rPr>
                <w:bCs/>
                <w:sz w:val="18"/>
                <w:szCs w:val="18"/>
              </w:rPr>
              <w:t>Nancy M. Salbach (2006)</w:t>
            </w:r>
          </w:p>
        </w:tc>
        <w:tc>
          <w:tcPr>
            <w:tcW w:w="1662" w:type="dxa"/>
            <w:tcBorders>
              <w:left w:val="single" w:sz="8" w:space="0" w:color="auto"/>
            </w:tcBorders>
            <w:shd w:val="clear" w:color="auto" w:fill="auto"/>
          </w:tcPr>
          <w:p w14:paraId="390BFF55" w14:textId="77777777" w:rsidR="005E4EEC" w:rsidRPr="00685D18" w:rsidRDefault="005E4EEC" w:rsidP="00C34C48">
            <w:pPr>
              <w:spacing w:before="120" w:after="120"/>
              <w:rPr>
                <w:bCs/>
                <w:sz w:val="18"/>
                <w:szCs w:val="18"/>
              </w:rPr>
            </w:pPr>
            <w:r w:rsidRPr="00685D18">
              <w:rPr>
                <w:bCs/>
                <w:sz w:val="18"/>
                <w:szCs w:val="18"/>
              </w:rPr>
              <w:t>7/11 “yes” *</w:t>
            </w:r>
          </w:p>
          <w:p w14:paraId="1C4F3A78" w14:textId="77777777" w:rsidR="005E4EEC" w:rsidRPr="00685D18" w:rsidRDefault="005E4EEC" w:rsidP="00C34C48">
            <w:pPr>
              <w:spacing w:before="120" w:after="120"/>
              <w:rPr>
                <w:bCs/>
                <w:sz w:val="18"/>
                <w:szCs w:val="18"/>
              </w:rPr>
            </w:pPr>
            <w:r w:rsidRPr="00685D18">
              <w:rPr>
                <w:bCs/>
                <w:sz w:val="18"/>
                <w:szCs w:val="18"/>
              </w:rPr>
              <w:t>Moderate</w:t>
            </w:r>
          </w:p>
        </w:tc>
        <w:tc>
          <w:tcPr>
            <w:tcW w:w="1787" w:type="dxa"/>
            <w:shd w:val="clear" w:color="auto" w:fill="auto"/>
          </w:tcPr>
          <w:p w14:paraId="2682D839" w14:textId="77777777" w:rsidR="005E4EEC" w:rsidRPr="00685D18" w:rsidRDefault="005E4EEC" w:rsidP="00C34C48">
            <w:pPr>
              <w:spacing w:before="120" w:after="120"/>
              <w:jc w:val="center"/>
              <w:rPr>
                <w:bCs/>
                <w:sz w:val="18"/>
                <w:szCs w:val="18"/>
              </w:rPr>
            </w:pPr>
            <w:r>
              <w:rPr>
                <w:bCs/>
                <w:sz w:val="18"/>
                <w:szCs w:val="18"/>
              </w:rPr>
              <w:t>2b - in “prognosis” column, without “poor quality,” but not a systematic review</w:t>
            </w:r>
          </w:p>
        </w:tc>
        <w:tc>
          <w:tcPr>
            <w:tcW w:w="1315" w:type="dxa"/>
            <w:shd w:val="clear" w:color="auto" w:fill="auto"/>
          </w:tcPr>
          <w:p w14:paraId="04ADD941" w14:textId="77777777" w:rsidR="005E4EEC" w:rsidRPr="00685D18" w:rsidRDefault="005E4EEC" w:rsidP="00C34C48">
            <w:pPr>
              <w:spacing w:before="120" w:after="120"/>
              <w:jc w:val="center"/>
              <w:rPr>
                <w:bCs/>
                <w:sz w:val="18"/>
                <w:szCs w:val="18"/>
              </w:rPr>
            </w:pPr>
            <w:r w:rsidRPr="00685D18">
              <w:rPr>
                <w:bCs/>
                <w:sz w:val="18"/>
                <w:szCs w:val="18"/>
              </w:rPr>
              <w:t>Moderate</w:t>
            </w:r>
          </w:p>
        </w:tc>
        <w:tc>
          <w:tcPr>
            <w:tcW w:w="2791" w:type="dxa"/>
            <w:shd w:val="clear" w:color="auto" w:fill="auto"/>
          </w:tcPr>
          <w:p w14:paraId="1C743E39" w14:textId="77777777" w:rsidR="005E4EEC" w:rsidRPr="00685D18" w:rsidRDefault="005E4EEC" w:rsidP="00C34C48">
            <w:pPr>
              <w:spacing w:before="120" w:after="120"/>
              <w:rPr>
                <w:bCs/>
                <w:sz w:val="18"/>
                <w:szCs w:val="18"/>
              </w:rPr>
            </w:pPr>
            <w:r w:rsidRPr="00685D18">
              <w:rPr>
                <w:bCs/>
                <w:sz w:val="18"/>
                <w:szCs w:val="18"/>
              </w:rPr>
              <w:t>Non-experimental (observational) cross-sectional design</w:t>
            </w:r>
          </w:p>
        </w:tc>
      </w:tr>
      <w:tr w:rsidR="005E4EEC" w:rsidRPr="00685D18" w14:paraId="1733001F" w14:textId="77777777" w:rsidTr="005E4EEC">
        <w:tc>
          <w:tcPr>
            <w:tcW w:w="2640" w:type="dxa"/>
            <w:tcBorders>
              <w:right w:val="single" w:sz="8" w:space="0" w:color="auto"/>
            </w:tcBorders>
            <w:shd w:val="clear" w:color="auto" w:fill="auto"/>
          </w:tcPr>
          <w:p w14:paraId="0826216B" w14:textId="77777777" w:rsidR="005E4EEC" w:rsidRPr="00685D18" w:rsidRDefault="005E4EEC" w:rsidP="00C34C48">
            <w:pPr>
              <w:spacing w:before="120" w:after="120"/>
              <w:rPr>
                <w:bCs/>
                <w:sz w:val="18"/>
                <w:szCs w:val="18"/>
              </w:rPr>
            </w:pPr>
            <w:r w:rsidRPr="00685D18">
              <w:rPr>
                <w:bCs/>
                <w:sz w:val="18"/>
                <w:szCs w:val="18"/>
              </w:rPr>
              <w:t>Thóra B. Hafsteinsdóttir (2014)</w:t>
            </w:r>
          </w:p>
        </w:tc>
        <w:tc>
          <w:tcPr>
            <w:tcW w:w="1662" w:type="dxa"/>
            <w:tcBorders>
              <w:left w:val="single" w:sz="8" w:space="0" w:color="auto"/>
            </w:tcBorders>
            <w:shd w:val="clear" w:color="auto" w:fill="auto"/>
          </w:tcPr>
          <w:p w14:paraId="39DCACC2" w14:textId="77777777" w:rsidR="005E4EEC" w:rsidRPr="00685D18" w:rsidRDefault="005E4EEC" w:rsidP="00C34C48">
            <w:pPr>
              <w:spacing w:before="120" w:after="120"/>
              <w:rPr>
                <w:bCs/>
                <w:sz w:val="18"/>
                <w:szCs w:val="18"/>
              </w:rPr>
            </w:pPr>
            <w:r w:rsidRPr="00685D18">
              <w:rPr>
                <w:bCs/>
                <w:sz w:val="18"/>
                <w:szCs w:val="18"/>
              </w:rPr>
              <w:t>6/11 AMSTAR</w:t>
            </w:r>
          </w:p>
          <w:p w14:paraId="61DC72BB" w14:textId="77777777" w:rsidR="005E4EEC" w:rsidRPr="00685D18" w:rsidRDefault="005E4EEC" w:rsidP="00C34C48">
            <w:pPr>
              <w:spacing w:before="120" w:after="120"/>
              <w:rPr>
                <w:bCs/>
                <w:sz w:val="18"/>
                <w:szCs w:val="18"/>
              </w:rPr>
            </w:pPr>
            <w:r w:rsidRPr="00685D18">
              <w:rPr>
                <w:bCs/>
                <w:sz w:val="18"/>
                <w:szCs w:val="18"/>
              </w:rPr>
              <w:t xml:space="preserve">Moderate </w:t>
            </w:r>
          </w:p>
        </w:tc>
        <w:tc>
          <w:tcPr>
            <w:tcW w:w="1787" w:type="dxa"/>
            <w:shd w:val="clear" w:color="auto" w:fill="auto"/>
          </w:tcPr>
          <w:p w14:paraId="612A4B1F" w14:textId="77777777" w:rsidR="005E4EEC" w:rsidRPr="00685D18" w:rsidRDefault="005E4EEC" w:rsidP="00C34C48">
            <w:pPr>
              <w:spacing w:before="120" w:after="120"/>
              <w:jc w:val="center"/>
              <w:rPr>
                <w:bCs/>
                <w:sz w:val="18"/>
                <w:szCs w:val="18"/>
              </w:rPr>
            </w:pPr>
            <w:r>
              <w:rPr>
                <w:bCs/>
                <w:sz w:val="18"/>
                <w:szCs w:val="18"/>
              </w:rPr>
              <w:t>2</w:t>
            </w:r>
            <w:r w:rsidRPr="00685D18">
              <w:rPr>
                <w:bCs/>
                <w:sz w:val="18"/>
                <w:szCs w:val="18"/>
              </w:rPr>
              <w:t>a – systematic review of cross-sectional, descriptive, and longitudinal studies</w:t>
            </w:r>
            <w:r>
              <w:rPr>
                <w:bCs/>
                <w:sz w:val="18"/>
                <w:szCs w:val="18"/>
              </w:rPr>
              <w:t xml:space="preserve"> (retrospective)</w:t>
            </w:r>
          </w:p>
        </w:tc>
        <w:tc>
          <w:tcPr>
            <w:tcW w:w="1315" w:type="dxa"/>
            <w:shd w:val="clear" w:color="auto" w:fill="auto"/>
          </w:tcPr>
          <w:p w14:paraId="2E90C046" w14:textId="77777777" w:rsidR="005E4EEC" w:rsidRPr="00685D18" w:rsidRDefault="005E4EEC" w:rsidP="00C34C48">
            <w:pPr>
              <w:spacing w:before="120" w:after="120"/>
              <w:jc w:val="center"/>
              <w:rPr>
                <w:bCs/>
                <w:sz w:val="18"/>
                <w:szCs w:val="18"/>
              </w:rPr>
            </w:pPr>
            <w:r w:rsidRPr="00685D18">
              <w:rPr>
                <w:bCs/>
                <w:sz w:val="18"/>
                <w:szCs w:val="18"/>
              </w:rPr>
              <w:t>Low</w:t>
            </w:r>
          </w:p>
        </w:tc>
        <w:tc>
          <w:tcPr>
            <w:tcW w:w="2791" w:type="dxa"/>
            <w:shd w:val="clear" w:color="auto" w:fill="auto"/>
          </w:tcPr>
          <w:p w14:paraId="022D195F" w14:textId="77777777" w:rsidR="005E4EEC" w:rsidRPr="00685D18" w:rsidRDefault="005E4EEC" w:rsidP="00C34C48">
            <w:pPr>
              <w:spacing w:before="120" w:after="120"/>
              <w:rPr>
                <w:bCs/>
                <w:sz w:val="18"/>
                <w:szCs w:val="18"/>
              </w:rPr>
            </w:pPr>
            <w:r w:rsidRPr="00685D18">
              <w:rPr>
                <w:bCs/>
                <w:sz w:val="18"/>
                <w:szCs w:val="18"/>
              </w:rPr>
              <w:t xml:space="preserve">Systematic Review </w:t>
            </w:r>
          </w:p>
        </w:tc>
      </w:tr>
      <w:tr w:rsidR="005E4EEC" w:rsidRPr="00685D18" w14:paraId="46D0FD70" w14:textId="77777777" w:rsidTr="005E4EEC">
        <w:tc>
          <w:tcPr>
            <w:tcW w:w="2640" w:type="dxa"/>
            <w:tcBorders>
              <w:right w:val="single" w:sz="8" w:space="0" w:color="auto"/>
            </w:tcBorders>
            <w:shd w:val="clear" w:color="auto" w:fill="auto"/>
          </w:tcPr>
          <w:p w14:paraId="1A9857FE" w14:textId="77777777" w:rsidR="005E4EEC" w:rsidRPr="00685D18" w:rsidRDefault="005E4EEC" w:rsidP="00C34C48">
            <w:pPr>
              <w:spacing w:before="120" w:after="120"/>
              <w:rPr>
                <w:bCs/>
                <w:sz w:val="18"/>
                <w:szCs w:val="18"/>
              </w:rPr>
            </w:pPr>
            <w:r w:rsidRPr="00685D18">
              <w:rPr>
                <w:bCs/>
                <w:sz w:val="18"/>
                <w:szCs w:val="18"/>
              </w:rPr>
              <w:t>Kelly Bower (2019)</w:t>
            </w:r>
          </w:p>
        </w:tc>
        <w:tc>
          <w:tcPr>
            <w:tcW w:w="1662" w:type="dxa"/>
            <w:tcBorders>
              <w:left w:val="single" w:sz="8" w:space="0" w:color="auto"/>
            </w:tcBorders>
            <w:shd w:val="clear" w:color="auto" w:fill="auto"/>
          </w:tcPr>
          <w:p w14:paraId="617474A0" w14:textId="77777777" w:rsidR="005E4EEC" w:rsidRPr="00685D18" w:rsidRDefault="005E4EEC" w:rsidP="00C34C48">
            <w:pPr>
              <w:spacing w:before="120" w:after="120"/>
              <w:rPr>
                <w:bCs/>
                <w:sz w:val="18"/>
                <w:szCs w:val="18"/>
              </w:rPr>
            </w:pPr>
            <w:r w:rsidRPr="00685D18">
              <w:rPr>
                <w:bCs/>
                <w:sz w:val="18"/>
                <w:szCs w:val="18"/>
              </w:rPr>
              <w:t>QUIPS – low</w:t>
            </w:r>
          </w:p>
          <w:p w14:paraId="4BAB17A9" w14:textId="77777777" w:rsidR="005E4EEC" w:rsidRPr="00685D18" w:rsidRDefault="005E4EEC" w:rsidP="00C34C48">
            <w:pPr>
              <w:spacing w:before="120" w:after="120"/>
              <w:rPr>
                <w:bCs/>
                <w:sz w:val="18"/>
                <w:szCs w:val="18"/>
              </w:rPr>
            </w:pPr>
            <w:r w:rsidRPr="00685D18">
              <w:rPr>
                <w:bCs/>
                <w:sz w:val="18"/>
                <w:szCs w:val="18"/>
              </w:rPr>
              <w:t>(5/6 sections scored low; 1/6 sections scored moderate)</w:t>
            </w:r>
          </w:p>
        </w:tc>
        <w:tc>
          <w:tcPr>
            <w:tcW w:w="1787" w:type="dxa"/>
            <w:shd w:val="clear" w:color="auto" w:fill="auto"/>
          </w:tcPr>
          <w:p w14:paraId="7DB779B2" w14:textId="77777777" w:rsidR="005E4EEC" w:rsidRPr="00685D18" w:rsidRDefault="005E4EEC" w:rsidP="00C34C48">
            <w:pPr>
              <w:spacing w:before="120" w:after="120"/>
              <w:jc w:val="center"/>
              <w:rPr>
                <w:bCs/>
                <w:sz w:val="18"/>
                <w:szCs w:val="18"/>
              </w:rPr>
            </w:pPr>
            <w:r w:rsidRPr="00685D18">
              <w:rPr>
                <w:bCs/>
                <w:sz w:val="18"/>
                <w:szCs w:val="18"/>
              </w:rPr>
              <w:t xml:space="preserve">1b </w:t>
            </w:r>
            <w:r>
              <w:rPr>
                <w:bCs/>
                <w:sz w:val="18"/>
                <w:szCs w:val="18"/>
              </w:rPr>
              <w:t>– a validating cohort with good reference standards</w:t>
            </w:r>
          </w:p>
        </w:tc>
        <w:tc>
          <w:tcPr>
            <w:tcW w:w="1315" w:type="dxa"/>
            <w:shd w:val="clear" w:color="auto" w:fill="auto"/>
          </w:tcPr>
          <w:p w14:paraId="02C49090" w14:textId="77777777" w:rsidR="005E4EEC" w:rsidRPr="00685D18" w:rsidRDefault="005E4EEC" w:rsidP="00C34C48">
            <w:pPr>
              <w:spacing w:before="120" w:after="120"/>
              <w:jc w:val="center"/>
              <w:rPr>
                <w:bCs/>
                <w:sz w:val="18"/>
                <w:szCs w:val="18"/>
              </w:rPr>
            </w:pPr>
            <w:r w:rsidRPr="00685D18">
              <w:rPr>
                <w:bCs/>
                <w:sz w:val="18"/>
                <w:szCs w:val="18"/>
              </w:rPr>
              <w:t>Moderate</w:t>
            </w:r>
          </w:p>
        </w:tc>
        <w:tc>
          <w:tcPr>
            <w:tcW w:w="2791" w:type="dxa"/>
            <w:shd w:val="clear" w:color="auto" w:fill="auto"/>
          </w:tcPr>
          <w:p w14:paraId="49EA9132" w14:textId="77777777" w:rsidR="005E4EEC" w:rsidRPr="00685D18" w:rsidRDefault="005E4EEC" w:rsidP="00C34C48">
            <w:pPr>
              <w:spacing w:before="120" w:after="120"/>
              <w:rPr>
                <w:bCs/>
                <w:sz w:val="18"/>
                <w:szCs w:val="18"/>
              </w:rPr>
            </w:pPr>
            <w:r w:rsidRPr="00685D18">
              <w:rPr>
                <w:bCs/>
                <w:sz w:val="18"/>
                <w:szCs w:val="18"/>
              </w:rPr>
              <w:t>Prospective cohort study</w:t>
            </w:r>
          </w:p>
        </w:tc>
      </w:tr>
      <w:tr w:rsidR="005E4EEC" w:rsidRPr="00685D18" w14:paraId="0E451842" w14:textId="77777777" w:rsidTr="005E4EEC">
        <w:tc>
          <w:tcPr>
            <w:tcW w:w="2640" w:type="dxa"/>
            <w:tcBorders>
              <w:right w:val="single" w:sz="8" w:space="0" w:color="auto"/>
            </w:tcBorders>
            <w:shd w:val="clear" w:color="auto" w:fill="auto"/>
          </w:tcPr>
          <w:p w14:paraId="5A978D19" w14:textId="77777777" w:rsidR="005E4EEC" w:rsidRPr="00685D18" w:rsidRDefault="005E4EEC" w:rsidP="00C34C48">
            <w:pPr>
              <w:spacing w:before="120" w:after="120"/>
              <w:rPr>
                <w:bCs/>
                <w:sz w:val="18"/>
                <w:szCs w:val="18"/>
              </w:rPr>
            </w:pPr>
            <w:r w:rsidRPr="00685D18">
              <w:rPr>
                <w:bCs/>
                <w:sz w:val="18"/>
                <w:szCs w:val="18"/>
              </w:rPr>
              <w:t>Erica M. Botner (2005)</w:t>
            </w:r>
          </w:p>
        </w:tc>
        <w:tc>
          <w:tcPr>
            <w:tcW w:w="1662" w:type="dxa"/>
            <w:tcBorders>
              <w:left w:val="single" w:sz="8" w:space="0" w:color="auto"/>
            </w:tcBorders>
            <w:shd w:val="clear" w:color="auto" w:fill="auto"/>
          </w:tcPr>
          <w:p w14:paraId="030CE901" w14:textId="77777777" w:rsidR="005E4EEC" w:rsidRPr="00685D18" w:rsidRDefault="005E4EEC" w:rsidP="00C34C48">
            <w:pPr>
              <w:spacing w:before="120" w:after="120"/>
              <w:rPr>
                <w:bCs/>
                <w:sz w:val="18"/>
                <w:szCs w:val="18"/>
              </w:rPr>
            </w:pPr>
            <w:r w:rsidRPr="00685D18">
              <w:rPr>
                <w:bCs/>
                <w:sz w:val="18"/>
                <w:szCs w:val="18"/>
              </w:rPr>
              <w:t>8/11 “yes” *</w:t>
            </w:r>
          </w:p>
          <w:p w14:paraId="21537493" w14:textId="77777777" w:rsidR="005E4EEC" w:rsidRPr="00685D18" w:rsidRDefault="005E4EEC" w:rsidP="00C34C48">
            <w:pPr>
              <w:spacing w:before="120" w:after="120"/>
              <w:rPr>
                <w:bCs/>
                <w:sz w:val="18"/>
                <w:szCs w:val="18"/>
              </w:rPr>
            </w:pPr>
            <w:r w:rsidRPr="00685D18">
              <w:rPr>
                <w:bCs/>
                <w:sz w:val="18"/>
                <w:szCs w:val="18"/>
              </w:rPr>
              <w:t xml:space="preserve">Low </w:t>
            </w:r>
          </w:p>
        </w:tc>
        <w:tc>
          <w:tcPr>
            <w:tcW w:w="1787" w:type="dxa"/>
            <w:shd w:val="clear" w:color="auto" w:fill="auto"/>
          </w:tcPr>
          <w:p w14:paraId="19AC0180" w14:textId="77777777" w:rsidR="005E4EEC" w:rsidRPr="00685D18" w:rsidRDefault="005E4EEC" w:rsidP="00C34C48">
            <w:pPr>
              <w:spacing w:before="120" w:after="120"/>
              <w:jc w:val="center"/>
              <w:rPr>
                <w:bCs/>
                <w:sz w:val="18"/>
                <w:szCs w:val="18"/>
              </w:rPr>
            </w:pPr>
            <w:r>
              <w:rPr>
                <w:bCs/>
                <w:sz w:val="18"/>
                <w:szCs w:val="18"/>
              </w:rPr>
              <w:t>2b - in “prognosis” column, without “poor quality,” but not a systematic review</w:t>
            </w:r>
          </w:p>
        </w:tc>
        <w:tc>
          <w:tcPr>
            <w:tcW w:w="1315" w:type="dxa"/>
            <w:shd w:val="clear" w:color="auto" w:fill="auto"/>
          </w:tcPr>
          <w:p w14:paraId="76C24AA9" w14:textId="77777777" w:rsidR="005E4EEC" w:rsidRPr="00685D18" w:rsidRDefault="005E4EEC" w:rsidP="00C34C48">
            <w:pPr>
              <w:spacing w:before="120" w:after="120"/>
              <w:jc w:val="center"/>
              <w:rPr>
                <w:bCs/>
                <w:sz w:val="18"/>
                <w:szCs w:val="18"/>
              </w:rPr>
            </w:pPr>
            <w:r w:rsidRPr="00685D18">
              <w:rPr>
                <w:bCs/>
                <w:sz w:val="18"/>
                <w:szCs w:val="18"/>
              </w:rPr>
              <w:t>Low</w:t>
            </w:r>
          </w:p>
        </w:tc>
        <w:tc>
          <w:tcPr>
            <w:tcW w:w="2791" w:type="dxa"/>
            <w:shd w:val="clear" w:color="auto" w:fill="auto"/>
          </w:tcPr>
          <w:p w14:paraId="16B73A52" w14:textId="77777777" w:rsidR="005E4EEC" w:rsidRPr="00685D18" w:rsidRDefault="005E4EEC" w:rsidP="00C34C48">
            <w:pPr>
              <w:spacing w:before="120" w:after="120"/>
              <w:rPr>
                <w:bCs/>
                <w:sz w:val="18"/>
                <w:szCs w:val="18"/>
              </w:rPr>
            </w:pPr>
            <w:r w:rsidRPr="00685D18">
              <w:rPr>
                <w:bCs/>
                <w:sz w:val="18"/>
                <w:szCs w:val="18"/>
              </w:rPr>
              <w:t>Non-experimental (observational) cross-sectional design</w:t>
            </w:r>
          </w:p>
        </w:tc>
      </w:tr>
      <w:tr w:rsidR="005E4EEC" w:rsidRPr="00685D18" w14:paraId="0AA978C3" w14:textId="77777777" w:rsidTr="005E4EEC">
        <w:tc>
          <w:tcPr>
            <w:tcW w:w="2640" w:type="dxa"/>
            <w:tcBorders>
              <w:right w:val="single" w:sz="8" w:space="0" w:color="auto"/>
            </w:tcBorders>
            <w:shd w:val="clear" w:color="auto" w:fill="auto"/>
          </w:tcPr>
          <w:p w14:paraId="0BC065DC" w14:textId="77777777" w:rsidR="005E4EEC" w:rsidRPr="00685D18" w:rsidRDefault="005E4EEC" w:rsidP="00C34C48">
            <w:pPr>
              <w:spacing w:before="120" w:after="120"/>
              <w:rPr>
                <w:bCs/>
                <w:sz w:val="18"/>
                <w:szCs w:val="18"/>
              </w:rPr>
            </w:pPr>
            <w:r w:rsidRPr="00685D18">
              <w:rPr>
                <w:bCs/>
                <w:sz w:val="18"/>
                <w:szCs w:val="18"/>
              </w:rPr>
              <w:lastRenderedPageBreak/>
              <w:t>Elen Beatriz Pinto (2014)</w:t>
            </w:r>
          </w:p>
        </w:tc>
        <w:tc>
          <w:tcPr>
            <w:tcW w:w="1662" w:type="dxa"/>
            <w:tcBorders>
              <w:left w:val="single" w:sz="8" w:space="0" w:color="auto"/>
            </w:tcBorders>
            <w:shd w:val="clear" w:color="auto" w:fill="auto"/>
          </w:tcPr>
          <w:p w14:paraId="6F106024" w14:textId="77777777" w:rsidR="005E4EEC" w:rsidRPr="00685D18" w:rsidRDefault="005E4EEC" w:rsidP="00C34C48">
            <w:pPr>
              <w:spacing w:before="120" w:after="120"/>
              <w:rPr>
                <w:bCs/>
                <w:sz w:val="18"/>
                <w:szCs w:val="18"/>
              </w:rPr>
            </w:pPr>
            <w:r w:rsidRPr="00685D18">
              <w:rPr>
                <w:bCs/>
                <w:sz w:val="18"/>
                <w:szCs w:val="18"/>
              </w:rPr>
              <w:t xml:space="preserve">QUIPS – moderate </w:t>
            </w:r>
          </w:p>
          <w:p w14:paraId="62454042" w14:textId="77777777" w:rsidR="005E4EEC" w:rsidRPr="00685D18" w:rsidRDefault="005E4EEC" w:rsidP="00C34C48">
            <w:pPr>
              <w:spacing w:before="120" w:after="120"/>
              <w:rPr>
                <w:bCs/>
                <w:sz w:val="18"/>
                <w:szCs w:val="18"/>
              </w:rPr>
            </w:pPr>
            <w:r w:rsidRPr="00685D18">
              <w:rPr>
                <w:bCs/>
                <w:sz w:val="18"/>
                <w:szCs w:val="18"/>
              </w:rPr>
              <w:t>(2/6 sections scored low, 3/6 sections scored moderate, 1/6 sections scored high)</w:t>
            </w:r>
          </w:p>
        </w:tc>
        <w:tc>
          <w:tcPr>
            <w:tcW w:w="1787" w:type="dxa"/>
            <w:shd w:val="clear" w:color="auto" w:fill="auto"/>
          </w:tcPr>
          <w:p w14:paraId="15BF157F" w14:textId="77777777" w:rsidR="005E4EEC" w:rsidRPr="00685D18" w:rsidRDefault="005E4EEC" w:rsidP="00C34C48">
            <w:pPr>
              <w:spacing w:before="120" w:after="120"/>
              <w:jc w:val="center"/>
              <w:rPr>
                <w:bCs/>
                <w:sz w:val="18"/>
                <w:szCs w:val="18"/>
              </w:rPr>
            </w:pPr>
            <w:r>
              <w:rPr>
                <w:bCs/>
                <w:sz w:val="18"/>
                <w:szCs w:val="18"/>
              </w:rPr>
              <w:t>2b - in “prognosis” column, without “poor quality,” but not a systematic review</w:t>
            </w:r>
          </w:p>
        </w:tc>
        <w:tc>
          <w:tcPr>
            <w:tcW w:w="1315" w:type="dxa"/>
            <w:shd w:val="clear" w:color="auto" w:fill="auto"/>
          </w:tcPr>
          <w:p w14:paraId="5EA863BB" w14:textId="77777777" w:rsidR="005E4EEC" w:rsidRPr="00685D18" w:rsidRDefault="005E4EEC" w:rsidP="00C34C48">
            <w:pPr>
              <w:spacing w:before="120" w:after="120"/>
              <w:jc w:val="center"/>
              <w:rPr>
                <w:bCs/>
                <w:sz w:val="18"/>
                <w:szCs w:val="18"/>
              </w:rPr>
            </w:pPr>
            <w:r w:rsidRPr="00685D18">
              <w:rPr>
                <w:bCs/>
                <w:sz w:val="18"/>
                <w:szCs w:val="18"/>
              </w:rPr>
              <w:t xml:space="preserve">Moderate - high </w:t>
            </w:r>
          </w:p>
        </w:tc>
        <w:tc>
          <w:tcPr>
            <w:tcW w:w="2791" w:type="dxa"/>
            <w:shd w:val="clear" w:color="auto" w:fill="auto"/>
          </w:tcPr>
          <w:p w14:paraId="7D06D86B" w14:textId="77777777" w:rsidR="005E4EEC" w:rsidRPr="00685D18" w:rsidRDefault="005E4EEC" w:rsidP="00C34C48">
            <w:pPr>
              <w:spacing w:before="120" w:after="120"/>
              <w:rPr>
                <w:bCs/>
                <w:sz w:val="18"/>
                <w:szCs w:val="18"/>
              </w:rPr>
            </w:pPr>
            <w:r w:rsidRPr="00685D18">
              <w:rPr>
                <w:bCs/>
                <w:sz w:val="18"/>
                <w:szCs w:val="18"/>
              </w:rPr>
              <w:t>Non-experimental (observational) cross-sectional design</w:t>
            </w:r>
          </w:p>
        </w:tc>
      </w:tr>
    </w:tbl>
    <w:p w14:paraId="64EBB488" w14:textId="5F0B81F9" w:rsidR="00D76272" w:rsidRDefault="00D76272" w:rsidP="00DB1859">
      <w:pPr>
        <w:rPr>
          <w:sz w:val="18"/>
          <w:szCs w:val="18"/>
        </w:rPr>
      </w:pPr>
      <w:r>
        <w:rPr>
          <w:sz w:val="18"/>
          <w:szCs w:val="18"/>
        </w:rPr>
        <w:t>*</w:t>
      </w:r>
      <w:r w:rsidR="005E4EEC" w:rsidRPr="00685D18">
        <w:rPr>
          <w:sz w:val="18"/>
          <w:szCs w:val="18"/>
        </w:rPr>
        <w:t>*</w:t>
      </w:r>
      <w:r w:rsidR="005E4EEC" w:rsidRPr="00685D18">
        <w:rPr>
          <w:sz w:val="18"/>
          <w:szCs w:val="18"/>
          <w:shd w:val="clear" w:color="auto" w:fill="FFFFFF"/>
        </w:rPr>
        <w:t xml:space="preserve"> Jerosch-Herold, C. (2005). An Evidence-Based Approach to Choosing Outcome Measures: A Checklist for the Critical Appraisal of Validity, Reliability and Responsiveness Studies. </w:t>
      </w:r>
      <w:r w:rsidR="005E4EEC" w:rsidRPr="00685D18">
        <w:rPr>
          <w:i/>
          <w:iCs/>
          <w:sz w:val="18"/>
          <w:szCs w:val="18"/>
          <w:shd w:val="clear" w:color="auto" w:fill="FFFFFF"/>
        </w:rPr>
        <w:t>British Journal of Occupational Therapy</w:t>
      </w:r>
      <w:r w:rsidR="005E4EEC" w:rsidRPr="00685D18">
        <w:rPr>
          <w:sz w:val="18"/>
          <w:szCs w:val="18"/>
          <w:shd w:val="clear" w:color="auto" w:fill="FFFFFF"/>
        </w:rPr>
        <w:t>, </w:t>
      </w:r>
      <w:r w:rsidR="005E4EEC" w:rsidRPr="00685D18">
        <w:rPr>
          <w:i/>
          <w:iCs/>
          <w:sz w:val="18"/>
          <w:szCs w:val="18"/>
          <w:shd w:val="clear" w:color="auto" w:fill="FFFFFF"/>
        </w:rPr>
        <w:t>68</w:t>
      </w:r>
      <w:r w:rsidR="005E4EEC" w:rsidRPr="00685D18">
        <w:rPr>
          <w:sz w:val="18"/>
          <w:szCs w:val="18"/>
          <w:shd w:val="clear" w:color="auto" w:fill="FFFFFF"/>
        </w:rPr>
        <w:t>(8), 347–353.</w:t>
      </w:r>
    </w:p>
    <w:p w14:paraId="4179A11E" w14:textId="77777777" w:rsidR="00D76272" w:rsidRDefault="00D76272" w:rsidP="00D76272">
      <w:pPr>
        <w:spacing w:before="120" w:after="120"/>
        <w:rPr>
          <w:b/>
          <w:sz w:val="18"/>
          <w:szCs w:val="18"/>
        </w:rPr>
      </w:pPr>
    </w:p>
    <w:p w14:paraId="7226E253" w14:textId="77777777" w:rsidR="001C5A94" w:rsidRDefault="001403EC" w:rsidP="001C5A94">
      <w:pPr>
        <w:spacing w:before="120" w:after="120"/>
        <w:rPr>
          <w:b/>
          <w:sz w:val="18"/>
          <w:szCs w:val="18"/>
        </w:rPr>
      </w:pPr>
      <w:r w:rsidRPr="00B75AAB">
        <w:rPr>
          <w:b/>
          <w:sz w:val="18"/>
          <w:szCs w:val="18"/>
        </w:rPr>
        <w:t>BEST EVIDENCE</w:t>
      </w:r>
    </w:p>
    <w:p w14:paraId="58C56F9B"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764202C5" w14:textId="77777777" w:rsidTr="002F16E1">
        <w:tc>
          <w:tcPr>
            <w:tcW w:w="10421" w:type="dxa"/>
            <w:shd w:val="clear" w:color="auto" w:fill="auto"/>
          </w:tcPr>
          <w:p w14:paraId="0C4A520B" w14:textId="6DFF846B" w:rsidR="00DB1859" w:rsidRPr="002F16E1" w:rsidRDefault="00DB1859" w:rsidP="00DB1859">
            <w:pPr>
              <w:numPr>
                <w:ilvl w:val="0"/>
                <w:numId w:val="12"/>
              </w:numPr>
              <w:spacing w:before="120" w:after="120"/>
              <w:rPr>
                <w:b/>
                <w:sz w:val="18"/>
                <w:szCs w:val="18"/>
              </w:rPr>
            </w:pPr>
            <w:r>
              <w:rPr>
                <w:b/>
                <w:sz w:val="18"/>
                <w:szCs w:val="18"/>
              </w:rPr>
              <w:t>Bower</w:t>
            </w:r>
            <w:r w:rsidR="00E1571D">
              <w:rPr>
                <w:b/>
                <w:sz w:val="18"/>
                <w:szCs w:val="18"/>
              </w:rPr>
              <w:t xml:space="preserve"> et al.</w:t>
            </w:r>
            <w:r>
              <w:rPr>
                <w:b/>
                <w:sz w:val="18"/>
                <w:szCs w:val="18"/>
              </w:rPr>
              <w:t xml:space="preserve"> </w:t>
            </w:r>
            <w:r w:rsidR="00E1571D">
              <w:rPr>
                <w:b/>
                <w:sz w:val="18"/>
                <w:szCs w:val="18"/>
              </w:rPr>
              <w:t xml:space="preserve">(2019) </w:t>
            </w:r>
            <w:r>
              <w:rPr>
                <w:b/>
                <w:sz w:val="18"/>
                <w:szCs w:val="18"/>
              </w:rPr>
              <w:t xml:space="preserve">– </w:t>
            </w:r>
            <w:r>
              <w:rPr>
                <w:bCs/>
                <w:sz w:val="18"/>
                <w:szCs w:val="18"/>
              </w:rPr>
              <w:t xml:space="preserve">I have chosen this study because it is one of few that </w:t>
            </w:r>
            <w:r w:rsidR="009D4E81">
              <w:rPr>
                <w:bCs/>
                <w:sz w:val="18"/>
                <w:szCs w:val="18"/>
              </w:rPr>
              <w:t>I have</w:t>
            </w:r>
            <w:r>
              <w:rPr>
                <w:bCs/>
                <w:sz w:val="18"/>
                <w:szCs w:val="18"/>
              </w:rPr>
              <w:t xml:space="preserve"> determined to have a low risk of bias. In addition, </w:t>
            </w:r>
            <w:r w:rsidR="00397022">
              <w:rPr>
                <w:bCs/>
                <w:sz w:val="18"/>
                <w:szCs w:val="18"/>
              </w:rPr>
              <w:t>it</w:t>
            </w:r>
            <w:r>
              <w:rPr>
                <w:bCs/>
                <w:sz w:val="18"/>
                <w:szCs w:val="18"/>
              </w:rPr>
              <w:t xml:space="preserve"> has moderate relevance to </w:t>
            </w:r>
            <w:r w:rsidR="00281D41">
              <w:rPr>
                <w:bCs/>
                <w:sz w:val="18"/>
                <w:szCs w:val="18"/>
              </w:rPr>
              <w:t xml:space="preserve">my PICO question as it </w:t>
            </w:r>
            <w:r w:rsidR="009D4E81">
              <w:rPr>
                <w:bCs/>
                <w:sz w:val="18"/>
                <w:szCs w:val="18"/>
              </w:rPr>
              <w:t>investigates</w:t>
            </w:r>
            <w:r w:rsidR="00281D41">
              <w:rPr>
                <w:bCs/>
                <w:sz w:val="18"/>
                <w:szCs w:val="18"/>
              </w:rPr>
              <w:t xml:space="preserve"> falls </w:t>
            </w:r>
            <w:r>
              <w:rPr>
                <w:bCs/>
                <w:sz w:val="18"/>
                <w:szCs w:val="18"/>
              </w:rPr>
              <w:t xml:space="preserve">prediction, the true outcome desired by my PICO question. </w:t>
            </w:r>
            <w:r w:rsidR="00656990">
              <w:rPr>
                <w:bCs/>
                <w:sz w:val="18"/>
                <w:szCs w:val="18"/>
              </w:rPr>
              <w:t>T</w:t>
            </w:r>
            <w:r>
              <w:rPr>
                <w:bCs/>
                <w:sz w:val="18"/>
                <w:szCs w:val="18"/>
              </w:rPr>
              <w:t>his study assess</w:t>
            </w:r>
            <w:r w:rsidR="00656990">
              <w:rPr>
                <w:bCs/>
                <w:sz w:val="18"/>
                <w:szCs w:val="18"/>
              </w:rPr>
              <w:t>es</w:t>
            </w:r>
            <w:r>
              <w:rPr>
                <w:bCs/>
                <w:sz w:val="18"/>
                <w:szCs w:val="18"/>
              </w:rPr>
              <w:t xml:space="preserve"> the predictive strength of various gait and balance measures, including the TUG – one of the components of my PICO question. </w:t>
            </w:r>
            <w:r w:rsidR="00783D5D">
              <w:rPr>
                <w:bCs/>
                <w:sz w:val="18"/>
                <w:szCs w:val="18"/>
              </w:rPr>
              <w:t xml:space="preserve">Because this study addresses several </w:t>
            </w:r>
            <w:r>
              <w:rPr>
                <w:bCs/>
                <w:sz w:val="18"/>
                <w:szCs w:val="18"/>
              </w:rPr>
              <w:t>aspects of my PICO question, it’s moderate relevance and it</w:t>
            </w:r>
            <w:r w:rsidR="00B25AD7">
              <w:rPr>
                <w:bCs/>
                <w:sz w:val="18"/>
                <w:szCs w:val="18"/>
              </w:rPr>
              <w:t>s</w:t>
            </w:r>
            <w:r>
              <w:rPr>
                <w:bCs/>
                <w:sz w:val="18"/>
                <w:szCs w:val="18"/>
              </w:rPr>
              <w:t xml:space="preserve"> low risk for bias cause</w:t>
            </w:r>
            <w:r w:rsidR="00B25AD7">
              <w:rPr>
                <w:bCs/>
                <w:sz w:val="18"/>
                <w:szCs w:val="18"/>
              </w:rPr>
              <w:t>d</w:t>
            </w:r>
            <w:r>
              <w:rPr>
                <w:bCs/>
                <w:sz w:val="18"/>
                <w:szCs w:val="18"/>
              </w:rPr>
              <w:t xml:space="preserve"> me to select it as ‘best’ evidence. </w:t>
            </w:r>
          </w:p>
          <w:p w14:paraId="18CC721A" w14:textId="5240A8D3" w:rsidR="005458B8" w:rsidRPr="00DB1859" w:rsidRDefault="00DB1859" w:rsidP="00DB1859">
            <w:pPr>
              <w:numPr>
                <w:ilvl w:val="0"/>
                <w:numId w:val="12"/>
              </w:numPr>
              <w:spacing w:before="120" w:after="120"/>
              <w:rPr>
                <w:b/>
                <w:sz w:val="18"/>
                <w:szCs w:val="18"/>
              </w:rPr>
            </w:pPr>
            <w:r>
              <w:rPr>
                <w:b/>
                <w:sz w:val="18"/>
                <w:szCs w:val="18"/>
              </w:rPr>
              <w:t>Pinto</w:t>
            </w:r>
            <w:r w:rsidR="00283EA8">
              <w:rPr>
                <w:b/>
                <w:sz w:val="18"/>
                <w:szCs w:val="18"/>
              </w:rPr>
              <w:t xml:space="preserve"> et al. (2014)</w:t>
            </w:r>
            <w:r>
              <w:rPr>
                <w:b/>
                <w:sz w:val="18"/>
                <w:szCs w:val="18"/>
              </w:rPr>
              <w:t xml:space="preserve"> – </w:t>
            </w:r>
            <w:r>
              <w:rPr>
                <w:bCs/>
                <w:sz w:val="18"/>
                <w:szCs w:val="18"/>
              </w:rPr>
              <w:t xml:space="preserve">While this study has moderate risk for bias according to my appraisal with the QUIPS tool, it appears to have the most relevance to my PICO question. </w:t>
            </w:r>
            <w:r w:rsidR="00863A62">
              <w:rPr>
                <w:bCs/>
                <w:sz w:val="18"/>
                <w:szCs w:val="18"/>
              </w:rPr>
              <w:t xml:space="preserve">It addresses the TUG (my outcome measure), as </w:t>
            </w:r>
            <w:r w:rsidR="00863A62" w:rsidRPr="00863A62">
              <w:rPr>
                <w:bCs/>
                <w:sz w:val="18"/>
                <w:szCs w:val="18"/>
              </w:rPr>
              <w:t xml:space="preserve">well as </w:t>
            </w:r>
            <w:r w:rsidRPr="00863A62">
              <w:rPr>
                <w:bCs/>
                <w:sz w:val="18"/>
                <w:szCs w:val="18"/>
              </w:rPr>
              <w:t>falls prediction, which is the outcome in my PICO question. While there are other studies in my selected 8 that have a lower risk for bias, I am choosing this one because, as long as the risk for bias is</w:t>
            </w:r>
            <w:r w:rsidR="000C2159">
              <w:rPr>
                <w:bCs/>
                <w:sz w:val="18"/>
                <w:szCs w:val="18"/>
              </w:rPr>
              <w:t xml:space="preserve"> not</w:t>
            </w:r>
            <w:r w:rsidRPr="00863A62">
              <w:rPr>
                <w:bCs/>
                <w:sz w:val="18"/>
                <w:szCs w:val="18"/>
              </w:rPr>
              <w:t xml:space="preserve"> high, I am plac</w:t>
            </w:r>
            <w:r w:rsidR="004D2548">
              <w:rPr>
                <w:bCs/>
                <w:sz w:val="18"/>
                <w:szCs w:val="18"/>
              </w:rPr>
              <w:t>ing</w:t>
            </w:r>
            <w:r w:rsidRPr="00863A62">
              <w:rPr>
                <w:bCs/>
                <w:sz w:val="18"/>
                <w:szCs w:val="18"/>
              </w:rPr>
              <w:t xml:space="preserve"> more value in the study’s</w:t>
            </w:r>
            <w:r>
              <w:rPr>
                <w:bCs/>
                <w:sz w:val="18"/>
                <w:szCs w:val="18"/>
              </w:rPr>
              <w:t xml:space="preserve"> relevance to my PICO question. And, as mentioned above, there is subjectivity in these measures, which may cause another appraiser to find a different amount of bias (possible lower) in this study.</w:t>
            </w:r>
          </w:p>
        </w:tc>
      </w:tr>
    </w:tbl>
    <w:p w14:paraId="7DFF5024" w14:textId="77777777" w:rsidR="00B930F3" w:rsidRDefault="00B930F3" w:rsidP="0011199B">
      <w:pPr>
        <w:spacing w:before="120" w:after="120"/>
        <w:rPr>
          <w:b/>
          <w:sz w:val="18"/>
          <w:szCs w:val="18"/>
        </w:rPr>
      </w:pPr>
    </w:p>
    <w:p w14:paraId="47A618C4" w14:textId="77777777" w:rsidR="00B930F3" w:rsidRDefault="00B930F3">
      <w:pPr>
        <w:rPr>
          <w:b/>
          <w:sz w:val="18"/>
          <w:szCs w:val="18"/>
        </w:rPr>
      </w:pPr>
      <w:r>
        <w:rPr>
          <w:b/>
          <w:sz w:val="18"/>
          <w:szCs w:val="18"/>
        </w:rPr>
        <w:br w:type="page"/>
      </w:r>
    </w:p>
    <w:p w14:paraId="5D7129AA" w14:textId="46B277AE" w:rsidR="0011199B" w:rsidRDefault="001403EC" w:rsidP="0011199B">
      <w:pPr>
        <w:spacing w:before="120" w:after="120"/>
        <w:rPr>
          <w:b/>
          <w:sz w:val="18"/>
          <w:szCs w:val="18"/>
        </w:rPr>
      </w:pPr>
      <w:r w:rsidRPr="00B75AAB">
        <w:rPr>
          <w:b/>
          <w:sz w:val="18"/>
          <w:szCs w:val="18"/>
        </w:rPr>
        <w:lastRenderedPageBreak/>
        <w:t>SUMMARY OF BEST EVIDENCE</w:t>
      </w:r>
    </w:p>
    <w:p w14:paraId="59584063" w14:textId="59537765" w:rsidR="001403EC" w:rsidRPr="0072033A" w:rsidRDefault="001D4F60" w:rsidP="001D4F60">
      <w:pPr>
        <w:spacing w:before="240" w:after="240"/>
        <w:rPr>
          <w:bCs/>
          <w:sz w:val="18"/>
          <w:szCs w:val="18"/>
          <w:vertAlign w:val="superscript"/>
        </w:rPr>
      </w:pPr>
      <w:r w:rsidRPr="00EC7D97">
        <w:rPr>
          <w:b/>
          <w:sz w:val="18"/>
          <w:szCs w:val="18"/>
        </w:rPr>
        <w:t>(1)</w:t>
      </w:r>
      <w:r w:rsidRPr="00EC7D97">
        <w:rPr>
          <w:bCs/>
          <w:sz w:val="18"/>
          <w:szCs w:val="18"/>
        </w:rPr>
        <w:t xml:space="preserve"> </w:t>
      </w:r>
      <w:r w:rsidR="001403EC" w:rsidRPr="00023A51">
        <w:rPr>
          <w:b/>
          <w:sz w:val="18"/>
          <w:szCs w:val="18"/>
        </w:rPr>
        <w:t xml:space="preserve">Description and appraisal of </w:t>
      </w:r>
      <w:r w:rsidR="00023A51" w:rsidRPr="00023A51">
        <w:rPr>
          <w:b/>
          <w:sz w:val="18"/>
          <w:szCs w:val="18"/>
        </w:rPr>
        <w:t>(</w:t>
      </w:r>
      <w:r w:rsidR="00EC7D97" w:rsidRPr="00023A51">
        <w:rPr>
          <w:b/>
          <w:sz w:val="18"/>
          <w:szCs w:val="18"/>
        </w:rPr>
        <w:t>Dynamic Balance and Instrumented Gait Variables are Independent Predictors of Falls Following Stroke</w:t>
      </w:r>
      <w:r w:rsidR="00023A51" w:rsidRPr="00023A51">
        <w:rPr>
          <w:b/>
          <w:sz w:val="18"/>
          <w:szCs w:val="18"/>
        </w:rPr>
        <w:t>)</w:t>
      </w:r>
      <w:r w:rsidR="00EC7D97" w:rsidRPr="00023A51">
        <w:rPr>
          <w:b/>
          <w:sz w:val="18"/>
          <w:szCs w:val="18"/>
        </w:rPr>
        <w:t xml:space="preserve"> </w:t>
      </w:r>
      <w:r w:rsidR="001E5719" w:rsidRPr="00023A51">
        <w:rPr>
          <w:b/>
          <w:sz w:val="18"/>
          <w:szCs w:val="18"/>
        </w:rPr>
        <w:t>by</w:t>
      </w:r>
      <w:r w:rsidR="00023A51" w:rsidRPr="00023A51">
        <w:rPr>
          <w:b/>
          <w:sz w:val="18"/>
          <w:szCs w:val="18"/>
        </w:rPr>
        <w:t xml:space="preserve"> (</w:t>
      </w:r>
      <w:r w:rsidR="00EC7D97" w:rsidRPr="00023A51">
        <w:rPr>
          <w:b/>
          <w:sz w:val="18"/>
          <w:szCs w:val="18"/>
        </w:rPr>
        <w:t>Bower et al</w:t>
      </w:r>
      <w:r w:rsidR="00023A51" w:rsidRPr="00023A51">
        <w:rPr>
          <w:b/>
          <w:sz w:val="18"/>
          <w:szCs w:val="18"/>
        </w:rPr>
        <w:t xml:space="preserve">, </w:t>
      </w:r>
      <w:r w:rsidR="00EC7D97" w:rsidRPr="00023A51">
        <w:rPr>
          <w:b/>
          <w:sz w:val="18"/>
          <w:szCs w:val="18"/>
        </w:rPr>
        <w:t>2019</w:t>
      </w:r>
      <w:r w:rsidR="00B4688E" w:rsidRPr="00023A51">
        <w:rPr>
          <w:b/>
          <w:sz w:val="18"/>
          <w:szCs w:val="18"/>
        </w:rPr>
        <w:t>)</w:t>
      </w:r>
      <w:r w:rsidR="0072033A">
        <w:rPr>
          <w:b/>
          <w:sz w:val="18"/>
          <w:szCs w:val="18"/>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21A3F6A2" w14:textId="77777777" w:rsidTr="00F36C4B">
        <w:tc>
          <w:tcPr>
            <w:tcW w:w="10195" w:type="dxa"/>
            <w:shd w:val="clear" w:color="auto" w:fill="E6E6E6"/>
          </w:tcPr>
          <w:p w14:paraId="29AB09CE"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38808B4" w14:textId="77777777" w:rsidTr="00F36C4B">
        <w:tc>
          <w:tcPr>
            <w:tcW w:w="10195" w:type="dxa"/>
            <w:tcBorders>
              <w:bottom w:val="single" w:sz="4" w:space="0" w:color="auto"/>
            </w:tcBorders>
            <w:shd w:val="clear" w:color="auto" w:fill="auto"/>
          </w:tcPr>
          <w:p w14:paraId="6757EF66" w14:textId="63658B20" w:rsidR="001D4F60" w:rsidRPr="002F16E1" w:rsidRDefault="00CC09A5" w:rsidP="00BC5842">
            <w:pPr>
              <w:spacing w:before="120" w:after="120"/>
              <w:rPr>
                <w:sz w:val="18"/>
                <w:szCs w:val="18"/>
              </w:rPr>
            </w:pPr>
            <w:r>
              <w:rPr>
                <w:sz w:val="18"/>
                <w:szCs w:val="18"/>
              </w:rPr>
              <w:t xml:space="preserve">To determine the ability of gait and balance variables to predict fall risk </w:t>
            </w:r>
            <w:r w:rsidR="004D6FD8">
              <w:rPr>
                <w:sz w:val="18"/>
                <w:szCs w:val="18"/>
              </w:rPr>
              <w:t xml:space="preserve">in patients </w:t>
            </w:r>
            <w:r>
              <w:rPr>
                <w:sz w:val="18"/>
                <w:szCs w:val="18"/>
              </w:rPr>
              <w:t>post-stroke</w:t>
            </w:r>
            <w:r w:rsidR="004D6FD8">
              <w:rPr>
                <w:sz w:val="18"/>
                <w:szCs w:val="18"/>
              </w:rPr>
              <w:t xml:space="preserve">, </w:t>
            </w:r>
            <w:r>
              <w:rPr>
                <w:sz w:val="18"/>
                <w:szCs w:val="18"/>
              </w:rPr>
              <w:t xml:space="preserve">12 months after discharge from rehabilitation. </w:t>
            </w:r>
          </w:p>
        </w:tc>
      </w:tr>
      <w:tr w:rsidR="001D4F60" w:rsidRPr="002F16E1" w14:paraId="0D165B47" w14:textId="77777777" w:rsidTr="00F36C4B">
        <w:tc>
          <w:tcPr>
            <w:tcW w:w="10195" w:type="dxa"/>
            <w:shd w:val="clear" w:color="auto" w:fill="E6E6E6"/>
          </w:tcPr>
          <w:p w14:paraId="04C2A368" w14:textId="77777777" w:rsidR="001D4F60" w:rsidRPr="002F16E1" w:rsidRDefault="001D4F60" w:rsidP="009E380F">
            <w:pPr>
              <w:spacing w:before="120" w:after="120"/>
              <w:jc w:val="both"/>
              <w:rPr>
                <w:b/>
                <w:sz w:val="18"/>
                <w:szCs w:val="18"/>
              </w:rPr>
            </w:pPr>
            <w:r w:rsidRPr="001144D1">
              <w:rPr>
                <w:b/>
                <w:sz w:val="18"/>
                <w:szCs w:val="18"/>
              </w:rPr>
              <w:t>Study Design</w:t>
            </w:r>
          </w:p>
          <w:p w14:paraId="3A03813B"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38193F8"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sidRPr="001144D1">
              <w:rPr>
                <w:sz w:val="16"/>
                <w:szCs w:val="16"/>
              </w:rPr>
              <w:t>.  For qualitative studies, identify data collection/analyses methods.</w:t>
            </w:r>
          </w:p>
        </w:tc>
      </w:tr>
      <w:tr w:rsidR="001D4F60" w:rsidRPr="002F16E1" w14:paraId="3399D8D2" w14:textId="77777777" w:rsidTr="00F36C4B">
        <w:tc>
          <w:tcPr>
            <w:tcW w:w="10195" w:type="dxa"/>
            <w:tcBorders>
              <w:bottom w:val="single" w:sz="4" w:space="0" w:color="auto"/>
            </w:tcBorders>
            <w:shd w:val="clear" w:color="auto" w:fill="auto"/>
          </w:tcPr>
          <w:p w14:paraId="2E879AE9" w14:textId="284EC0D4" w:rsidR="001D4F60" w:rsidRDefault="00BC5842" w:rsidP="00810FE9">
            <w:pPr>
              <w:spacing w:before="120" w:after="120"/>
              <w:rPr>
                <w:sz w:val="18"/>
                <w:szCs w:val="18"/>
              </w:rPr>
            </w:pPr>
            <w:r>
              <w:rPr>
                <w:sz w:val="18"/>
                <w:szCs w:val="18"/>
              </w:rPr>
              <w:t xml:space="preserve">This prospective cohort study </w:t>
            </w:r>
            <w:r w:rsidR="00B764F1">
              <w:rPr>
                <w:sz w:val="18"/>
                <w:szCs w:val="18"/>
              </w:rPr>
              <w:t xml:space="preserve">involved patients </w:t>
            </w:r>
            <w:r w:rsidR="00831DAB">
              <w:rPr>
                <w:sz w:val="18"/>
                <w:szCs w:val="18"/>
              </w:rPr>
              <w:t xml:space="preserve">within 3 months </w:t>
            </w:r>
            <w:r w:rsidR="00B764F1">
              <w:rPr>
                <w:sz w:val="18"/>
                <w:szCs w:val="18"/>
              </w:rPr>
              <w:t>post-stroke</w:t>
            </w:r>
            <w:r w:rsidR="009C73A2">
              <w:rPr>
                <w:sz w:val="18"/>
                <w:szCs w:val="18"/>
              </w:rPr>
              <w:t xml:space="preserve">. </w:t>
            </w:r>
            <w:r w:rsidR="00696BC1">
              <w:rPr>
                <w:sz w:val="18"/>
                <w:szCs w:val="18"/>
              </w:rPr>
              <w:t xml:space="preserve">Baseline testing was performed within one week before </w:t>
            </w:r>
            <w:r w:rsidR="009C73A2">
              <w:rPr>
                <w:sz w:val="18"/>
                <w:szCs w:val="18"/>
              </w:rPr>
              <w:t xml:space="preserve">each patient’s </w:t>
            </w:r>
            <w:r w:rsidR="00696BC1">
              <w:rPr>
                <w:sz w:val="18"/>
                <w:szCs w:val="18"/>
              </w:rPr>
              <w:t>discharge from the</w:t>
            </w:r>
            <w:r w:rsidR="009C73A2">
              <w:rPr>
                <w:sz w:val="18"/>
                <w:szCs w:val="18"/>
              </w:rPr>
              <w:t>ir</w:t>
            </w:r>
            <w:r w:rsidR="00F4215F">
              <w:rPr>
                <w:sz w:val="18"/>
                <w:szCs w:val="18"/>
              </w:rPr>
              <w:t xml:space="preserve"> respective</w:t>
            </w:r>
            <w:r w:rsidR="00696BC1">
              <w:rPr>
                <w:sz w:val="18"/>
                <w:szCs w:val="18"/>
              </w:rPr>
              <w:t xml:space="preserve"> inpatient rehabilitation facility</w:t>
            </w:r>
            <w:r w:rsidR="009C73A2">
              <w:rPr>
                <w:sz w:val="18"/>
                <w:szCs w:val="18"/>
              </w:rPr>
              <w:t xml:space="preserve">. </w:t>
            </w:r>
            <w:r w:rsidR="00D91D6A">
              <w:rPr>
                <w:sz w:val="18"/>
                <w:szCs w:val="18"/>
              </w:rPr>
              <w:t xml:space="preserve">Fall occurrence was prospectively collected </w:t>
            </w:r>
            <w:r w:rsidR="0029012B">
              <w:rPr>
                <w:sz w:val="18"/>
                <w:szCs w:val="18"/>
              </w:rPr>
              <w:t xml:space="preserve">regarding the 12 months following discharge from rehabilitation. </w:t>
            </w:r>
            <w:r w:rsidR="00F63690">
              <w:rPr>
                <w:sz w:val="18"/>
                <w:szCs w:val="18"/>
              </w:rPr>
              <w:t xml:space="preserve">Participants received a 12-month calendar on which they </w:t>
            </w:r>
            <w:r w:rsidR="00346000">
              <w:rPr>
                <w:sz w:val="18"/>
                <w:szCs w:val="18"/>
              </w:rPr>
              <w:t xml:space="preserve">were instructed to record any falls following discharge from the facility. </w:t>
            </w:r>
            <w:r w:rsidR="0062078D">
              <w:rPr>
                <w:sz w:val="18"/>
                <w:szCs w:val="18"/>
              </w:rPr>
              <w:t xml:space="preserve">Participants returned these calendars to the researchers via mail each month. </w:t>
            </w:r>
          </w:p>
          <w:p w14:paraId="28B7F0B3" w14:textId="7D6F2E42" w:rsidR="00010AB5" w:rsidRPr="002F16E1" w:rsidRDefault="00C114D2" w:rsidP="00810FE9">
            <w:pPr>
              <w:spacing w:before="120" w:after="120"/>
              <w:rPr>
                <w:sz w:val="18"/>
                <w:szCs w:val="18"/>
              </w:rPr>
            </w:pPr>
            <w:r>
              <w:rPr>
                <w:sz w:val="18"/>
                <w:szCs w:val="18"/>
              </w:rPr>
              <w:t xml:space="preserve">Data analysis in this study consists of several different models. </w:t>
            </w:r>
            <w:r w:rsidR="00B22B7F">
              <w:rPr>
                <w:sz w:val="18"/>
                <w:szCs w:val="18"/>
              </w:rPr>
              <w:t xml:space="preserve">The researchers presented all baseline characteristics and outcome variables with </w:t>
            </w:r>
            <w:r w:rsidR="002B4759">
              <w:rPr>
                <w:sz w:val="18"/>
                <w:szCs w:val="18"/>
              </w:rPr>
              <w:t xml:space="preserve">descriptive statistics and between groups comparisons. </w:t>
            </w:r>
            <w:r w:rsidR="00BF7CDA">
              <w:rPr>
                <w:sz w:val="18"/>
                <w:szCs w:val="18"/>
              </w:rPr>
              <w:t>Between group differences for fallers and non-fallers were assessed via independent t-tests, Mann-Whitney U tests, and Chi Square tests when applicable</w:t>
            </w:r>
            <w:r w:rsidR="00E36094">
              <w:rPr>
                <w:sz w:val="18"/>
                <w:szCs w:val="18"/>
              </w:rPr>
              <w:t xml:space="preserve">. </w:t>
            </w:r>
            <w:r w:rsidR="000955D0">
              <w:rPr>
                <w:sz w:val="18"/>
                <w:szCs w:val="18"/>
              </w:rPr>
              <w:t>Regression analysis adjusted</w:t>
            </w:r>
            <w:r w:rsidR="0055221F">
              <w:rPr>
                <w:sz w:val="18"/>
                <w:szCs w:val="18"/>
              </w:rPr>
              <w:t xml:space="preserve"> for the country location, assistance needed, and falls that occurred before the stroke t</w:t>
            </w:r>
            <w:r w:rsidR="00AF0EA1">
              <w:rPr>
                <w:sz w:val="18"/>
                <w:szCs w:val="18"/>
              </w:rPr>
              <w:t xml:space="preserve">o limit potential confounders selected a priori. </w:t>
            </w:r>
            <w:r w:rsidR="000955D0">
              <w:rPr>
                <w:sz w:val="18"/>
                <w:szCs w:val="18"/>
              </w:rPr>
              <w:t>In addition, the researchers completed two separate regression analyses, on</w:t>
            </w:r>
            <w:r w:rsidR="00F4215F">
              <w:rPr>
                <w:sz w:val="18"/>
                <w:szCs w:val="18"/>
              </w:rPr>
              <w:t>e</w:t>
            </w:r>
            <w:r w:rsidR="000955D0">
              <w:rPr>
                <w:sz w:val="18"/>
                <w:szCs w:val="18"/>
              </w:rPr>
              <w:t xml:space="preserve"> that </w:t>
            </w:r>
            <w:r w:rsidR="000955D0" w:rsidRPr="00F4215F">
              <w:rPr>
                <w:i/>
                <w:iCs/>
                <w:sz w:val="18"/>
                <w:szCs w:val="18"/>
              </w:rPr>
              <w:t>included</w:t>
            </w:r>
            <w:r w:rsidR="000955D0">
              <w:rPr>
                <w:sz w:val="18"/>
                <w:szCs w:val="18"/>
              </w:rPr>
              <w:t xml:space="preserve"> individuals requiring assistance or gait aids, and one that </w:t>
            </w:r>
            <w:r w:rsidR="000955D0" w:rsidRPr="00F4215F">
              <w:rPr>
                <w:i/>
                <w:iCs/>
                <w:sz w:val="18"/>
                <w:szCs w:val="18"/>
              </w:rPr>
              <w:t>excluded</w:t>
            </w:r>
            <w:r w:rsidR="000955D0">
              <w:rPr>
                <w:sz w:val="18"/>
                <w:szCs w:val="18"/>
              </w:rPr>
              <w:t xml:space="preserve"> these individuals to further determine the influence of gait assistance</w:t>
            </w:r>
            <w:r w:rsidR="00CD01E9">
              <w:rPr>
                <w:sz w:val="18"/>
                <w:szCs w:val="18"/>
              </w:rPr>
              <w:t xml:space="preserve"> on the gait and balance variables. </w:t>
            </w:r>
            <w:r w:rsidR="005F6EA4">
              <w:rPr>
                <w:sz w:val="18"/>
                <w:szCs w:val="18"/>
              </w:rPr>
              <w:t>Lastly, the researchers used IQR-ORs in order to produce more clinically meaningful comparison</w:t>
            </w:r>
            <w:r w:rsidR="002414E3">
              <w:rPr>
                <w:sz w:val="18"/>
                <w:szCs w:val="18"/>
              </w:rPr>
              <w:t>s</w:t>
            </w:r>
            <w:r w:rsidR="005F6EA4">
              <w:rPr>
                <w:sz w:val="18"/>
                <w:szCs w:val="18"/>
              </w:rPr>
              <w:t xml:space="preserve"> between the variables because they were assessed on different scales. These IQR-ORs </w:t>
            </w:r>
            <w:r w:rsidR="0098288A">
              <w:rPr>
                <w:sz w:val="18"/>
                <w:szCs w:val="18"/>
              </w:rPr>
              <w:t>had a 95% confidence interval and were presented by comparing the 25</w:t>
            </w:r>
            <w:r w:rsidR="0098288A" w:rsidRPr="0098288A">
              <w:rPr>
                <w:sz w:val="18"/>
                <w:szCs w:val="18"/>
                <w:vertAlign w:val="superscript"/>
              </w:rPr>
              <w:t>th</w:t>
            </w:r>
            <w:r w:rsidR="0098288A">
              <w:rPr>
                <w:sz w:val="18"/>
                <w:szCs w:val="18"/>
                <w:vertAlign w:val="superscript"/>
              </w:rPr>
              <w:t xml:space="preserve"> </w:t>
            </w:r>
            <w:r w:rsidR="0098288A">
              <w:rPr>
                <w:sz w:val="18"/>
                <w:szCs w:val="18"/>
              </w:rPr>
              <w:t>– 75</w:t>
            </w:r>
            <w:r w:rsidR="0098288A" w:rsidRPr="0098288A">
              <w:rPr>
                <w:sz w:val="18"/>
                <w:szCs w:val="18"/>
                <w:vertAlign w:val="superscript"/>
              </w:rPr>
              <w:t>th</w:t>
            </w:r>
            <w:r w:rsidR="0098288A">
              <w:rPr>
                <w:sz w:val="18"/>
                <w:szCs w:val="18"/>
              </w:rPr>
              <w:t xml:space="preserve"> percentiles for each variable to ensure their ORs were greater than 1.0.</w:t>
            </w:r>
            <w:r w:rsidR="00F4215F">
              <w:rPr>
                <w:sz w:val="18"/>
                <w:szCs w:val="18"/>
                <w:vertAlign w:val="superscript"/>
              </w:rPr>
              <w:t>1</w:t>
            </w:r>
            <w:r w:rsidR="0098288A">
              <w:rPr>
                <w:sz w:val="18"/>
                <w:szCs w:val="18"/>
              </w:rPr>
              <w:t xml:space="preserve"> </w:t>
            </w:r>
          </w:p>
        </w:tc>
      </w:tr>
      <w:tr w:rsidR="001D4F60" w:rsidRPr="002F16E1" w14:paraId="4D9D10FC" w14:textId="77777777" w:rsidTr="00F36C4B">
        <w:tc>
          <w:tcPr>
            <w:tcW w:w="10195" w:type="dxa"/>
            <w:shd w:val="clear" w:color="auto" w:fill="E6E6E6"/>
          </w:tcPr>
          <w:p w14:paraId="301FC94E" w14:textId="77777777" w:rsidR="001D4F60" w:rsidRPr="002F16E1" w:rsidRDefault="001D4F60" w:rsidP="009E380F">
            <w:pPr>
              <w:spacing w:before="120" w:after="120"/>
              <w:rPr>
                <w:b/>
                <w:sz w:val="18"/>
                <w:szCs w:val="18"/>
              </w:rPr>
            </w:pPr>
            <w:r w:rsidRPr="002F16E1">
              <w:rPr>
                <w:b/>
                <w:sz w:val="18"/>
                <w:szCs w:val="18"/>
              </w:rPr>
              <w:t>Setting</w:t>
            </w:r>
          </w:p>
          <w:p w14:paraId="4E7A8715"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86953C5" w14:textId="77777777" w:rsidTr="00F36C4B">
        <w:tc>
          <w:tcPr>
            <w:tcW w:w="10195" w:type="dxa"/>
            <w:tcBorders>
              <w:bottom w:val="single" w:sz="4" w:space="0" w:color="auto"/>
            </w:tcBorders>
            <w:shd w:val="clear" w:color="auto" w:fill="auto"/>
          </w:tcPr>
          <w:p w14:paraId="6A437195" w14:textId="4F19795C" w:rsidR="001D4F60" w:rsidRPr="002F16E1" w:rsidRDefault="009460F5" w:rsidP="00010AB5">
            <w:pPr>
              <w:spacing w:before="120" w:after="120"/>
              <w:rPr>
                <w:sz w:val="18"/>
                <w:szCs w:val="18"/>
              </w:rPr>
            </w:pPr>
            <w:r>
              <w:rPr>
                <w:sz w:val="18"/>
                <w:szCs w:val="18"/>
              </w:rPr>
              <w:t>Inpatient rehabilitation centers</w:t>
            </w:r>
            <w:r w:rsidR="00976010">
              <w:rPr>
                <w:sz w:val="18"/>
                <w:szCs w:val="18"/>
              </w:rPr>
              <w:t xml:space="preserve">: 2 facilities </w:t>
            </w:r>
            <w:r>
              <w:rPr>
                <w:sz w:val="18"/>
                <w:szCs w:val="18"/>
              </w:rPr>
              <w:t xml:space="preserve">in Australia and </w:t>
            </w:r>
            <w:r w:rsidR="00976010">
              <w:rPr>
                <w:sz w:val="18"/>
                <w:szCs w:val="18"/>
              </w:rPr>
              <w:t xml:space="preserve">2 facilities in </w:t>
            </w:r>
            <w:r>
              <w:rPr>
                <w:sz w:val="18"/>
                <w:szCs w:val="18"/>
              </w:rPr>
              <w:t>Singapore</w:t>
            </w:r>
          </w:p>
        </w:tc>
      </w:tr>
      <w:tr w:rsidR="001D4F60" w:rsidRPr="002F16E1" w14:paraId="31EDB24E" w14:textId="77777777" w:rsidTr="00F36C4B">
        <w:tc>
          <w:tcPr>
            <w:tcW w:w="10195" w:type="dxa"/>
            <w:shd w:val="clear" w:color="auto" w:fill="E6E6E6"/>
          </w:tcPr>
          <w:p w14:paraId="3BBF82F6" w14:textId="77777777" w:rsidR="001D4F60" w:rsidRPr="002F16E1" w:rsidRDefault="001D4F60" w:rsidP="009E380F">
            <w:pPr>
              <w:spacing w:before="120" w:after="120"/>
              <w:rPr>
                <w:b/>
                <w:sz w:val="18"/>
                <w:szCs w:val="18"/>
              </w:rPr>
            </w:pPr>
            <w:r w:rsidRPr="00093A9A">
              <w:rPr>
                <w:b/>
                <w:sz w:val="18"/>
                <w:szCs w:val="18"/>
              </w:rPr>
              <w:t>Participants</w:t>
            </w:r>
          </w:p>
          <w:p w14:paraId="3D0FDB67"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460D590"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5D69F796" w14:textId="77777777" w:rsidTr="00F36C4B">
        <w:tc>
          <w:tcPr>
            <w:tcW w:w="10195" w:type="dxa"/>
            <w:tcBorders>
              <w:bottom w:val="single" w:sz="4" w:space="0" w:color="auto"/>
            </w:tcBorders>
            <w:shd w:val="clear" w:color="auto" w:fill="auto"/>
          </w:tcPr>
          <w:p w14:paraId="2AF48F19" w14:textId="36DF8369" w:rsidR="00A4495B" w:rsidRDefault="004A1FEE" w:rsidP="009E380F">
            <w:pPr>
              <w:spacing w:before="120" w:after="120"/>
              <w:rPr>
                <w:sz w:val="18"/>
                <w:szCs w:val="18"/>
              </w:rPr>
            </w:pPr>
            <w:r>
              <w:rPr>
                <w:sz w:val="18"/>
                <w:szCs w:val="18"/>
              </w:rPr>
              <w:t xml:space="preserve">A purposive sample of </w:t>
            </w:r>
            <w:r w:rsidR="005A279F" w:rsidRPr="007A77C9">
              <w:rPr>
                <w:sz w:val="18"/>
                <w:szCs w:val="18"/>
              </w:rPr>
              <w:t>81</w:t>
            </w:r>
            <w:r w:rsidR="00831DAB">
              <w:rPr>
                <w:sz w:val="18"/>
                <w:szCs w:val="18"/>
              </w:rPr>
              <w:t xml:space="preserve"> participants </w:t>
            </w:r>
            <w:r w:rsidR="007D6820">
              <w:rPr>
                <w:sz w:val="18"/>
                <w:szCs w:val="18"/>
              </w:rPr>
              <w:t xml:space="preserve">post-stroke </w:t>
            </w:r>
            <w:r>
              <w:rPr>
                <w:sz w:val="18"/>
                <w:szCs w:val="18"/>
              </w:rPr>
              <w:t>completed baseline testing and the 12-months of prospective falls follow-up</w:t>
            </w:r>
            <w:r w:rsidR="007D6820">
              <w:rPr>
                <w:sz w:val="18"/>
                <w:szCs w:val="18"/>
              </w:rPr>
              <w:t xml:space="preserve">. </w:t>
            </w:r>
            <w:r w:rsidR="00A4495B">
              <w:rPr>
                <w:sz w:val="18"/>
                <w:szCs w:val="18"/>
              </w:rPr>
              <w:t>Participants were an average of 63 years old (</w:t>
            </w:r>
            <w:r w:rsidR="00A4495B">
              <w:rPr>
                <w:sz w:val="18"/>
                <w:szCs w:val="18"/>
                <w:u w:val="single"/>
              </w:rPr>
              <w:t>+</w:t>
            </w:r>
            <w:r w:rsidR="00A4495B">
              <w:rPr>
                <w:sz w:val="18"/>
                <w:szCs w:val="18"/>
              </w:rPr>
              <w:t xml:space="preserve">13.22), 43 of them were males, and they were assessed a median of 24 days post-stroke. </w:t>
            </w:r>
          </w:p>
          <w:p w14:paraId="06DE2EA2" w14:textId="3D48BFD8" w:rsidR="001D4F60" w:rsidRPr="007A77C9" w:rsidRDefault="00A4495B" w:rsidP="009E380F">
            <w:pPr>
              <w:spacing w:before="120" w:after="120"/>
              <w:rPr>
                <w:sz w:val="18"/>
                <w:szCs w:val="18"/>
              </w:rPr>
            </w:pPr>
            <w:r>
              <w:rPr>
                <w:sz w:val="18"/>
                <w:szCs w:val="18"/>
              </w:rPr>
              <w:t>Participants were recruited via consecutive sampling from 4 different rehabilitation facilities in Singapore and Australia (56 participants from Singapore). While there was no formal neuropsychological assessment of the participants, the researchers consulted the patients’ treatment team to ensure participants had appropriate cognition and communication abilities. Interpreters were used in Singapore as needed.</w:t>
            </w:r>
          </w:p>
          <w:p w14:paraId="53F07DCD" w14:textId="00AC9838" w:rsidR="005A279F" w:rsidRDefault="00A4495B" w:rsidP="009E380F">
            <w:pPr>
              <w:spacing w:before="120" w:after="120"/>
              <w:rPr>
                <w:sz w:val="18"/>
                <w:szCs w:val="18"/>
              </w:rPr>
            </w:pPr>
            <w:r>
              <w:rPr>
                <w:sz w:val="18"/>
                <w:szCs w:val="18"/>
              </w:rPr>
              <w:t>Eligibility criteria include</w:t>
            </w:r>
            <w:r w:rsidR="00100C8A">
              <w:rPr>
                <w:sz w:val="18"/>
                <w:szCs w:val="18"/>
              </w:rPr>
              <w:t>d</w:t>
            </w:r>
            <w:r>
              <w:rPr>
                <w:sz w:val="18"/>
                <w:szCs w:val="18"/>
              </w:rPr>
              <w:t xml:space="preserve"> </w:t>
            </w:r>
            <w:r w:rsidR="007D6820">
              <w:rPr>
                <w:sz w:val="18"/>
                <w:szCs w:val="18"/>
              </w:rPr>
              <w:t>stroke</w:t>
            </w:r>
            <w:r w:rsidR="006F0BEB">
              <w:rPr>
                <w:sz w:val="18"/>
                <w:szCs w:val="18"/>
              </w:rPr>
              <w:t xml:space="preserve"> within 3 months of study, </w:t>
            </w:r>
            <w:r w:rsidR="002414E3">
              <w:rPr>
                <w:sz w:val="18"/>
                <w:szCs w:val="18"/>
              </w:rPr>
              <w:t>ability</w:t>
            </w:r>
            <w:r w:rsidR="006F0BEB">
              <w:rPr>
                <w:sz w:val="18"/>
                <w:szCs w:val="18"/>
              </w:rPr>
              <w:t xml:space="preserve"> to walk 10m with minimal assistance or less, </w:t>
            </w:r>
            <w:r w:rsidR="006C2DA3">
              <w:rPr>
                <w:sz w:val="18"/>
                <w:szCs w:val="18"/>
              </w:rPr>
              <w:t>cognition and language abilit</w:t>
            </w:r>
            <w:r w:rsidR="002414E3">
              <w:rPr>
                <w:sz w:val="18"/>
                <w:szCs w:val="18"/>
              </w:rPr>
              <w:t>ies</w:t>
            </w:r>
            <w:r w:rsidR="006C2DA3">
              <w:rPr>
                <w:sz w:val="18"/>
                <w:szCs w:val="18"/>
              </w:rPr>
              <w:t xml:space="preserve"> sufficient to provide consent and participation in the study, medically stable, </w:t>
            </w:r>
            <w:r w:rsidR="00F64F1F">
              <w:rPr>
                <w:sz w:val="18"/>
                <w:szCs w:val="18"/>
              </w:rPr>
              <w:t xml:space="preserve">and </w:t>
            </w:r>
            <w:r w:rsidR="00F81A74">
              <w:rPr>
                <w:sz w:val="18"/>
                <w:szCs w:val="18"/>
              </w:rPr>
              <w:t>no condition that could confound physical testing (i</w:t>
            </w:r>
            <w:r w:rsidR="002414E3">
              <w:rPr>
                <w:sz w:val="18"/>
                <w:szCs w:val="18"/>
              </w:rPr>
              <w:t>.e.,</w:t>
            </w:r>
            <w:r w:rsidR="00F81A74">
              <w:rPr>
                <w:sz w:val="18"/>
                <w:szCs w:val="18"/>
              </w:rPr>
              <w:t xml:space="preserve"> severe arthritis, progressive neurological disorder)</w:t>
            </w:r>
          </w:p>
          <w:p w14:paraId="0C5CC122" w14:textId="62B0FB1D" w:rsidR="001D4F60" w:rsidRPr="002F16E1" w:rsidRDefault="00100C8A" w:rsidP="00010AB5">
            <w:pPr>
              <w:spacing w:before="120" w:after="120"/>
              <w:rPr>
                <w:sz w:val="18"/>
                <w:szCs w:val="18"/>
              </w:rPr>
            </w:pPr>
            <w:r>
              <w:rPr>
                <w:sz w:val="18"/>
                <w:szCs w:val="18"/>
              </w:rPr>
              <w:t xml:space="preserve">Of the originally recruited 96 participants, 15 were lost to follow up for various reasons: </w:t>
            </w:r>
            <w:r w:rsidR="003B5E02">
              <w:rPr>
                <w:sz w:val="18"/>
                <w:szCs w:val="18"/>
              </w:rPr>
              <w:t xml:space="preserve">voluntary withdrawal (n=7), unable to contact or moved overseas (n=5), </w:t>
            </w:r>
            <w:r w:rsidR="00163BCC">
              <w:rPr>
                <w:sz w:val="18"/>
                <w:szCs w:val="18"/>
              </w:rPr>
              <w:t xml:space="preserve">and </w:t>
            </w:r>
            <w:r w:rsidR="003B5E02">
              <w:rPr>
                <w:sz w:val="18"/>
                <w:szCs w:val="18"/>
              </w:rPr>
              <w:t>death or other serious medical event (n=3)</w:t>
            </w:r>
            <w:r>
              <w:rPr>
                <w:sz w:val="18"/>
                <w:szCs w:val="18"/>
              </w:rPr>
              <w:t xml:space="preserve">. </w:t>
            </w:r>
            <w:r w:rsidR="002A6251">
              <w:rPr>
                <w:sz w:val="18"/>
                <w:szCs w:val="18"/>
              </w:rPr>
              <w:t>The authors note that the participants</w:t>
            </w:r>
            <w:r w:rsidR="008105A4">
              <w:rPr>
                <w:sz w:val="18"/>
                <w:szCs w:val="18"/>
              </w:rPr>
              <w:t xml:space="preserve"> retained in the study and participants who dropped out had no significant differences in baseline characteristics or clinical tests.</w:t>
            </w:r>
          </w:p>
        </w:tc>
      </w:tr>
      <w:tr w:rsidR="001D4F60" w:rsidRPr="002F16E1" w14:paraId="479A1FB0" w14:textId="77777777" w:rsidTr="00F36C4B">
        <w:tc>
          <w:tcPr>
            <w:tcW w:w="10195" w:type="dxa"/>
            <w:shd w:val="clear" w:color="auto" w:fill="E6E6E6"/>
          </w:tcPr>
          <w:p w14:paraId="454C2536" w14:textId="77777777" w:rsidR="001D4F60" w:rsidRPr="002F16E1" w:rsidRDefault="001D4F60" w:rsidP="009E380F">
            <w:pPr>
              <w:spacing w:before="120" w:after="120"/>
              <w:rPr>
                <w:b/>
                <w:sz w:val="18"/>
                <w:szCs w:val="18"/>
              </w:rPr>
            </w:pPr>
            <w:r w:rsidRPr="00360C6B">
              <w:rPr>
                <w:b/>
                <w:sz w:val="18"/>
                <w:szCs w:val="18"/>
              </w:rPr>
              <w:t>Intervention Investigated</w:t>
            </w:r>
          </w:p>
          <w:p w14:paraId="153C5BCA" w14:textId="77777777" w:rsidR="001D4F60" w:rsidRPr="002F16E1" w:rsidRDefault="001D4F60" w:rsidP="009E380F">
            <w:pPr>
              <w:spacing w:before="120" w:after="120"/>
              <w:rPr>
                <w:sz w:val="18"/>
                <w:szCs w:val="18"/>
              </w:rPr>
            </w:pPr>
            <w:r w:rsidRPr="002F16E1">
              <w:rPr>
                <w:sz w:val="18"/>
                <w:szCs w:val="18"/>
              </w:rPr>
              <w:lastRenderedPageBreak/>
              <w:t>[Provide details of methods, who provided treatment, when and where, how many hours of treatment provided]</w:t>
            </w:r>
          </w:p>
        </w:tc>
      </w:tr>
      <w:tr w:rsidR="001D4F60" w:rsidRPr="002F16E1" w14:paraId="5E6BACCE" w14:textId="77777777" w:rsidTr="00F36C4B">
        <w:tc>
          <w:tcPr>
            <w:tcW w:w="10195" w:type="dxa"/>
            <w:shd w:val="clear" w:color="auto" w:fill="auto"/>
          </w:tcPr>
          <w:p w14:paraId="73A8E352" w14:textId="2EFA7E50" w:rsidR="007D02BD" w:rsidRDefault="007D02BD" w:rsidP="009E380F">
            <w:pPr>
              <w:spacing w:before="120" w:after="120"/>
              <w:rPr>
                <w:sz w:val="18"/>
                <w:szCs w:val="18"/>
              </w:rPr>
            </w:pPr>
            <w:r>
              <w:rPr>
                <w:sz w:val="18"/>
                <w:szCs w:val="18"/>
              </w:rPr>
              <w:lastRenderedPageBreak/>
              <w:t>Because this was a prospective cohort study, there was no control group.</w:t>
            </w:r>
          </w:p>
          <w:p w14:paraId="270244E2" w14:textId="3EE510B5" w:rsidR="00153926" w:rsidRPr="002F16E1" w:rsidRDefault="00153926" w:rsidP="00153926">
            <w:pPr>
              <w:spacing w:before="120" w:after="120"/>
              <w:rPr>
                <w:sz w:val="18"/>
                <w:szCs w:val="18"/>
              </w:rPr>
            </w:pPr>
            <w:r>
              <w:rPr>
                <w:sz w:val="18"/>
                <w:szCs w:val="18"/>
              </w:rPr>
              <w:t>Baseline testing include</w:t>
            </w:r>
            <w:r w:rsidR="006A30BE">
              <w:rPr>
                <w:sz w:val="18"/>
                <w:szCs w:val="18"/>
              </w:rPr>
              <w:t>d</w:t>
            </w:r>
            <w:r>
              <w:rPr>
                <w:sz w:val="18"/>
                <w:szCs w:val="18"/>
              </w:rPr>
              <w:t xml:space="preserve"> the Functional Independence Measure (FIM), Modified Rankin Scale, Montreal Cognitive Assessment, Short Falls Efficacy Scale – International, Hospital Anxiety and Depression Scale, Star Cancellation test (for presence of inattention), Functional Comorbidity Index (for comorbidities), and falls history. </w:t>
            </w:r>
          </w:p>
          <w:p w14:paraId="32B029EA" w14:textId="19176013" w:rsidR="00153926" w:rsidRPr="002F16E1" w:rsidRDefault="00B6446B" w:rsidP="009E380F">
            <w:pPr>
              <w:spacing w:before="120" w:after="120"/>
              <w:rPr>
                <w:sz w:val="18"/>
                <w:szCs w:val="18"/>
              </w:rPr>
            </w:pPr>
            <w:r>
              <w:rPr>
                <w:sz w:val="18"/>
                <w:szCs w:val="18"/>
              </w:rPr>
              <w:t>Gait variables measured included a 6-minute walk test on a 10</w:t>
            </w:r>
            <w:r w:rsidR="0037547B">
              <w:rPr>
                <w:sz w:val="18"/>
                <w:szCs w:val="18"/>
              </w:rPr>
              <w:t>-</w:t>
            </w:r>
            <w:r>
              <w:rPr>
                <w:sz w:val="18"/>
                <w:szCs w:val="18"/>
              </w:rPr>
              <w:t>meter track. Other gait variables were measured via a Kinect camera</w:t>
            </w:r>
            <w:r w:rsidR="00BC6C11">
              <w:rPr>
                <w:sz w:val="18"/>
                <w:szCs w:val="18"/>
              </w:rPr>
              <w:t xml:space="preserve"> </w:t>
            </w:r>
            <w:r w:rsidR="00C71BC2">
              <w:rPr>
                <w:sz w:val="18"/>
                <w:szCs w:val="18"/>
              </w:rPr>
              <w:t xml:space="preserve">and included gait speed, stride length, step width, gait speed variability, step length asymmetry, mediolateral pelvic displacement, and vertical pelvic displacement. </w:t>
            </w:r>
          </w:p>
          <w:p w14:paraId="538CA485" w14:textId="2DC9C81D" w:rsidR="001D4F60" w:rsidRDefault="000A14D5" w:rsidP="009E380F">
            <w:pPr>
              <w:spacing w:before="120" w:after="120"/>
              <w:rPr>
                <w:sz w:val="18"/>
                <w:szCs w:val="18"/>
              </w:rPr>
            </w:pPr>
            <w:r>
              <w:rPr>
                <w:sz w:val="18"/>
                <w:szCs w:val="18"/>
              </w:rPr>
              <w:t>Dynamic standing balance was measured via the TUG (including a dual task</w:t>
            </w:r>
            <w:r w:rsidR="00EA333E">
              <w:rPr>
                <w:sz w:val="18"/>
                <w:szCs w:val="18"/>
              </w:rPr>
              <w:t xml:space="preserve"> TUG</w:t>
            </w:r>
            <w:r>
              <w:rPr>
                <w:sz w:val="18"/>
                <w:szCs w:val="18"/>
              </w:rPr>
              <w:t>)</w:t>
            </w:r>
            <w:r w:rsidR="00D96F09">
              <w:rPr>
                <w:sz w:val="18"/>
                <w:szCs w:val="18"/>
              </w:rPr>
              <w:t xml:space="preserve"> and step test. </w:t>
            </w:r>
            <w:r w:rsidR="0001252E">
              <w:rPr>
                <w:sz w:val="18"/>
                <w:szCs w:val="18"/>
              </w:rPr>
              <w:t>Static balance was assessed via a Wii Balance Board. Participants were permitted to use</w:t>
            </w:r>
            <w:r w:rsidR="002414E3">
              <w:rPr>
                <w:sz w:val="18"/>
                <w:szCs w:val="18"/>
              </w:rPr>
              <w:t xml:space="preserve"> shoes</w:t>
            </w:r>
            <w:r w:rsidR="0001252E">
              <w:rPr>
                <w:sz w:val="18"/>
                <w:szCs w:val="18"/>
              </w:rPr>
              <w:t xml:space="preserve">, gait aides, or minimal physical assistance during the TUG if necessary. </w:t>
            </w:r>
            <w:r w:rsidR="00303378">
              <w:rPr>
                <w:sz w:val="18"/>
                <w:szCs w:val="18"/>
              </w:rPr>
              <w:t>Researchers averaged 2 successful trials for each gait and balance test.</w:t>
            </w:r>
            <w:r w:rsidR="00CC4060">
              <w:rPr>
                <w:sz w:val="18"/>
                <w:szCs w:val="18"/>
              </w:rPr>
              <w:t xml:space="preserve"> </w:t>
            </w:r>
          </w:p>
          <w:p w14:paraId="0CA62F27" w14:textId="7F0463B3" w:rsidR="001D4F60" w:rsidRPr="002F16E1" w:rsidRDefault="00093A9A" w:rsidP="009E380F">
            <w:pPr>
              <w:spacing w:before="120" w:after="120"/>
              <w:rPr>
                <w:sz w:val="18"/>
                <w:szCs w:val="18"/>
              </w:rPr>
            </w:pPr>
            <w:r>
              <w:rPr>
                <w:sz w:val="18"/>
                <w:szCs w:val="18"/>
              </w:rPr>
              <w:t xml:space="preserve">Follow-up: </w:t>
            </w:r>
            <w:r w:rsidR="00A745A0">
              <w:rPr>
                <w:sz w:val="18"/>
                <w:szCs w:val="18"/>
              </w:rPr>
              <w:t>Participants used the 12-month</w:t>
            </w:r>
            <w:r w:rsidR="00EF541F">
              <w:rPr>
                <w:sz w:val="18"/>
                <w:szCs w:val="18"/>
              </w:rPr>
              <w:t xml:space="preserve"> calendar provided to record any falls they had. They submitted this record to researchers monthly. </w:t>
            </w:r>
            <w:r w:rsidR="00340129">
              <w:rPr>
                <w:sz w:val="18"/>
                <w:szCs w:val="18"/>
              </w:rPr>
              <w:t xml:space="preserve">Fall details recorded included time, location, activity, and injuries sustained. </w:t>
            </w:r>
          </w:p>
        </w:tc>
      </w:tr>
      <w:tr w:rsidR="001D4F60" w:rsidRPr="002F16E1" w14:paraId="3270513D" w14:textId="77777777" w:rsidTr="00F36C4B">
        <w:tc>
          <w:tcPr>
            <w:tcW w:w="10195" w:type="dxa"/>
            <w:shd w:val="clear" w:color="auto" w:fill="E6E6E6"/>
          </w:tcPr>
          <w:p w14:paraId="68A6660A" w14:textId="77777777" w:rsidR="001D4F60" w:rsidRPr="002F16E1" w:rsidRDefault="001D4F60" w:rsidP="009E380F">
            <w:pPr>
              <w:spacing w:before="120" w:after="120"/>
              <w:rPr>
                <w:sz w:val="18"/>
                <w:szCs w:val="18"/>
              </w:rPr>
            </w:pPr>
            <w:r w:rsidRPr="002F16E1">
              <w:rPr>
                <w:b/>
                <w:sz w:val="18"/>
                <w:szCs w:val="18"/>
              </w:rPr>
              <w:t>Outcome Measures</w:t>
            </w:r>
          </w:p>
          <w:p w14:paraId="52A581C5"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346E1958" w14:textId="77777777" w:rsidTr="00F36C4B">
        <w:tc>
          <w:tcPr>
            <w:tcW w:w="10195" w:type="dxa"/>
            <w:tcBorders>
              <w:bottom w:val="single" w:sz="4" w:space="0" w:color="auto"/>
            </w:tcBorders>
            <w:shd w:val="clear" w:color="auto" w:fill="auto"/>
          </w:tcPr>
          <w:p w14:paraId="269BC023" w14:textId="0EEC83B9" w:rsidR="001D4F60" w:rsidRDefault="00412D20" w:rsidP="009E380F">
            <w:pPr>
              <w:spacing w:before="120" w:after="120"/>
              <w:rPr>
                <w:sz w:val="18"/>
                <w:szCs w:val="18"/>
              </w:rPr>
            </w:pPr>
            <w:r>
              <w:rPr>
                <w:sz w:val="18"/>
                <w:szCs w:val="18"/>
              </w:rPr>
              <w:t>Experienced physical therapists and exercise physiologists c</w:t>
            </w:r>
            <w:r w:rsidR="00D94909">
              <w:rPr>
                <w:sz w:val="18"/>
                <w:szCs w:val="18"/>
              </w:rPr>
              <w:t>ollected demographic and stroke characteristics information including country, age, sex, time since stroke, lesion side, and type of stroke.</w:t>
            </w:r>
            <w:r w:rsidR="00DF436E">
              <w:rPr>
                <w:sz w:val="18"/>
                <w:szCs w:val="18"/>
              </w:rPr>
              <w:t xml:space="preserve"> Participants underwent baseline testing in their respective inpatient rehabilitation facility one week before they were discharged from their respective facility. Experienced physical therapists and exercise physiologists performed outcome measures on participants. </w:t>
            </w:r>
          </w:p>
          <w:p w14:paraId="41266E8F" w14:textId="77777777" w:rsidR="00262FBF" w:rsidRDefault="00D94909" w:rsidP="009E380F">
            <w:pPr>
              <w:spacing w:before="120" w:after="120"/>
              <w:rPr>
                <w:sz w:val="18"/>
                <w:szCs w:val="18"/>
              </w:rPr>
            </w:pPr>
            <w:r>
              <w:rPr>
                <w:sz w:val="18"/>
                <w:szCs w:val="18"/>
              </w:rPr>
              <w:t xml:space="preserve">Outcome measures used included the Functional Independence Measure (FIM), Modified Rankin Scale, Montreal </w:t>
            </w:r>
            <w:r w:rsidR="00F63690">
              <w:rPr>
                <w:sz w:val="18"/>
                <w:szCs w:val="18"/>
              </w:rPr>
              <w:t>Cognitive</w:t>
            </w:r>
            <w:r>
              <w:rPr>
                <w:sz w:val="18"/>
                <w:szCs w:val="18"/>
              </w:rPr>
              <w:t xml:space="preserve"> Assessment</w:t>
            </w:r>
            <w:r w:rsidR="00C82501">
              <w:rPr>
                <w:sz w:val="18"/>
                <w:szCs w:val="18"/>
              </w:rPr>
              <w:t xml:space="preserve"> (MoCA)</w:t>
            </w:r>
            <w:r>
              <w:rPr>
                <w:sz w:val="18"/>
                <w:szCs w:val="18"/>
              </w:rPr>
              <w:t xml:space="preserve">, Short Falls Efficacy Scale – International, Hospital Anxiety and Depression Scale, Star Cancellation test (for presence of inattention), and Functional Comorbidity Index (for comorbidities). </w:t>
            </w:r>
          </w:p>
          <w:p w14:paraId="671D84F7" w14:textId="1652B53C" w:rsidR="00262FBF" w:rsidRDefault="00EA333E" w:rsidP="009E380F">
            <w:pPr>
              <w:spacing w:before="120" w:after="120"/>
              <w:rPr>
                <w:sz w:val="18"/>
                <w:szCs w:val="18"/>
              </w:rPr>
            </w:pPr>
            <w:r>
              <w:rPr>
                <w:sz w:val="18"/>
                <w:szCs w:val="18"/>
              </w:rPr>
              <w:t xml:space="preserve">The </w:t>
            </w:r>
            <w:r w:rsidR="001E63EA">
              <w:rPr>
                <w:sz w:val="18"/>
                <w:szCs w:val="18"/>
              </w:rPr>
              <w:t xml:space="preserve">FIM </w:t>
            </w:r>
            <w:r w:rsidR="00262FBF">
              <w:rPr>
                <w:sz w:val="18"/>
                <w:szCs w:val="18"/>
              </w:rPr>
              <w:t>assess an individual’s functional status and independence. S</w:t>
            </w:r>
            <w:r w:rsidR="001E63EA">
              <w:rPr>
                <w:sz w:val="18"/>
                <w:szCs w:val="18"/>
              </w:rPr>
              <w:t xml:space="preserve">cores range 18-126, with higher scores indicating higher function. </w:t>
            </w:r>
          </w:p>
          <w:p w14:paraId="39064A93" w14:textId="77777777" w:rsidR="00262FBF" w:rsidRDefault="00262FBF" w:rsidP="009E380F">
            <w:pPr>
              <w:spacing w:before="120" w:after="120"/>
              <w:rPr>
                <w:sz w:val="18"/>
                <w:szCs w:val="18"/>
              </w:rPr>
            </w:pPr>
            <w:r>
              <w:rPr>
                <w:sz w:val="18"/>
                <w:szCs w:val="18"/>
              </w:rPr>
              <w:t xml:space="preserve">The Modified Rankin measures one’s level of disability after a stroke. </w:t>
            </w:r>
            <w:r w:rsidR="001E63EA">
              <w:rPr>
                <w:sz w:val="18"/>
                <w:szCs w:val="18"/>
              </w:rPr>
              <w:t xml:space="preserve">Scores range from 0 (no symptoms of disability) to 6 (dead). </w:t>
            </w:r>
          </w:p>
          <w:p w14:paraId="7F155F61" w14:textId="77777777" w:rsidR="00D51883" w:rsidRDefault="00262FBF" w:rsidP="009E380F">
            <w:pPr>
              <w:spacing w:before="120" w:after="120"/>
              <w:rPr>
                <w:sz w:val="18"/>
                <w:szCs w:val="18"/>
              </w:rPr>
            </w:pPr>
            <w:r>
              <w:rPr>
                <w:sz w:val="18"/>
                <w:szCs w:val="18"/>
              </w:rPr>
              <w:t xml:space="preserve">The MoCA is used to assess cognitive impairment. </w:t>
            </w:r>
            <w:r w:rsidR="00C82501">
              <w:rPr>
                <w:sz w:val="18"/>
                <w:szCs w:val="18"/>
              </w:rPr>
              <w:t xml:space="preserve">The highest possible score on the MoCA is 30 points, with higher scores indicating better cognition. </w:t>
            </w:r>
          </w:p>
          <w:p w14:paraId="58E786A2" w14:textId="77777777" w:rsidR="00AE593D" w:rsidRDefault="00FA4B4B" w:rsidP="009E380F">
            <w:pPr>
              <w:spacing w:before="120" w:after="120"/>
              <w:rPr>
                <w:sz w:val="18"/>
                <w:szCs w:val="18"/>
              </w:rPr>
            </w:pPr>
            <w:r>
              <w:rPr>
                <w:sz w:val="18"/>
                <w:szCs w:val="18"/>
              </w:rPr>
              <w:t>The Short Falls Efficacy Scale</w:t>
            </w:r>
            <w:r w:rsidR="00D51883">
              <w:rPr>
                <w:sz w:val="18"/>
                <w:szCs w:val="18"/>
              </w:rPr>
              <w:t xml:space="preserve"> assesses fear of falling.</w:t>
            </w:r>
            <w:r>
              <w:rPr>
                <w:sz w:val="18"/>
                <w:szCs w:val="18"/>
              </w:rPr>
              <w:t xml:space="preserve"> </w:t>
            </w:r>
            <w:r w:rsidR="00D51883">
              <w:rPr>
                <w:sz w:val="18"/>
                <w:szCs w:val="18"/>
              </w:rPr>
              <w:t>S</w:t>
            </w:r>
            <w:r>
              <w:rPr>
                <w:sz w:val="18"/>
                <w:szCs w:val="18"/>
              </w:rPr>
              <w:t xml:space="preserve">cores range 16-64 with higher scores indicating a greater fear of falling. </w:t>
            </w:r>
          </w:p>
          <w:p w14:paraId="7081EB3B" w14:textId="77777777" w:rsidR="00286B8B" w:rsidRDefault="00103AB9" w:rsidP="009E380F">
            <w:pPr>
              <w:spacing w:before="120" w:after="120"/>
              <w:rPr>
                <w:sz w:val="18"/>
                <w:szCs w:val="18"/>
              </w:rPr>
            </w:pPr>
            <w:r>
              <w:rPr>
                <w:sz w:val="18"/>
                <w:szCs w:val="18"/>
              </w:rPr>
              <w:t xml:space="preserve">The </w:t>
            </w:r>
            <w:r w:rsidR="00E15E2D">
              <w:rPr>
                <w:sz w:val="18"/>
                <w:szCs w:val="18"/>
              </w:rPr>
              <w:t xml:space="preserve">Hospital Anxiety and Depression Scale </w:t>
            </w:r>
            <w:r w:rsidR="00286B8B">
              <w:rPr>
                <w:sz w:val="18"/>
                <w:szCs w:val="18"/>
              </w:rPr>
              <w:t xml:space="preserve">measures anxiety and depression levels in individuals with health problems. The </w:t>
            </w:r>
            <w:r>
              <w:rPr>
                <w:sz w:val="18"/>
                <w:szCs w:val="18"/>
              </w:rPr>
              <w:t xml:space="preserve">maximum score on the Hospital Anxiety and Depression Scale is 42, with higher scores indicating greater levels of anxiety and depression. </w:t>
            </w:r>
          </w:p>
          <w:p w14:paraId="674DAE47" w14:textId="52E15365" w:rsidR="00D94909" w:rsidRPr="002F16E1" w:rsidRDefault="00D85D3C" w:rsidP="009E380F">
            <w:pPr>
              <w:spacing w:before="120" w:after="120"/>
              <w:rPr>
                <w:sz w:val="18"/>
                <w:szCs w:val="18"/>
              </w:rPr>
            </w:pPr>
            <w:r>
              <w:rPr>
                <w:sz w:val="18"/>
                <w:szCs w:val="18"/>
              </w:rPr>
              <w:t xml:space="preserve">The Functional Comorbidity Index </w:t>
            </w:r>
            <w:r w:rsidR="00DD34E5">
              <w:rPr>
                <w:sz w:val="18"/>
                <w:szCs w:val="18"/>
              </w:rPr>
              <w:t>measures the impact of having several comorbidities and the resulting impaired function. S</w:t>
            </w:r>
            <w:r>
              <w:rPr>
                <w:sz w:val="18"/>
                <w:szCs w:val="18"/>
              </w:rPr>
              <w:t xml:space="preserve">cores range 0-18, with higher scores indicate greater comorbidity </w:t>
            </w:r>
            <w:r w:rsidR="00813824">
              <w:rPr>
                <w:sz w:val="18"/>
                <w:szCs w:val="18"/>
              </w:rPr>
              <w:t xml:space="preserve">and impaired physical function. </w:t>
            </w:r>
          </w:p>
          <w:p w14:paraId="4026C200" w14:textId="2ADFD1F1" w:rsidR="001D4F60" w:rsidRDefault="00FD22E7" w:rsidP="009E380F">
            <w:pPr>
              <w:spacing w:before="120" w:after="120"/>
              <w:rPr>
                <w:sz w:val="18"/>
                <w:szCs w:val="18"/>
              </w:rPr>
            </w:pPr>
            <w:r>
              <w:rPr>
                <w:sz w:val="18"/>
                <w:szCs w:val="18"/>
              </w:rPr>
              <w:t xml:space="preserve">Falls </w:t>
            </w:r>
            <w:r w:rsidR="00287076">
              <w:rPr>
                <w:sz w:val="18"/>
                <w:szCs w:val="18"/>
              </w:rPr>
              <w:t xml:space="preserve">were </w:t>
            </w:r>
            <w:r>
              <w:rPr>
                <w:sz w:val="18"/>
                <w:szCs w:val="18"/>
              </w:rPr>
              <w:t xml:space="preserve">recorded daily on 12-month calendar. Fall details included time, location, activity, and injuries sustained. </w:t>
            </w:r>
          </w:p>
          <w:p w14:paraId="1D844DE7" w14:textId="2D5CBF24" w:rsidR="0001252E" w:rsidRDefault="007653BF" w:rsidP="009E380F">
            <w:pPr>
              <w:spacing w:before="120" w:after="120"/>
              <w:rPr>
                <w:sz w:val="18"/>
                <w:szCs w:val="18"/>
              </w:rPr>
            </w:pPr>
            <w:r>
              <w:rPr>
                <w:sz w:val="18"/>
                <w:szCs w:val="18"/>
              </w:rPr>
              <w:t xml:space="preserve">The dynamic balance tests include the TUG and the step test. The TUG </w:t>
            </w:r>
            <w:r w:rsidR="002E3B46">
              <w:rPr>
                <w:sz w:val="18"/>
                <w:szCs w:val="18"/>
              </w:rPr>
              <w:t xml:space="preserve">was performed with a dual task component (i.e. counting backwards by certain multiples of numbers). </w:t>
            </w:r>
            <w:r w:rsidR="001D7F73">
              <w:rPr>
                <w:sz w:val="18"/>
                <w:szCs w:val="18"/>
              </w:rPr>
              <w:t xml:space="preserve">Lower values </w:t>
            </w:r>
            <w:r w:rsidR="00EA333E">
              <w:rPr>
                <w:sz w:val="18"/>
                <w:szCs w:val="18"/>
              </w:rPr>
              <w:t xml:space="preserve">(times)n </w:t>
            </w:r>
            <w:r w:rsidR="001D7F73">
              <w:rPr>
                <w:sz w:val="18"/>
                <w:szCs w:val="18"/>
              </w:rPr>
              <w:t xml:space="preserve">on the TUG indicate better performance. Higher scores on the step test indicate better performance. </w:t>
            </w:r>
          </w:p>
          <w:p w14:paraId="115CE948" w14:textId="08FD4771" w:rsidR="001D4F60" w:rsidRPr="002F16E1" w:rsidRDefault="002C26F1" w:rsidP="00862CF2">
            <w:pPr>
              <w:spacing w:before="120" w:after="120"/>
              <w:rPr>
                <w:sz w:val="18"/>
                <w:szCs w:val="18"/>
              </w:rPr>
            </w:pPr>
            <w:r>
              <w:rPr>
                <w:sz w:val="18"/>
                <w:szCs w:val="18"/>
              </w:rPr>
              <w:t>The Wii Balance Bo</w:t>
            </w:r>
            <w:r w:rsidR="00F91316">
              <w:rPr>
                <w:sz w:val="18"/>
                <w:szCs w:val="18"/>
              </w:rPr>
              <w:t xml:space="preserve">ard </w:t>
            </w:r>
            <w:r w:rsidR="00E96435">
              <w:rPr>
                <w:sz w:val="18"/>
                <w:szCs w:val="18"/>
              </w:rPr>
              <w:t xml:space="preserve">assesses </w:t>
            </w:r>
            <w:r w:rsidR="0001252E">
              <w:rPr>
                <w:sz w:val="18"/>
                <w:szCs w:val="18"/>
              </w:rPr>
              <w:t>total, mediolateral, and anteroposterior center of pressure velocity</w:t>
            </w:r>
            <w:r w:rsidR="00E96435">
              <w:rPr>
                <w:sz w:val="18"/>
                <w:szCs w:val="18"/>
              </w:rPr>
              <w:t xml:space="preserve"> to determine static balance. </w:t>
            </w:r>
            <w:r w:rsidR="002E1527">
              <w:rPr>
                <w:sz w:val="18"/>
                <w:szCs w:val="18"/>
              </w:rPr>
              <w:t xml:space="preserve">Smaller values on this test </w:t>
            </w:r>
            <w:r w:rsidR="00D62B72">
              <w:rPr>
                <w:sz w:val="18"/>
                <w:szCs w:val="18"/>
              </w:rPr>
              <w:t xml:space="preserve">indicate better </w:t>
            </w:r>
            <w:r w:rsidR="008D7A41">
              <w:rPr>
                <w:sz w:val="18"/>
                <w:szCs w:val="18"/>
              </w:rPr>
              <w:t>performance.</w:t>
            </w:r>
            <w:r w:rsidR="004345C5">
              <w:rPr>
                <w:sz w:val="18"/>
                <w:szCs w:val="18"/>
              </w:rPr>
              <w:t xml:space="preserve"> </w:t>
            </w:r>
          </w:p>
        </w:tc>
      </w:tr>
      <w:tr w:rsidR="001D4F60" w:rsidRPr="002F16E1" w14:paraId="71F19FB2" w14:textId="77777777" w:rsidTr="00F36C4B">
        <w:tc>
          <w:tcPr>
            <w:tcW w:w="10195" w:type="dxa"/>
            <w:tcBorders>
              <w:bottom w:val="single" w:sz="4" w:space="0" w:color="auto"/>
            </w:tcBorders>
            <w:shd w:val="clear" w:color="auto" w:fill="E6E6E6"/>
          </w:tcPr>
          <w:p w14:paraId="7ECF028E" w14:textId="77777777" w:rsidR="001D4F60" w:rsidRPr="002F16E1" w:rsidRDefault="001D4F60" w:rsidP="009E380F">
            <w:pPr>
              <w:spacing w:before="120" w:after="120"/>
              <w:rPr>
                <w:b/>
                <w:sz w:val="18"/>
                <w:szCs w:val="18"/>
              </w:rPr>
            </w:pPr>
            <w:r w:rsidRPr="00D30F0C">
              <w:rPr>
                <w:b/>
                <w:sz w:val="18"/>
                <w:szCs w:val="18"/>
              </w:rPr>
              <w:t>Main Findings</w:t>
            </w:r>
          </w:p>
          <w:p w14:paraId="66A20DA0"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1B7F1D18" w14:textId="77777777" w:rsidTr="00F36C4B">
        <w:tc>
          <w:tcPr>
            <w:tcW w:w="10195" w:type="dxa"/>
            <w:tcBorders>
              <w:bottom w:val="single" w:sz="4" w:space="0" w:color="auto"/>
            </w:tcBorders>
            <w:shd w:val="clear" w:color="auto" w:fill="auto"/>
          </w:tcPr>
          <w:p w14:paraId="6963C1DC" w14:textId="366511A1" w:rsidR="005E4224" w:rsidRDefault="005E4224" w:rsidP="005E4224">
            <w:pPr>
              <w:spacing w:before="120" w:after="120"/>
              <w:rPr>
                <w:sz w:val="18"/>
                <w:szCs w:val="18"/>
              </w:rPr>
            </w:pPr>
            <w:r w:rsidRPr="005E4224">
              <w:rPr>
                <w:sz w:val="18"/>
                <w:szCs w:val="18"/>
              </w:rPr>
              <w:t xml:space="preserve">The study’s results determined that baseline characteristics were similar across groups for the majority of items. There were significant between-group differences between fallers and non-fallers observed for the </w:t>
            </w:r>
            <w:r w:rsidRPr="005E4224">
              <w:rPr>
                <w:sz w:val="18"/>
                <w:szCs w:val="18"/>
              </w:rPr>
              <w:lastRenderedPageBreak/>
              <w:t xml:space="preserve">Modified Rankin Scale, Short Falls Efficacy Scale-International, prior stroke, and falls in the 12 months preceding stroke (p = 0.008-0.046). The remaining baseline characteristics demonstrated no between-group differences. </w:t>
            </w:r>
          </w:p>
          <w:p w14:paraId="5E6210FF" w14:textId="524D5ECC" w:rsidR="004B38DD" w:rsidRPr="005E4224" w:rsidRDefault="004B38DD" w:rsidP="005E4224">
            <w:pPr>
              <w:spacing w:before="120" w:after="120"/>
              <w:rPr>
                <w:sz w:val="18"/>
                <w:szCs w:val="18"/>
              </w:rPr>
            </w:pPr>
            <w:r>
              <w:rPr>
                <w:sz w:val="18"/>
                <w:szCs w:val="18"/>
              </w:rPr>
              <w:t>Over the 12-month period of the study, 28% of participants fell at least once, and 16% fell more than once. 47% of the falls occurred in the home, 32%</w:t>
            </w:r>
            <w:r w:rsidR="009650B1">
              <w:rPr>
                <w:sz w:val="18"/>
                <w:szCs w:val="18"/>
              </w:rPr>
              <w:t xml:space="preserve"> of which occurred when negotiating stairs, and 24% occurred during walking. </w:t>
            </w:r>
          </w:p>
          <w:p w14:paraId="00BEFE2D" w14:textId="77777777" w:rsidR="00073567" w:rsidRDefault="00073567"/>
          <w:tbl>
            <w:tblPr>
              <w:tblStyle w:val="TableGrid"/>
              <w:tblW w:w="0" w:type="auto"/>
              <w:tblLook w:val="04A0" w:firstRow="1" w:lastRow="0" w:firstColumn="1" w:lastColumn="0" w:noHBand="0" w:noVBand="1"/>
            </w:tblPr>
            <w:tblGrid>
              <w:gridCol w:w="1436"/>
              <w:gridCol w:w="1271"/>
              <w:gridCol w:w="1362"/>
              <w:gridCol w:w="1200"/>
              <w:gridCol w:w="3699"/>
              <w:gridCol w:w="1001"/>
            </w:tblGrid>
            <w:tr w:rsidR="00E97C11" w14:paraId="7E9AEB56" w14:textId="4A5DD73B" w:rsidTr="00227DA7">
              <w:tc>
                <w:tcPr>
                  <w:tcW w:w="1436" w:type="dxa"/>
                </w:tcPr>
                <w:p w14:paraId="0EF7B717" w14:textId="452A4FD0" w:rsidR="00E97C11" w:rsidRDefault="00E97C11" w:rsidP="00204494">
                  <w:pPr>
                    <w:spacing w:before="120" w:after="120"/>
                    <w:rPr>
                      <w:sz w:val="18"/>
                      <w:szCs w:val="18"/>
                    </w:rPr>
                  </w:pPr>
                  <w:r>
                    <w:rPr>
                      <w:sz w:val="18"/>
                      <w:szCs w:val="18"/>
                    </w:rPr>
                    <w:t>Variables</w:t>
                  </w:r>
                </w:p>
              </w:tc>
              <w:tc>
                <w:tcPr>
                  <w:tcW w:w="1271" w:type="dxa"/>
                </w:tcPr>
                <w:p w14:paraId="226264AF" w14:textId="77777777" w:rsidR="00E97C11" w:rsidRDefault="00E97C11" w:rsidP="00204494">
                  <w:pPr>
                    <w:spacing w:before="120" w:after="120"/>
                    <w:rPr>
                      <w:sz w:val="18"/>
                      <w:szCs w:val="18"/>
                    </w:rPr>
                  </w:pPr>
                  <w:r>
                    <w:rPr>
                      <w:sz w:val="18"/>
                      <w:szCs w:val="18"/>
                    </w:rPr>
                    <w:t>Non-Fallers</w:t>
                  </w:r>
                </w:p>
                <w:p w14:paraId="5037B3F0" w14:textId="12E4A713" w:rsidR="00E97C11" w:rsidRPr="0046261F" w:rsidRDefault="00E97C11" w:rsidP="00204494">
                  <w:pPr>
                    <w:spacing w:before="120" w:after="120"/>
                    <w:rPr>
                      <w:sz w:val="18"/>
                      <w:szCs w:val="18"/>
                    </w:rPr>
                  </w:pPr>
                  <w:r>
                    <w:rPr>
                      <w:sz w:val="18"/>
                      <w:szCs w:val="18"/>
                    </w:rPr>
                    <w:t xml:space="preserve">Mean </w:t>
                  </w:r>
                  <w:r>
                    <w:rPr>
                      <w:sz w:val="18"/>
                      <w:szCs w:val="18"/>
                      <w:u w:val="single"/>
                    </w:rPr>
                    <w:t>+</w:t>
                  </w:r>
                  <w:r>
                    <w:rPr>
                      <w:sz w:val="18"/>
                      <w:szCs w:val="18"/>
                    </w:rPr>
                    <w:t xml:space="preserve"> SD</w:t>
                  </w:r>
                </w:p>
              </w:tc>
              <w:tc>
                <w:tcPr>
                  <w:tcW w:w="1362" w:type="dxa"/>
                </w:tcPr>
                <w:p w14:paraId="18B0D098" w14:textId="77777777" w:rsidR="00E97C11" w:rsidRDefault="00E97C11" w:rsidP="00204494">
                  <w:pPr>
                    <w:spacing w:before="120" w:after="120"/>
                    <w:rPr>
                      <w:sz w:val="18"/>
                      <w:szCs w:val="18"/>
                    </w:rPr>
                  </w:pPr>
                  <w:r>
                    <w:rPr>
                      <w:sz w:val="18"/>
                      <w:szCs w:val="18"/>
                    </w:rPr>
                    <w:t>Fallers</w:t>
                  </w:r>
                </w:p>
                <w:p w14:paraId="03FEDC14" w14:textId="523F0752" w:rsidR="00E97C11" w:rsidRDefault="00E97C11" w:rsidP="00204494">
                  <w:pPr>
                    <w:spacing w:before="120" w:after="120"/>
                    <w:rPr>
                      <w:sz w:val="18"/>
                      <w:szCs w:val="18"/>
                    </w:rPr>
                  </w:pPr>
                  <w:r>
                    <w:rPr>
                      <w:sz w:val="18"/>
                      <w:szCs w:val="18"/>
                    </w:rPr>
                    <w:t xml:space="preserve">Mean </w:t>
                  </w:r>
                  <w:r>
                    <w:rPr>
                      <w:sz w:val="18"/>
                      <w:szCs w:val="18"/>
                      <w:u w:val="single"/>
                    </w:rPr>
                    <w:t>+</w:t>
                  </w:r>
                  <w:r>
                    <w:rPr>
                      <w:sz w:val="18"/>
                      <w:szCs w:val="18"/>
                    </w:rPr>
                    <w:t xml:space="preserve"> SD</w:t>
                  </w:r>
                </w:p>
              </w:tc>
              <w:tc>
                <w:tcPr>
                  <w:tcW w:w="1200" w:type="dxa"/>
                </w:tcPr>
                <w:p w14:paraId="06A6BF8E" w14:textId="77777777" w:rsidR="00E97C11" w:rsidRDefault="00E97C11" w:rsidP="00204494">
                  <w:pPr>
                    <w:spacing w:before="120" w:after="120"/>
                    <w:rPr>
                      <w:sz w:val="18"/>
                      <w:szCs w:val="18"/>
                    </w:rPr>
                  </w:pPr>
                  <w:r>
                    <w:rPr>
                      <w:sz w:val="18"/>
                      <w:szCs w:val="18"/>
                    </w:rPr>
                    <w:t xml:space="preserve">Between-group </w:t>
                  </w:r>
                </w:p>
                <w:p w14:paraId="634D8F3B" w14:textId="5708C628" w:rsidR="00E97C11" w:rsidRDefault="00E97C11" w:rsidP="00204494">
                  <w:pPr>
                    <w:spacing w:before="120" w:after="120"/>
                    <w:rPr>
                      <w:sz w:val="18"/>
                      <w:szCs w:val="18"/>
                    </w:rPr>
                  </w:pPr>
                  <w:r>
                    <w:rPr>
                      <w:sz w:val="18"/>
                      <w:szCs w:val="18"/>
                    </w:rPr>
                    <w:t>p-value</w:t>
                  </w:r>
                </w:p>
              </w:tc>
              <w:tc>
                <w:tcPr>
                  <w:tcW w:w="3699" w:type="dxa"/>
                </w:tcPr>
                <w:p w14:paraId="15E03802" w14:textId="58D05200" w:rsidR="00E97C11" w:rsidRPr="00E97C11" w:rsidRDefault="00E97C11" w:rsidP="00E97C11">
                  <w:pPr>
                    <w:spacing w:before="120" w:after="120"/>
                    <w:jc w:val="center"/>
                    <w:rPr>
                      <w:sz w:val="15"/>
                      <w:szCs w:val="15"/>
                      <w:u w:val="single"/>
                    </w:rPr>
                  </w:pPr>
                  <w:r w:rsidRPr="00E97C11">
                    <w:rPr>
                      <w:sz w:val="15"/>
                      <w:szCs w:val="15"/>
                      <w:u w:val="single"/>
                    </w:rPr>
                    <w:t>Adjusted for country, prior falls, gait assistance</w:t>
                  </w:r>
                </w:p>
                <w:p w14:paraId="317CAB78" w14:textId="7791225D" w:rsidR="00E97C11" w:rsidRDefault="00E97C11" w:rsidP="00E97C11">
                  <w:pPr>
                    <w:spacing w:before="120" w:after="120"/>
                    <w:jc w:val="center"/>
                    <w:rPr>
                      <w:sz w:val="18"/>
                      <w:szCs w:val="18"/>
                    </w:rPr>
                  </w:pPr>
                  <w:r>
                    <w:rPr>
                      <w:sz w:val="18"/>
                      <w:szCs w:val="18"/>
                    </w:rPr>
                    <w:t>IQR-OR (95% CI)</w:t>
                  </w:r>
                </w:p>
              </w:tc>
              <w:tc>
                <w:tcPr>
                  <w:tcW w:w="1001" w:type="dxa"/>
                </w:tcPr>
                <w:p w14:paraId="6B5D50BB" w14:textId="2E12B97C" w:rsidR="00E97C11" w:rsidRDefault="00E97C11" w:rsidP="00204494">
                  <w:pPr>
                    <w:spacing w:before="120" w:after="120"/>
                    <w:rPr>
                      <w:sz w:val="18"/>
                      <w:szCs w:val="18"/>
                    </w:rPr>
                  </w:pPr>
                  <w:r>
                    <w:rPr>
                      <w:sz w:val="18"/>
                      <w:szCs w:val="18"/>
                    </w:rPr>
                    <w:t>P-value</w:t>
                  </w:r>
                </w:p>
              </w:tc>
            </w:tr>
            <w:tr w:rsidR="00E97C11" w14:paraId="2572C87F" w14:textId="3EA48B3B" w:rsidTr="00227DA7">
              <w:tc>
                <w:tcPr>
                  <w:tcW w:w="1436" w:type="dxa"/>
                </w:tcPr>
                <w:p w14:paraId="18433470" w14:textId="6C19E2DE" w:rsidR="00E97C11" w:rsidRDefault="00E97C11" w:rsidP="00204494">
                  <w:pPr>
                    <w:spacing w:before="120" w:after="120"/>
                    <w:rPr>
                      <w:sz w:val="18"/>
                      <w:szCs w:val="18"/>
                    </w:rPr>
                  </w:pPr>
                  <w:r>
                    <w:rPr>
                      <w:sz w:val="18"/>
                      <w:szCs w:val="18"/>
                    </w:rPr>
                    <w:t>Stride length</w:t>
                  </w:r>
                </w:p>
              </w:tc>
              <w:tc>
                <w:tcPr>
                  <w:tcW w:w="1271" w:type="dxa"/>
                </w:tcPr>
                <w:p w14:paraId="653F5945" w14:textId="5FCB1235" w:rsidR="00E97C11" w:rsidRDefault="009E0C9F" w:rsidP="00204494">
                  <w:pPr>
                    <w:spacing w:before="120" w:after="120"/>
                    <w:rPr>
                      <w:sz w:val="18"/>
                      <w:szCs w:val="18"/>
                    </w:rPr>
                  </w:pPr>
                  <w:r>
                    <w:rPr>
                      <w:sz w:val="18"/>
                      <w:szCs w:val="18"/>
                    </w:rPr>
                    <w:t>1.03</w:t>
                  </w:r>
                  <w:r>
                    <w:rPr>
                      <w:sz w:val="18"/>
                      <w:szCs w:val="18"/>
                    </w:rPr>
                    <w:sym w:font="Symbol" w:char="F0B1"/>
                  </w:r>
                  <w:r>
                    <w:rPr>
                      <w:sz w:val="18"/>
                      <w:szCs w:val="18"/>
                    </w:rPr>
                    <w:t>0.26</w:t>
                  </w:r>
                </w:p>
              </w:tc>
              <w:tc>
                <w:tcPr>
                  <w:tcW w:w="1362" w:type="dxa"/>
                </w:tcPr>
                <w:p w14:paraId="4A5088D4" w14:textId="4E62175D" w:rsidR="00E97C11" w:rsidRDefault="009E0C9F" w:rsidP="00204494">
                  <w:pPr>
                    <w:spacing w:before="120" w:after="120"/>
                    <w:rPr>
                      <w:sz w:val="18"/>
                      <w:szCs w:val="18"/>
                    </w:rPr>
                  </w:pPr>
                  <w:r>
                    <w:rPr>
                      <w:sz w:val="18"/>
                      <w:szCs w:val="18"/>
                    </w:rPr>
                    <w:t>0.87</w:t>
                  </w:r>
                  <w:r>
                    <w:rPr>
                      <w:sz w:val="18"/>
                      <w:szCs w:val="18"/>
                    </w:rPr>
                    <w:sym w:font="Symbol" w:char="F0B1"/>
                  </w:r>
                  <w:r>
                    <w:rPr>
                      <w:sz w:val="18"/>
                      <w:szCs w:val="18"/>
                    </w:rPr>
                    <w:t>0.31</w:t>
                  </w:r>
                </w:p>
              </w:tc>
              <w:tc>
                <w:tcPr>
                  <w:tcW w:w="1200" w:type="dxa"/>
                </w:tcPr>
                <w:p w14:paraId="0E9E01EA" w14:textId="70C7798F" w:rsidR="00E97C11" w:rsidRDefault="009E0C9F" w:rsidP="00204494">
                  <w:pPr>
                    <w:spacing w:before="120" w:after="120"/>
                    <w:rPr>
                      <w:sz w:val="18"/>
                      <w:szCs w:val="18"/>
                    </w:rPr>
                  </w:pPr>
                  <w:r>
                    <w:rPr>
                      <w:sz w:val="18"/>
                      <w:szCs w:val="18"/>
                    </w:rPr>
                    <w:t>0.043*</w:t>
                  </w:r>
                </w:p>
              </w:tc>
              <w:tc>
                <w:tcPr>
                  <w:tcW w:w="3699" w:type="dxa"/>
                </w:tcPr>
                <w:p w14:paraId="5EBC19C4" w14:textId="7ED237DB" w:rsidR="00E97C11" w:rsidRDefault="009E0C9F" w:rsidP="00204494">
                  <w:pPr>
                    <w:spacing w:before="120" w:after="120"/>
                    <w:rPr>
                      <w:sz w:val="18"/>
                      <w:szCs w:val="18"/>
                    </w:rPr>
                  </w:pPr>
                  <w:r>
                    <w:rPr>
                      <w:sz w:val="18"/>
                      <w:szCs w:val="18"/>
                    </w:rPr>
                    <w:t>4.23 (1.14-15.66)</w:t>
                  </w:r>
                </w:p>
              </w:tc>
              <w:tc>
                <w:tcPr>
                  <w:tcW w:w="1001" w:type="dxa"/>
                </w:tcPr>
                <w:p w14:paraId="6EEC3D26" w14:textId="6BFE6AD7" w:rsidR="00E97C11" w:rsidRDefault="009E0C9F" w:rsidP="00204494">
                  <w:pPr>
                    <w:spacing w:before="120" w:after="120"/>
                    <w:rPr>
                      <w:sz w:val="18"/>
                      <w:szCs w:val="18"/>
                    </w:rPr>
                  </w:pPr>
                  <w:r>
                    <w:rPr>
                      <w:sz w:val="18"/>
                      <w:szCs w:val="18"/>
                    </w:rPr>
                    <w:t>0.031*</w:t>
                  </w:r>
                </w:p>
              </w:tc>
            </w:tr>
            <w:tr w:rsidR="00E97C11" w14:paraId="55ED696F" w14:textId="099B98C5" w:rsidTr="00227DA7">
              <w:tc>
                <w:tcPr>
                  <w:tcW w:w="1436" w:type="dxa"/>
                </w:tcPr>
                <w:p w14:paraId="3F827E4A" w14:textId="7D913124" w:rsidR="00E97C11" w:rsidRDefault="00E97C11" w:rsidP="00204494">
                  <w:pPr>
                    <w:spacing w:before="120" w:after="120"/>
                    <w:rPr>
                      <w:sz w:val="18"/>
                      <w:szCs w:val="18"/>
                    </w:rPr>
                  </w:pPr>
                  <w:r>
                    <w:rPr>
                      <w:sz w:val="18"/>
                      <w:szCs w:val="18"/>
                    </w:rPr>
                    <w:t>Gait speed variability</w:t>
                  </w:r>
                </w:p>
              </w:tc>
              <w:tc>
                <w:tcPr>
                  <w:tcW w:w="1271" w:type="dxa"/>
                </w:tcPr>
                <w:p w14:paraId="0C33A1AC" w14:textId="6C546096" w:rsidR="00E97C11" w:rsidRDefault="009E0C9F" w:rsidP="00204494">
                  <w:pPr>
                    <w:spacing w:before="120" w:after="120"/>
                    <w:rPr>
                      <w:sz w:val="18"/>
                      <w:szCs w:val="18"/>
                    </w:rPr>
                  </w:pPr>
                  <w:r>
                    <w:rPr>
                      <w:sz w:val="18"/>
                      <w:szCs w:val="18"/>
                    </w:rPr>
                    <w:t>0.17</w:t>
                  </w:r>
                  <w:r>
                    <w:rPr>
                      <w:sz w:val="18"/>
                      <w:szCs w:val="18"/>
                    </w:rPr>
                    <w:sym w:font="Symbol" w:char="F0B1"/>
                  </w:r>
                  <w:r>
                    <w:rPr>
                      <w:sz w:val="18"/>
                      <w:szCs w:val="18"/>
                    </w:rPr>
                    <w:t>0.09</w:t>
                  </w:r>
                </w:p>
              </w:tc>
              <w:tc>
                <w:tcPr>
                  <w:tcW w:w="1362" w:type="dxa"/>
                </w:tcPr>
                <w:p w14:paraId="33CDED38" w14:textId="15797179" w:rsidR="00E97C11" w:rsidRDefault="009E0C9F" w:rsidP="00204494">
                  <w:pPr>
                    <w:spacing w:before="120" w:after="120"/>
                    <w:rPr>
                      <w:sz w:val="18"/>
                      <w:szCs w:val="18"/>
                    </w:rPr>
                  </w:pPr>
                  <w:r>
                    <w:rPr>
                      <w:sz w:val="18"/>
                      <w:szCs w:val="18"/>
                    </w:rPr>
                    <w:t>0.13</w:t>
                  </w:r>
                  <w:r>
                    <w:rPr>
                      <w:sz w:val="18"/>
                      <w:szCs w:val="18"/>
                    </w:rPr>
                    <w:sym w:font="Symbol" w:char="F0B1"/>
                  </w:r>
                  <w:r>
                    <w:rPr>
                      <w:sz w:val="18"/>
                      <w:szCs w:val="18"/>
                    </w:rPr>
                    <w:t>0.04</w:t>
                  </w:r>
                </w:p>
              </w:tc>
              <w:tc>
                <w:tcPr>
                  <w:tcW w:w="1200" w:type="dxa"/>
                </w:tcPr>
                <w:p w14:paraId="7E125DD9" w14:textId="190D5592" w:rsidR="00E97C11" w:rsidRDefault="009E0C9F" w:rsidP="00204494">
                  <w:pPr>
                    <w:spacing w:before="120" w:after="120"/>
                    <w:rPr>
                      <w:sz w:val="18"/>
                      <w:szCs w:val="18"/>
                    </w:rPr>
                  </w:pPr>
                  <w:r>
                    <w:rPr>
                      <w:sz w:val="18"/>
                      <w:szCs w:val="18"/>
                    </w:rPr>
                    <w:t>0.048*</w:t>
                  </w:r>
                </w:p>
              </w:tc>
              <w:tc>
                <w:tcPr>
                  <w:tcW w:w="3699" w:type="dxa"/>
                </w:tcPr>
                <w:p w14:paraId="21A74C3D" w14:textId="28DC28EE" w:rsidR="00E97C11" w:rsidRDefault="009E0C9F" w:rsidP="00204494">
                  <w:pPr>
                    <w:spacing w:before="120" w:after="120"/>
                    <w:rPr>
                      <w:sz w:val="18"/>
                      <w:szCs w:val="18"/>
                    </w:rPr>
                  </w:pPr>
                  <w:r>
                    <w:rPr>
                      <w:sz w:val="18"/>
                      <w:szCs w:val="18"/>
                    </w:rPr>
                    <w:t>1.82 (0.78-4.26)</w:t>
                  </w:r>
                </w:p>
              </w:tc>
              <w:tc>
                <w:tcPr>
                  <w:tcW w:w="1001" w:type="dxa"/>
                </w:tcPr>
                <w:p w14:paraId="37DD4F19" w14:textId="09EFAE0D" w:rsidR="00E97C11" w:rsidRDefault="009E0C9F" w:rsidP="00204494">
                  <w:pPr>
                    <w:spacing w:before="120" w:after="120"/>
                    <w:rPr>
                      <w:sz w:val="18"/>
                      <w:szCs w:val="18"/>
                    </w:rPr>
                  </w:pPr>
                  <w:r>
                    <w:rPr>
                      <w:sz w:val="18"/>
                      <w:szCs w:val="18"/>
                    </w:rPr>
                    <w:t>0.169</w:t>
                  </w:r>
                </w:p>
              </w:tc>
            </w:tr>
            <w:tr w:rsidR="00E97C11" w14:paraId="029C3B8E" w14:textId="0EA836E8" w:rsidTr="00227DA7">
              <w:tc>
                <w:tcPr>
                  <w:tcW w:w="1436" w:type="dxa"/>
                </w:tcPr>
                <w:p w14:paraId="0FF2AECE" w14:textId="58519092" w:rsidR="00E97C11" w:rsidRDefault="00E97C11" w:rsidP="00204494">
                  <w:pPr>
                    <w:spacing w:before="120" w:after="120"/>
                    <w:rPr>
                      <w:sz w:val="18"/>
                      <w:szCs w:val="18"/>
                    </w:rPr>
                  </w:pPr>
                  <w:r>
                    <w:rPr>
                      <w:sz w:val="18"/>
                      <w:szCs w:val="18"/>
                    </w:rPr>
                    <w:t>Mediolateral Pelvic Displacement</w:t>
                  </w:r>
                </w:p>
              </w:tc>
              <w:tc>
                <w:tcPr>
                  <w:tcW w:w="1271" w:type="dxa"/>
                </w:tcPr>
                <w:p w14:paraId="6C28C264" w14:textId="4B8D36DA" w:rsidR="00E97C11" w:rsidRDefault="009E0C9F" w:rsidP="00204494">
                  <w:pPr>
                    <w:spacing w:before="120" w:after="120"/>
                    <w:rPr>
                      <w:sz w:val="18"/>
                      <w:szCs w:val="18"/>
                    </w:rPr>
                  </w:pPr>
                  <w:r>
                    <w:rPr>
                      <w:sz w:val="18"/>
                      <w:szCs w:val="18"/>
                    </w:rPr>
                    <w:t>7.00</w:t>
                  </w:r>
                  <w:r>
                    <w:rPr>
                      <w:sz w:val="18"/>
                      <w:szCs w:val="18"/>
                    </w:rPr>
                    <w:sym w:font="Symbol" w:char="F0B1"/>
                  </w:r>
                  <w:r>
                    <w:rPr>
                      <w:sz w:val="18"/>
                      <w:szCs w:val="18"/>
                    </w:rPr>
                    <w:t>1.26</w:t>
                  </w:r>
                </w:p>
              </w:tc>
              <w:tc>
                <w:tcPr>
                  <w:tcW w:w="1362" w:type="dxa"/>
                </w:tcPr>
                <w:p w14:paraId="72B660F3" w14:textId="3F5D6951" w:rsidR="00E97C11" w:rsidRDefault="009E0C9F" w:rsidP="00204494">
                  <w:pPr>
                    <w:spacing w:before="120" w:after="120"/>
                    <w:rPr>
                      <w:sz w:val="18"/>
                      <w:szCs w:val="18"/>
                    </w:rPr>
                  </w:pPr>
                  <w:r>
                    <w:rPr>
                      <w:sz w:val="18"/>
                      <w:szCs w:val="18"/>
                    </w:rPr>
                    <w:t>5.24</w:t>
                  </w:r>
                  <w:r>
                    <w:rPr>
                      <w:sz w:val="18"/>
                      <w:szCs w:val="18"/>
                    </w:rPr>
                    <w:sym w:font="Symbol" w:char="F0B1"/>
                  </w:r>
                  <w:r>
                    <w:rPr>
                      <w:sz w:val="18"/>
                      <w:szCs w:val="18"/>
                    </w:rPr>
                    <w:t>1.39</w:t>
                  </w:r>
                </w:p>
              </w:tc>
              <w:tc>
                <w:tcPr>
                  <w:tcW w:w="1200" w:type="dxa"/>
                </w:tcPr>
                <w:p w14:paraId="59B23666" w14:textId="0156C10E" w:rsidR="00E97C11" w:rsidRDefault="009E0C9F" w:rsidP="00204494">
                  <w:pPr>
                    <w:spacing w:before="120" w:after="120"/>
                    <w:rPr>
                      <w:sz w:val="18"/>
                      <w:szCs w:val="18"/>
                    </w:rPr>
                  </w:pPr>
                  <w:r>
                    <w:rPr>
                      <w:sz w:val="18"/>
                      <w:szCs w:val="18"/>
                    </w:rPr>
                    <w:t>&lt;0.001*</w:t>
                  </w:r>
                </w:p>
              </w:tc>
              <w:tc>
                <w:tcPr>
                  <w:tcW w:w="3699" w:type="dxa"/>
                </w:tcPr>
                <w:p w14:paraId="24DDC517" w14:textId="41935068" w:rsidR="00E97C11" w:rsidRDefault="009E0C9F" w:rsidP="00204494">
                  <w:pPr>
                    <w:spacing w:before="120" w:after="120"/>
                    <w:rPr>
                      <w:sz w:val="18"/>
                      <w:szCs w:val="18"/>
                    </w:rPr>
                  </w:pPr>
                  <w:r>
                    <w:rPr>
                      <w:sz w:val="18"/>
                      <w:szCs w:val="18"/>
                    </w:rPr>
                    <w:t>7.85 (2.56-24.05)</w:t>
                  </w:r>
                </w:p>
              </w:tc>
              <w:tc>
                <w:tcPr>
                  <w:tcW w:w="1001" w:type="dxa"/>
                </w:tcPr>
                <w:p w14:paraId="1872E7AF" w14:textId="48F197B6" w:rsidR="00E97C11" w:rsidRDefault="00484048" w:rsidP="00204494">
                  <w:pPr>
                    <w:spacing w:before="120" w:after="120"/>
                    <w:rPr>
                      <w:sz w:val="18"/>
                      <w:szCs w:val="18"/>
                    </w:rPr>
                  </w:pPr>
                  <w:r>
                    <w:rPr>
                      <w:sz w:val="18"/>
                      <w:szCs w:val="18"/>
                    </w:rPr>
                    <w:t>&lt;</w:t>
                  </w:r>
                  <w:r w:rsidR="009E0C9F">
                    <w:rPr>
                      <w:sz w:val="18"/>
                      <w:szCs w:val="18"/>
                    </w:rPr>
                    <w:t>0.001*</w:t>
                  </w:r>
                </w:p>
              </w:tc>
            </w:tr>
            <w:tr w:rsidR="00E97C11" w14:paraId="1828DDF6" w14:textId="03C8DC3B" w:rsidTr="00227DA7">
              <w:tc>
                <w:tcPr>
                  <w:tcW w:w="1436" w:type="dxa"/>
                </w:tcPr>
                <w:p w14:paraId="3EA57381" w14:textId="7E91F725" w:rsidR="00E97C11" w:rsidRDefault="00E97C11" w:rsidP="00204494">
                  <w:pPr>
                    <w:spacing w:before="120" w:after="120"/>
                    <w:rPr>
                      <w:sz w:val="18"/>
                      <w:szCs w:val="18"/>
                    </w:rPr>
                  </w:pPr>
                  <w:r>
                    <w:rPr>
                      <w:sz w:val="18"/>
                      <w:szCs w:val="18"/>
                    </w:rPr>
                    <w:t xml:space="preserve">Vertical Pelvic Displacement </w:t>
                  </w:r>
                </w:p>
              </w:tc>
              <w:tc>
                <w:tcPr>
                  <w:tcW w:w="1271" w:type="dxa"/>
                </w:tcPr>
                <w:p w14:paraId="6C4CE930" w14:textId="2BE1CDDF" w:rsidR="00E97C11" w:rsidRDefault="00484048" w:rsidP="00204494">
                  <w:pPr>
                    <w:spacing w:before="120" w:after="120"/>
                    <w:rPr>
                      <w:sz w:val="18"/>
                      <w:szCs w:val="18"/>
                    </w:rPr>
                  </w:pPr>
                  <w:r>
                    <w:rPr>
                      <w:sz w:val="18"/>
                      <w:szCs w:val="18"/>
                    </w:rPr>
                    <w:t>3.42</w:t>
                  </w:r>
                  <w:r>
                    <w:rPr>
                      <w:sz w:val="18"/>
                      <w:szCs w:val="18"/>
                    </w:rPr>
                    <w:sym w:font="Symbol" w:char="F0B1"/>
                  </w:r>
                  <w:r>
                    <w:rPr>
                      <w:sz w:val="18"/>
                      <w:szCs w:val="18"/>
                    </w:rPr>
                    <w:t>1.25</w:t>
                  </w:r>
                </w:p>
              </w:tc>
              <w:tc>
                <w:tcPr>
                  <w:tcW w:w="1362" w:type="dxa"/>
                </w:tcPr>
                <w:p w14:paraId="5D9AD8A9" w14:textId="1910EB85" w:rsidR="00E97C11" w:rsidRDefault="00484048" w:rsidP="00204494">
                  <w:pPr>
                    <w:spacing w:before="120" w:after="120"/>
                    <w:rPr>
                      <w:sz w:val="18"/>
                      <w:szCs w:val="18"/>
                    </w:rPr>
                  </w:pPr>
                  <w:r>
                    <w:rPr>
                      <w:sz w:val="18"/>
                      <w:szCs w:val="18"/>
                    </w:rPr>
                    <w:t>2.83</w:t>
                  </w:r>
                  <w:r>
                    <w:rPr>
                      <w:sz w:val="18"/>
                      <w:szCs w:val="18"/>
                    </w:rPr>
                    <w:sym w:font="Symbol" w:char="F0B1"/>
                  </w:r>
                  <w:r>
                    <w:rPr>
                      <w:sz w:val="18"/>
                      <w:szCs w:val="18"/>
                    </w:rPr>
                    <w:t>0.96</w:t>
                  </w:r>
                </w:p>
              </w:tc>
              <w:tc>
                <w:tcPr>
                  <w:tcW w:w="1200" w:type="dxa"/>
                </w:tcPr>
                <w:p w14:paraId="1876BFE9" w14:textId="372592DF" w:rsidR="00E97C11" w:rsidRDefault="00484048" w:rsidP="00204494">
                  <w:pPr>
                    <w:spacing w:before="120" w:after="120"/>
                    <w:rPr>
                      <w:sz w:val="18"/>
                      <w:szCs w:val="18"/>
                    </w:rPr>
                  </w:pPr>
                  <w:r>
                    <w:rPr>
                      <w:sz w:val="18"/>
                      <w:szCs w:val="18"/>
                    </w:rPr>
                    <w:t>0.047*</w:t>
                  </w:r>
                </w:p>
              </w:tc>
              <w:tc>
                <w:tcPr>
                  <w:tcW w:w="3699" w:type="dxa"/>
                </w:tcPr>
                <w:p w14:paraId="1EAD126E" w14:textId="777C4B61" w:rsidR="00E97C11" w:rsidRDefault="00484048" w:rsidP="00204494">
                  <w:pPr>
                    <w:spacing w:before="120" w:after="120"/>
                    <w:rPr>
                      <w:sz w:val="18"/>
                      <w:szCs w:val="18"/>
                    </w:rPr>
                  </w:pPr>
                  <w:r>
                    <w:rPr>
                      <w:sz w:val="18"/>
                      <w:szCs w:val="18"/>
                    </w:rPr>
                    <w:t>2.03 (0.74-5.56)</w:t>
                  </w:r>
                </w:p>
              </w:tc>
              <w:tc>
                <w:tcPr>
                  <w:tcW w:w="1001" w:type="dxa"/>
                </w:tcPr>
                <w:p w14:paraId="217361C1" w14:textId="6E4F8613" w:rsidR="00E97C11" w:rsidRDefault="00484048" w:rsidP="00204494">
                  <w:pPr>
                    <w:spacing w:before="120" w:after="120"/>
                    <w:rPr>
                      <w:sz w:val="18"/>
                      <w:szCs w:val="18"/>
                    </w:rPr>
                  </w:pPr>
                  <w:r>
                    <w:rPr>
                      <w:sz w:val="18"/>
                      <w:szCs w:val="18"/>
                    </w:rPr>
                    <w:t>0.168</w:t>
                  </w:r>
                </w:p>
              </w:tc>
            </w:tr>
            <w:tr w:rsidR="00E97C11" w14:paraId="146E7960" w14:textId="092FD662" w:rsidTr="00227DA7">
              <w:tc>
                <w:tcPr>
                  <w:tcW w:w="1436" w:type="dxa"/>
                </w:tcPr>
                <w:p w14:paraId="72D7D80B" w14:textId="64A0B317" w:rsidR="00E97C11" w:rsidRDefault="00227DA7" w:rsidP="00204494">
                  <w:pPr>
                    <w:spacing w:before="120" w:after="120"/>
                    <w:rPr>
                      <w:sz w:val="18"/>
                      <w:szCs w:val="18"/>
                    </w:rPr>
                  </w:pPr>
                  <w:r>
                    <w:rPr>
                      <w:sz w:val="18"/>
                      <w:szCs w:val="18"/>
                    </w:rPr>
                    <w:t>Step length asymmetry</w:t>
                  </w:r>
                </w:p>
              </w:tc>
              <w:tc>
                <w:tcPr>
                  <w:tcW w:w="1271" w:type="dxa"/>
                </w:tcPr>
                <w:p w14:paraId="5D88083E" w14:textId="7E5F4216" w:rsidR="00E97C11" w:rsidRDefault="00227DA7" w:rsidP="00204494">
                  <w:pPr>
                    <w:spacing w:before="120" w:after="120"/>
                    <w:rPr>
                      <w:sz w:val="18"/>
                      <w:szCs w:val="18"/>
                    </w:rPr>
                  </w:pPr>
                  <w:r>
                    <w:rPr>
                      <w:sz w:val="18"/>
                      <w:szCs w:val="18"/>
                    </w:rPr>
                    <w:t>1.15</w:t>
                  </w:r>
                  <w:r>
                    <w:rPr>
                      <w:sz w:val="18"/>
                      <w:szCs w:val="18"/>
                    </w:rPr>
                    <w:sym w:font="Symbol" w:char="F0B1"/>
                  </w:r>
                  <w:r>
                    <w:rPr>
                      <w:sz w:val="18"/>
                      <w:szCs w:val="18"/>
                    </w:rPr>
                    <w:t>0.16</w:t>
                  </w:r>
                </w:p>
              </w:tc>
              <w:tc>
                <w:tcPr>
                  <w:tcW w:w="1362" w:type="dxa"/>
                </w:tcPr>
                <w:p w14:paraId="46B1223E" w14:textId="6824F849" w:rsidR="00E97C11" w:rsidRDefault="00227DA7" w:rsidP="00204494">
                  <w:pPr>
                    <w:spacing w:before="120" w:after="120"/>
                    <w:rPr>
                      <w:sz w:val="18"/>
                      <w:szCs w:val="18"/>
                    </w:rPr>
                  </w:pPr>
                  <w:r>
                    <w:rPr>
                      <w:sz w:val="18"/>
                      <w:szCs w:val="18"/>
                    </w:rPr>
                    <w:t>1.54</w:t>
                  </w:r>
                  <w:r>
                    <w:rPr>
                      <w:sz w:val="18"/>
                      <w:szCs w:val="18"/>
                    </w:rPr>
                    <w:sym w:font="Symbol" w:char="F0B1"/>
                  </w:r>
                  <w:r>
                    <w:rPr>
                      <w:sz w:val="18"/>
                      <w:szCs w:val="18"/>
                    </w:rPr>
                    <w:t>1.10</w:t>
                  </w:r>
                </w:p>
              </w:tc>
              <w:tc>
                <w:tcPr>
                  <w:tcW w:w="1200" w:type="dxa"/>
                </w:tcPr>
                <w:p w14:paraId="147B77B2" w14:textId="0BB2CC3E" w:rsidR="00E97C11" w:rsidRDefault="00227DA7" w:rsidP="00204494">
                  <w:pPr>
                    <w:spacing w:before="120" w:after="120"/>
                    <w:rPr>
                      <w:sz w:val="18"/>
                      <w:szCs w:val="18"/>
                    </w:rPr>
                  </w:pPr>
                  <w:r>
                    <w:rPr>
                      <w:sz w:val="18"/>
                      <w:szCs w:val="18"/>
                    </w:rPr>
                    <w:t>0.458</w:t>
                  </w:r>
                </w:p>
              </w:tc>
              <w:tc>
                <w:tcPr>
                  <w:tcW w:w="3699" w:type="dxa"/>
                </w:tcPr>
                <w:p w14:paraId="5FABB2F7" w14:textId="254F8604" w:rsidR="00E97C11" w:rsidRDefault="00227DA7" w:rsidP="00204494">
                  <w:pPr>
                    <w:spacing w:before="120" w:after="120"/>
                    <w:rPr>
                      <w:sz w:val="18"/>
                      <w:szCs w:val="18"/>
                    </w:rPr>
                  </w:pPr>
                  <w:r>
                    <w:rPr>
                      <w:sz w:val="18"/>
                      <w:szCs w:val="18"/>
                    </w:rPr>
                    <w:t>1.37 (1.01-1.85)</w:t>
                  </w:r>
                </w:p>
              </w:tc>
              <w:tc>
                <w:tcPr>
                  <w:tcW w:w="1001" w:type="dxa"/>
                </w:tcPr>
                <w:p w14:paraId="7D01259F" w14:textId="12F17087" w:rsidR="00E97C11" w:rsidRDefault="00227DA7" w:rsidP="00204494">
                  <w:pPr>
                    <w:spacing w:before="120" w:after="120"/>
                    <w:rPr>
                      <w:sz w:val="18"/>
                      <w:szCs w:val="18"/>
                    </w:rPr>
                  </w:pPr>
                  <w:r>
                    <w:rPr>
                      <w:sz w:val="18"/>
                      <w:szCs w:val="18"/>
                    </w:rPr>
                    <w:t>0.040*</w:t>
                  </w:r>
                </w:p>
              </w:tc>
            </w:tr>
          </w:tbl>
          <w:p w14:paraId="660F33AA" w14:textId="4CEA6EC9" w:rsidR="00204494" w:rsidRDefault="00491565" w:rsidP="00204494">
            <w:pPr>
              <w:spacing w:before="120" w:after="120"/>
              <w:rPr>
                <w:sz w:val="18"/>
                <w:szCs w:val="18"/>
              </w:rPr>
            </w:pPr>
            <w:r>
              <w:rPr>
                <w:sz w:val="18"/>
                <w:szCs w:val="18"/>
              </w:rPr>
              <w:t xml:space="preserve">*indicates significant </w:t>
            </w:r>
            <w:r w:rsidR="00350B31">
              <w:rPr>
                <w:sz w:val="18"/>
                <w:szCs w:val="18"/>
              </w:rPr>
              <w:t xml:space="preserve">value </w:t>
            </w:r>
            <w:r>
              <w:rPr>
                <w:sz w:val="18"/>
                <w:szCs w:val="18"/>
              </w:rPr>
              <w:t>at p &lt; 0.05</w:t>
            </w:r>
          </w:p>
          <w:p w14:paraId="6AAE4FBE" w14:textId="1B8A48F0" w:rsidR="0002579B" w:rsidRPr="00E64315" w:rsidRDefault="00204494" w:rsidP="00204494">
            <w:pPr>
              <w:spacing w:before="120" w:after="120"/>
              <w:rPr>
                <w:sz w:val="18"/>
                <w:szCs w:val="18"/>
              </w:rPr>
            </w:pPr>
            <w:r>
              <w:rPr>
                <w:sz w:val="18"/>
                <w:szCs w:val="18"/>
              </w:rPr>
              <w:t xml:space="preserve">The above table </w:t>
            </w:r>
            <w:r w:rsidR="0046261F">
              <w:rPr>
                <w:sz w:val="18"/>
                <w:szCs w:val="18"/>
              </w:rPr>
              <w:t xml:space="preserve">is adapted from Table 2 in the article to </w:t>
            </w:r>
            <w:r>
              <w:rPr>
                <w:sz w:val="18"/>
                <w:szCs w:val="18"/>
              </w:rPr>
              <w:t>illustrate the major findings of the gait variables</w:t>
            </w:r>
            <w:r w:rsidR="0051132F">
              <w:rPr>
                <w:sz w:val="18"/>
                <w:szCs w:val="18"/>
              </w:rPr>
              <w:t xml:space="preserve"> </w:t>
            </w:r>
            <w:r>
              <w:rPr>
                <w:sz w:val="18"/>
                <w:szCs w:val="18"/>
              </w:rPr>
              <w:t>with significant</w:t>
            </w:r>
            <w:r w:rsidR="00491565">
              <w:rPr>
                <w:sz w:val="18"/>
                <w:szCs w:val="18"/>
              </w:rPr>
              <w:t xml:space="preserve"> </w:t>
            </w:r>
            <w:r>
              <w:rPr>
                <w:sz w:val="18"/>
                <w:szCs w:val="18"/>
              </w:rPr>
              <w:t>between-group differences.</w:t>
            </w:r>
            <w:r w:rsidR="002D139C">
              <w:rPr>
                <w:sz w:val="18"/>
                <w:szCs w:val="18"/>
              </w:rPr>
              <w:t xml:space="preserve"> </w:t>
            </w:r>
            <w:r w:rsidR="005856A1">
              <w:rPr>
                <w:sz w:val="18"/>
                <w:szCs w:val="18"/>
              </w:rPr>
              <w:t>There were no significant differences between the faller and non-faller groups for comfortable or fast gait speeds.</w:t>
            </w:r>
            <w:r w:rsidR="004D2F4F">
              <w:rPr>
                <w:sz w:val="18"/>
                <w:szCs w:val="18"/>
              </w:rPr>
              <w:t xml:space="preserve"> </w:t>
            </w:r>
            <w:r w:rsidR="002E6ECA" w:rsidRPr="00E64315">
              <w:rPr>
                <w:sz w:val="18"/>
                <w:szCs w:val="18"/>
              </w:rPr>
              <w:t>Thus, significant predictors of falls, after adjustment for country, prior falls, and assistance, were mediolateral pelvic displacement (IQR-OR = 7.85), stride length (IQR-OR = 4.23), and step length asymmetry (IQR-OR = 1.37)</w:t>
            </w:r>
            <w:r w:rsidR="000C3843" w:rsidRPr="00E64315">
              <w:rPr>
                <w:sz w:val="18"/>
                <w:szCs w:val="18"/>
              </w:rPr>
              <w:t xml:space="preserve">. </w:t>
            </w:r>
          </w:p>
          <w:p w14:paraId="4E59CE84" w14:textId="4F080280" w:rsidR="00EA4E97" w:rsidRPr="00BB4D27" w:rsidRDefault="0002579B" w:rsidP="00BB4D27">
            <w:pPr>
              <w:spacing w:before="120" w:after="120"/>
              <w:rPr>
                <w:sz w:val="18"/>
                <w:szCs w:val="18"/>
              </w:rPr>
            </w:pPr>
            <w:r>
              <w:rPr>
                <w:sz w:val="18"/>
                <w:szCs w:val="18"/>
              </w:rPr>
              <w:t>When participants requiring physical assistance or gait aids (n = 24) were excluded from the regression, there were significant between-group differences for stride length, gait speed variability, mediolateral and vertical pelvic displacement</w:t>
            </w:r>
            <w:r w:rsidR="00A74A12">
              <w:rPr>
                <w:sz w:val="18"/>
                <w:szCs w:val="18"/>
              </w:rPr>
              <w:t xml:space="preserve"> (see table above). </w:t>
            </w:r>
            <w:r w:rsidR="000C3843">
              <w:rPr>
                <w:sz w:val="18"/>
                <w:szCs w:val="18"/>
              </w:rPr>
              <w:t xml:space="preserve">It is important to note that mediolateral pelvic displacement was the only significant variable for both regression models (IQR-OR = 9.35 including assistance; IQR-OR = 8.54 excluding assistance) and was the strongest predictor of falling for patients with stroke after discharge from inpatient rehabilitation. </w:t>
            </w:r>
            <w:r w:rsidR="004446C8">
              <w:rPr>
                <w:sz w:val="18"/>
                <w:szCs w:val="18"/>
              </w:rPr>
              <w:t xml:space="preserve">This smaller mediolateral pelvic displacement is likely because individuals who fear falling use a compensatory movement strategy in which they are cautious to maintain their COM well over their BOS to increase their stability. This is reflected in the smaller pelvic displacement during walking in the faller group. </w:t>
            </w:r>
          </w:p>
          <w:tbl>
            <w:tblPr>
              <w:tblStyle w:val="TableGrid"/>
              <w:tblW w:w="0" w:type="auto"/>
              <w:tblLook w:val="04A0" w:firstRow="1" w:lastRow="0" w:firstColumn="1" w:lastColumn="0" w:noHBand="0" w:noVBand="1"/>
            </w:tblPr>
            <w:tblGrid>
              <w:gridCol w:w="1436"/>
              <w:gridCol w:w="1271"/>
              <w:gridCol w:w="1362"/>
              <w:gridCol w:w="1200"/>
              <w:gridCol w:w="3699"/>
              <w:gridCol w:w="1001"/>
            </w:tblGrid>
            <w:tr w:rsidR="00227DA7" w14:paraId="66CCB7F7" w14:textId="77777777" w:rsidTr="00227DA7">
              <w:tc>
                <w:tcPr>
                  <w:tcW w:w="1436" w:type="dxa"/>
                </w:tcPr>
                <w:p w14:paraId="0383F91D" w14:textId="77777777" w:rsidR="00227DA7" w:rsidRDefault="00227DA7" w:rsidP="00227DA7">
                  <w:pPr>
                    <w:spacing w:before="120" w:after="120"/>
                    <w:rPr>
                      <w:sz w:val="18"/>
                      <w:szCs w:val="18"/>
                    </w:rPr>
                  </w:pPr>
                  <w:r>
                    <w:rPr>
                      <w:sz w:val="18"/>
                      <w:szCs w:val="18"/>
                    </w:rPr>
                    <w:t>Variables</w:t>
                  </w:r>
                </w:p>
              </w:tc>
              <w:tc>
                <w:tcPr>
                  <w:tcW w:w="1271" w:type="dxa"/>
                </w:tcPr>
                <w:p w14:paraId="78F87D7C" w14:textId="77777777" w:rsidR="00227DA7" w:rsidRDefault="00227DA7" w:rsidP="00227DA7">
                  <w:pPr>
                    <w:spacing w:before="120" w:after="120"/>
                    <w:rPr>
                      <w:sz w:val="18"/>
                      <w:szCs w:val="18"/>
                    </w:rPr>
                  </w:pPr>
                  <w:r>
                    <w:rPr>
                      <w:sz w:val="18"/>
                      <w:szCs w:val="18"/>
                    </w:rPr>
                    <w:t>Non-Fallers</w:t>
                  </w:r>
                </w:p>
                <w:p w14:paraId="6FF307D6" w14:textId="77777777" w:rsidR="00227DA7" w:rsidRPr="0046261F" w:rsidRDefault="00227DA7" w:rsidP="00227DA7">
                  <w:pPr>
                    <w:spacing w:before="120" w:after="120"/>
                    <w:rPr>
                      <w:sz w:val="18"/>
                      <w:szCs w:val="18"/>
                    </w:rPr>
                  </w:pPr>
                  <w:r>
                    <w:rPr>
                      <w:sz w:val="18"/>
                      <w:szCs w:val="18"/>
                    </w:rPr>
                    <w:t xml:space="preserve">Mean </w:t>
                  </w:r>
                  <w:r>
                    <w:rPr>
                      <w:sz w:val="18"/>
                      <w:szCs w:val="18"/>
                      <w:u w:val="single"/>
                    </w:rPr>
                    <w:t>+</w:t>
                  </w:r>
                  <w:r>
                    <w:rPr>
                      <w:sz w:val="18"/>
                      <w:szCs w:val="18"/>
                    </w:rPr>
                    <w:t xml:space="preserve"> SD</w:t>
                  </w:r>
                </w:p>
              </w:tc>
              <w:tc>
                <w:tcPr>
                  <w:tcW w:w="1362" w:type="dxa"/>
                </w:tcPr>
                <w:p w14:paraId="59809E71" w14:textId="77777777" w:rsidR="00227DA7" w:rsidRDefault="00227DA7" w:rsidP="00227DA7">
                  <w:pPr>
                    <w:spacing w:before="120" w:after="120"/>
                    <w:rPr>
                      <w:sz w:val="18"/>
                      <w:szCs w:val="18"/>
                    </w:rPr>
                  </w:pPr>
                  <w:r>
                    <w:rPr>
                      <w:sz w:val="18"/>
                      <w:szCs w:val="18"/>
                    </w:rPr>
                    <w:t>Fallers</w:t>
                  </w:r>
                </w:p>
                <w:p w14:paraId="364B3F13" w14:textId="77777777" w:rsidR="00227DA7" w:rsidRDefault="00227DA7" w:rsidP="00227DA7">
                  <w:pPr>
                    <w:spacing w:before="120" w:after="120"/>
                    <w:rPr>
                      <w:sz w:val="18"/>
                      <w:szCs w:val="18"/>
                    </w:rPr>
                  </w:pPr>
                  <w:r>
                    <w:rPr>
                      <w:sz w:val="18"/>
                      <w:szCs w:val="18"/>
                    </w:rPr>
                    <w:t xml:space="preserve">Mean </w:t>
                  </w:r>
                  <w:r>
                    <w:rPr>
                      <w:sz w:val="18"/>
                      <w:szCs w:val="18"/>
                      <w:u w:val="single"/>
                    </w:rPr>
                    <w:t>+</w:t>
                  </w:r>
                  <w:r>
                    <w:rPr>
                      <w:sz w:val="18"/>
                      <w:szCs w:val="18"/>
                    </w:rPr>
                    <w:t xml:space="preserve"> SD</w:t>
                  </w:r>
                </w:p>
              </w:tc>
              <w:tc>
                <w:tcPr>
                  <w:tcW w:w="1200" w:type="dxa"/>
                </w:tcPr>
                <w:p w14:paraId="7FBF9690" w14:textId="77777777" w:rsidR="00227DA7" w:rsidRDefault="00227DA7" w:rsidP="00227DA7">
                  <w:pPr>
                    <w:spacing w:before="120" w:after="120"/>
                    <w:rPr>
                      <w:sz w:val="18"/>
                      <w:szCs w:val="18"/>
                    </w:rPr>
                  </w:pPr>
                  <w:r>
                    <w:rPr>
                      <w:sz w:val="18"/>
                      <w:szCs w:val="18"/>
                    </w:rPr>
                    <w:t xml:space="preserve">Between-group </w:t>
                  </w:r>
                </w:p>
                <w:p w14:paraId="74000A45" w14:textId="77777777" w:rsidR="00227DA7" w:rsidRDefault="00227DA7" w:rsidP="00227DA7">
                  <w:pPr>
                    <w:spacing w:before="120" w:after="120"/>
                    <w:rPr>
                      <w:sz w:val="18"/>
                      <w:szCs w:val="18"/>
                    </w:rPr>
                  </w:pPr>
                  <w:r>
                    <w:rPr>
                      <w:sz w:val="18"/>
                      <w:szCs w:val="18"/>
                    </w:rPr>
                    <w:t>p-value</w:t>
                  </w:r>
                </w:p>
              </w:tc>
              <w:tc>
                <w:tcPr>
                  <w:tcW w:w="3699" w:type="dxa"/>
                </w:tcPr>
                <w:p w14:paraId="4096F1ED" w14:textId="77777777" w:rsidR="00227DA7" w:rsidRPr="00E97C11" w:rsidRDefault="00227DA7" w:rsidP="00227DA7">
                  <w:pPr>
                    <w:spacing w:before="120" w:after="120"/>
                    <w:jc w:val="center"/>
                    <w:rPr>
                      <w:sz w:val="15"/>
                      <w:szCs w:val="15"/>
                      <w:u w:val="single"/>
                    </w:rPr>
                  </w:pPr>
                  <w:r w:rsidRPr="00E97C11">
                    <w:rPr>
                      <w:sz w:val="15"/>
                      <w:szCs w:val="15"/>
                      <w:u w:val="single"/>
                    </w:rPr>
                    <w:t>Adjusted for country, prior falls, gait assistance</w:t>
                  </w:r>
                </w:p>
                <w:p w14:paraId="79CBEA7C" w14:textId="77777777" w:rsidR="00227DA7" w:rsidRDefault="00227DA7" w:rsidP="00227DA7">
                  <w:pPr>
                    <w:spacing w:before="120" w:after="120"/>
                    <w:jc w:val="center"/>
                    <w:rPr>
                      <w:sz w:val="18"/>
                      <w:szCs w:val="18"/>
                    </w:rPr>
                  </w:pPr>
                  <w:r>
                    <w:rPr>
                      <w:sz w:val="18"/>
                      <w:szCs w:val="18"/>
                    </w:rPr>
                    <w:t>IQR-OR (95% CI)</w:t>
                  </w:r>
                </w:p>
              </w:tc>
              <w:tc>
                <w:tcPr>
                  <w:tcW w:w="1001" w:type="dxa"/>
                </w:tcPr>
                <w:p w14:paraId="1EEF8BA3" w14:textId="77777777" w:rsidR="00227DA7" w:rsidRDefault="00227DA7" w:rsidP="00227DA7">
                  <w:pPr>
                    <w:spacing w:before="120" w:after="120"/>
                    <w:rPr>
                      <w:sz w:val="18"/>
                      <w:szCs w:val="18"/>
                    </w:rPr>
                  </w:pPr>
                  <w:r>
                    <w:rPr>
                      <w:sz w:val="18"/>
                      <w:szCs w:val="18"/>
                    </w:rPr>
                    <w:t>P-value</w:t>
                  </w:r>
                </w:p>
              </w:tc>
            </w:tr>
            <w:tr w:rsidR="00227DA7" w14:paraId="60EA64DD" w14:textId="77777777" w:rsidTr="00227DA7">
              <w:tc>
                <w:tcPr>
                  <w:tcW w:w="1436" w:type="dxa"/>
                </w:tcPr>
                <w:p w14:paraId="3133767F" w14:textId="77777777" w:rsidR="00227DA7" w:rsidRDefault="00227DA7" w:rsidP="00227DA7">
                  <w:pPr>
                    <w:spacing w:before="120" w:after="120"/>
                    <w:rPr>
                      <w:sz w:val="18"/>
                      <w:szCs w:val="18"/>
                    </w:rPr>
                  </w:pPr>
                  <w:r>
                    <w:rPr>
                      <w:sz w:val="18"/>
                      <w:szCs w:val="18"/>
                    </w:rPr>
                    <w:t>TUG time</w:t>
                  </w:r>
                </w:p>
              </w:tc>
              <w:tc>
                <w:tcPr>
                  <w:tcW w:w="1271" w:type="dxa"/>
                </w:tcPr>
                <w:p w14:paraId="1E55B6D6" w14:textId="77777777" w:rsidR="00227DA7" w:rsidRDefault="00227DA7" w:rsidP="00227DA7">
                  <w:pPr>
                    <w:spacing w:before="120" w:after="120"/>
                    <w:rPr>
                      <w:sz w:val="18"/>
                      <w:szCs w:val="18"/>
                    </w:rPr>
                  </w:pPr>
                  <w:r>
                    <w:rPr>
                      <w:sz w:val="18"/>
                      <w:szCs w:val="18"/>
                    </w:rPr>
                    <w:t>16.49</w:t>
                  </w:r>
                  <w:r>
                    <w:rPr>
                      <w:sz w:val="18"/>
                      <w:szCs w:val="18"/>
                    </w:rPr>
                    <w:sym w:font="Symbol" w:char="F0B1"/>
                  </w:r>
                  <w:r>
                    <w:rPr>
                      <w:sz w:val="18"/>
                      <w:szCs w:val="18"/>
                    </w:rPr>
                    <w:t>9.26</w:t>
                  </w:r>
                </w:p>
              </w:tc>
              <w:tc>
                <w:tcPr>
                  <w:tcW w:w="1362" w:type="dxa"/>
                </w:tcPr>
                <w:p w14:paraId="5953FB45" w14:textId="77777777" w:rsidR="00227DA7" w:rsidRDefault="00227DA7" w:rsidP="00227DA7">
                  <w:pPr>
                    <w:spacing w:before="120" w:after="120"/>
                    <w:rPr>
                      <w:sz w:val="18"/>
                      <w:szCs w:val="18"/>
                    </w:rPr>
                  </w:pPr>
                  <w:r>
                    <w:rPr>
                      <w:sz w:val="18"/>
                      <w:szCs w:val="18"/>
                    </w:rPr>
                    <w:t>27.61</w:t>
                  </w:r>
                  <w:r>
                    <w:rPr>
                      <w:sz w:val="18"/>
                      <w:szCs w:val="18"/>
                    </w:rPr>
                    <w:sym w:font="Symbol" w:char="F0B1"/>
                  </w:r>
                  <w:r>
                    <w:rPr>
                      <w:sz w:val="18"/>
                      <w:szCs w:val="18"/>
                    </w:rPr>
                    <w:t>23.84</w:t>
                  </w:r>
                </w:p>
              </w:tc>
              <w:tc>
                <w:tcPr>
                  <w:tcW w:w="1200" w:type="dxa"/>
                </w:tcPr>
                <w:p w14:paraId="05DB6382" w14:textId="77777777" w:rsidR="00227DA7" w:rsidRDefault="00227DA7" w:rsidP="00227DA7">
                  <w:pPr>
                    <w:spacing w:before="120" w:after="120"/>
                    <w:rPr>
                      <w:sz w:val="18"/>
                      <w:szCs w:val="18"/>
                    </w:rPr>
                  </w:pPr>
                  <w:r>
                    <w:rPr>
                      <w:sz w:val="18"/>
                      <w:szCs w:val="18"/>
                    </w:rPr>
                    <w:t>0.014*</w:t>
                  </w:r>
                </w:p>
              </w:tc>
              <w:tc>
                <w:tcPr>
                  <w:tcW w:w="3699" w:type="dxa"/>
                </w:tcPr>
                <w:p w14:paraId="4C8512BF" w14:textId="77777777" w:rsidR="00227DA7" w:rsidRDefault="00227DA7" w:rsidP="00227DA7">
                  <w:pPr>
                    <w:spacing w:before="120" w:after="120"/>
                    <w:rPr>
                      <w:sz w:val="18"/>
                      <w:szCs w:val="18"/>
                    </w:rPr>
                  </w:pPr>
                  <w:r>
                    <w:rPr>
                      <w:sz w:val="18"/>
                      <w:szCs w:val="18"/>
                    </w:rPr>
                    <w:t>4.06 (1.44-11.46)</w:t>
                  </w:r>
                </w:p>
              </w:tc>
              <w:tc>
                <w:tcPr>
                  <w:tcW w:w="1001" w:type="dxa"/>
                </w:tcPr>
                <w:p w14:paraId="282CFCC9" w14:textId="77777777" w:rsidR="00227DA7" w:rsidRDefault="00227DA7" w:rsidP="00227DA7">
                  <w:pPr>
                    <w:spacing w:before="120" w:after="120"/>
                    <w:rPr>
                      <w:sz w:val="18"/>
                      <w:szCs w:val="18"/>
                    </w:rPr>
                  </w:pPr>
                  <w:r>
                    <w:rPr>
                      <w:sz w:val="18"/>
                      <w:szCs w:val="18"/>
                    </w:rPr>
                    <w:t>0.008*</w:t>
                  </w:r>
                </w:p>
              </w:tc>
            </w:tr>
            <w:tr w:rsidR="00227DA7" w14:paraId="2307894A" w14:textId="77777777" w:rsidTr="00227DA7">
              <w:tc>
                <w:tcPr>
                  <w:tcW w:w="1436" w:type="dxa"/>
                </w:tcPr>
                <w:p w14:paraId="1B2C54D2" w14:textId="77777777" w:rsidR="00227DA7" w:rsidRDefault="00227DA7" w:rsidP="00227DA7">
                  <w:pPr>
                    <w:spacing w:before="120" w:after="120"/>
                    <w:rPr>
                      <w:sz w:val="18"/>
                      <w:szCs w:val="18"/>
                    </w:rPr>
                  </w:pPr>
                  <w:r>
                    <w:rPr>
                      <w:sz w:val="18"/>
                      <w:szCs w:val="18"/>
                    </w:rPr>
                    <w:t>Step Test Score</w:t>
                  </w:r>
                </w:p>
              </w:tc>
              <w:tc>
                <w:tcPr>
                  <w:tcW w:w="1271" w:type="dxa"/>
                </w:tcPr>
                <w:p w14:paraId="0EBEAA4C" w14:textId="77777777" w:rsidR="00227DA7" w:rsidRDefault="00227DA7" w:rsidP="00227DA7">
                  <w:pPr>
                    <w:spacing w:before="120" w:after="120"/>
                    <w:rPr>
                      <w:sz w:val="18"/>
                      <w:szCs w:val="18"/>
                    </w:rPr>
                  </w:pPr>
                  <w:r>
                    <w:rPr>
                      <w:sz w:val="18"/>
                      <w:szCs w:val="18"/>
                    </w:rPr>
                    <w:t>10.19</w:t>
                  </w:r>
                  <w:r>
                    <w:rPr>
                      <w:sz w:val="18"/>
                      <w:szCs w:val="18"/>
                    </w:rPr>
                    <w:sym w:font="Symbol" w:char="F0B1"/>
                  </w:r>
                  <w:r>
                    <w:rPr>
                      <w:sz w:val="18"/>
                      <w:szCs w:val="18"/>
                    </w:rPr>
                    <w:t>5.08</w:t>
                  </w:r>
                </w:p>
              </w:tc>
              <w:tc>
                <w:tcPr>
                  <w:tcW w:w="1362" w:type="dxa"/>
                </w:tcPr>
                <w:p w14:paraId="4397ED51" w14:textId="77777777" w:rsidR="00227DA7" w:rsidRDefault="00227DA7" w:rsidP="00227DA7">
                  <w:pPr>
                    <w:spacing w:before="120" w:after="120"/>
                    <w:rPr>
                      <w:sz w:val="18"/>
                      <w:szCs w:val="18"/>
                    </w:rPr>
                  </w:pPr>
                  <w:r>
                    <w:rPr>
                      <w:sz w:val="18"/>
                      <w:szCs w:val="18"/>
                    </w:rPr>
                    <w:t>6.35</w:t>
                  </w:r>
                  <w:r>
                    <w:rPr>
                      <w:sz w:val="18"/>
                      <w:szCs w:val="18"/>
                    </w:rPr>
                    <w:sym w:font="Symbol" w:char="F0B1"/>
                  </w:r>
                  <w:r>
                    <w:rPr>
                      <w:sz w:val="18"/>
                      <w:szCs w:val="18"/>
                    </w:rPr>
                    <w:t>4.20</w:t>
                  </w:r>
                </w:p>
              </w:tc>
              <w:tc>
                <w:tcPr>
                  <w:tcW w:w="1200" w:type="dxa"/>
                </w:tcPr>
                <w:p w14:paraId="36780FBF" w14:textId="77777777" w:rsidR="00227DA7" w:rsidRDefault="00227DA7" w:rsidP="00227DA7">
                  <w:pPr>
                    <w:spacing w:before="120" w:after="120"/>
                    <w:rPr>
                      <w:sz w:val="18"/>
                      <w:szCs w:val="18"/>
                    </w:rPr>
                  </w:pPr>
                  <w:r>
                    <w:rPr>
                      <w:sz w:val="18"/>
                      <w:szCs w:val="18"/>
                    </w:rPr>
                    <w:t>0.005</w:t>
                  </w:r>
                </w:p>
              </w:tc>
              <w:tc>
                <w:tcPr>
                  <w:tcW w:w="3699" w:type="dxa"/>
                </w:tcPr>
                <w:p w14:paraId="3700EBA1" w14:textId="77777777" w:rsidR="00227DA7" w:rsidRDefault="00227DA7" w:rsidP="00227DA7">
                  <w:pPr>
                    <w:spacing w:before="120" w:after="120"/>
                    <w:rPr>
                      <w:sz w:val="18"/>
                      <w:szCs w:val="18"/>
                    </w:rPr>
                  </w:pPr>
                  <w:r>
                    <w:rPr>
                      <w:sz w:val="18"/>
                      <w:szCs w:val="18"/>
                    </w:rPr>
                    <w:t>4.50 (1.64-12.35)</w:t>
                  </w:r>
                </w:p>
              </w:tc>
              <w:tc>
                <w:tcPr>
                  <w:tcW w:w="1001" w:type="dxa"/>
                </w:tcPr>
                <w:p w14:paraId="395C3FC7" w14:textId="77777777" w:rsidR="00227DA7" w:rsidRDefault="00227DA7" w:rsidP="00227DA7">
                  <w:pPr>
                    <w:spacing w:before="120" w:after="120"/>
                    <w:rPr>
                      <w:sz w:val="18"/>
                      <w:szCs w:val="18"/>
                    </w:rPr>
                  </w:pPr>
                  <w:r>
                    <w:rPr>
                      <w:sz w:val="18"/>
                      <w:szCs w:val="18"/>
                    </w:rPr>
                    <w:t>0.004*</w:t>
                  </w:r>
                </w:p>
              </w:tc>
            </w:tr>
          </w:tbl>
          <w:p w14:paraId="150FD585" w14:textId="1F790E9F" w:rsidR="001D4F60" w:rsidRPr="002F16E1" w:rsidRDefault="0051132F" w:rsidP="00446E02">
            <w:pPr>
              <w:spacing w:before="120" w:after="120"/>
              <w:rPr>
                <w:sz w:val="18"/>
                <w:szCs w:val="18"/>
              </w:rPr>
            </w:pPr>
            <w:r>
              <w:rPr>
                <w:sz w:val="18"/>
                <w:szCs w:val="18"/>
              </w:rPr>
              <w:t>The above table is adapted from Table 2 in the article to illustrate the major findings of the balance variables with significant between-group differences</w:t>
            </w:r>
            <w:r w:rsidR="00B27567">
              <w:rPr>
                <w:sz w:val="18"/>
                <w:szCs w:val="18"/>
              </w:rPr>
              <w:t xml:space="preserve">. This study’s findings indicate that dynamic assessments were better predictors of falls than static measures, as no static variables were significantly associated with falls. This is likely due to the fact that falls typically occur during dynamic activities such as transfers and walking. </w:t>
            </w:r>
            <w:r w:rsidR="004D2F4F">
              <w:rPr>
                <w:sz w:val="18"/>
                <w:szCs w:val="18"/>
              </w:rPr>
              <w:t>As seen in this table, results indicate that fallers had significantly increased TUG time</w:t>
            </w:r>
            <w:r w:rsidR="00F24E0F">
              <w:rPr>
                <w:sz w:val="18"/>
                <w:szCs w:val="18"/>
              </w:rPr>
              <w:t xml:space="preserve"> and </w:t>
            </w:r>
            <w:r w:rsidR="004D2F4F">
              <w:rPr>
                <w:sz w:val="18"/>
                <w:szCs w:val="18"/>
              </w:rPr>
              <w:t>reduced step test scores. In fact, one IQR increase in TUG scores indicated between 4.06-7.84 times greater falls risk and one IQR decrease in step test scores was associated with a 4.06-10.29 increased odds of falling.</w:t>
            </w:r>
          </w:p>
        </w:tc>
      </w:tr>
      <w:tr w:rsidR="001D4F60" w:rsidRPr="002F16E1" w14:paraId="70C9D8BC" w14:textId="77777777" w:rsidTr="00F36C4B">
        <w:tc>
          <w:tcPr>
            <w:tcW w:w="10195" w:type="dxa"/>
            <w:shd w:val="clear" w:color="auto" w:fill="E6E6E6"/>
          </w:tcPr>
          <w:p w14:paraId="768BEA06" w14:textId="77777777" w:rsidR="001D4F60" w:rsidRPr="002F16E1" w:rsidRDefault="001D4F60" w:rsidP="009E380F">
            <w:pPr>
              <w:spacing w:before="120" w:after="120"/>
              <w:rPr>
                <w:b/>
                <w:sz w:val="18"/>
                <w:szCs w:val="18"/>
              </w:rPr>
            </w:pPr>
            <w:r w:rsidRPr="002F16E1">
              <w:rPr>
                <w:b/>
                <w:sz w:val="18"/>
                <w:szCs w:val="18"/>
              </w:rPr>
              <w:t>Original Authors’ Conclusions</w:t>
            </w:r>
          </w:p>
          <w:p w14:paraId="709DCCE1"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82B8ECF" w14:textId="77777777" w:rsidTr="00F36C4B">
        <w:tc>
          <w:tcPr>
            <w:tcW w:w="10195" w:type="dxa"/>
            <w:tcBorders>
              <w:bottom w:val="single" w:sz="4" w:space="0" w:color="auto"/>
            </w:tcBorders>
            <w:shd w:val="clear" w:color="auto" w:fill="auto"/>
          </w:tcPr>
          <w:p w14:paraId="622608C6" w14:textId="516D5D21" w:rsidR="001D4F60" w:rsidRPr="002F16E1" w:rsidRDefault="00DA7C3B" w:rsidP="00524069">
            <w:pPr>
              <w:spacing w:before="120" w:after="120"/>
              <w:rPr>
                <w:sz w:val="18"/>
                <w:szCs w:val="18"/>
              </w:rPr>
            </w:pPr>
            <w:r>
              <w:rPr>
                <w:sz w:val="18"/>
                <w:szCs w:val="18"/>
              </w:rPr>
              <w:lastRenderedPageBreak/>
              <w:t>Researchers in the current study found that reduced mediolateral displacement of the pelvis during walking is the strongest predictor of falls</w:t>
            </w:r>
            <w:r w:rsidR="007A23EC">
              <w:rPr>
                <w:sz w:val="18"/>
                <w:szCs w:val="18"/>
              </w:rPr>
              <w:t xml:space="preserve"> within 3 months after stroke. </w:t>
            </w:r>
            <w:r w:rsidR="00D348D7">
              <w:rPr>
                <w:sz w:val="18"/>
                <w:szCs w:val="18"/>
              </w:rPr>
              <w:t xml:space="preserve">This reduced displacement in the frontal plane is likely due to the reduced weight shift onto one’s paretic leg as well as </w:t>
            </w:r>
            <w:r w:rsidR="0002207F">
              <w:rPr>
                <w:sz w:val="18"/>
                <w:szCs w:val="18"/>
              </w:rPr>
              <w:t xml:space="preserve">the cautious maintenance of center of mass within the base of support after stroke. </w:t>
            </w:r>
            <w:r w:rsidR="00ED329B">
              <w:rPr>
                <w:sz w:val="18"/>
                <w:szCs w:val="18"/>
              </w:rPr>
              <w:t>Because mediolateral pelvic displacement is no</w:t>
            </w:r>
            <w:r w:rsidR="00D05D86">
              <w:rPr>
                <w:sz w:val="18"/>
                <w:szCs w:val="18"/>
              </w:rPr>
              <w:t>t</w:t>
            </w:r>
            <w:r w:rsidR="00ED329B">
              <w:rPr>
                <w:sz w:val="18"/>
                <w:szCs w:val="18"/>
              </w:rPr>
              <w:t xml:space="preserve"> easy to </w:t>
            </w:r>
            <w:r w:rsidR="00DA4404">
              <w:rPr>
                <w:sz w:val="18"/>
                <w:szCs w:val="18"/>
              </w:rPr>
              <w:t xml:space="preserve">measure in a clinic setting, the researchers </w:t>
            </w:r>
            <w:r w:rsidR="00BE2B15">
              <w:rPr>
                <w:sz w:val="18"/>
                <w:szCs w:val="18"/>
              </w:rPr>
              <w:t xml:space="preserve">found that </w:t>
            </w:r>
            <w:r w:rsidR="00782922">
              <w:rPr>
                <w:sz w:val="18"/>
                <w:szCs w:val="18"/>
              </w:rPr>
              <w:t xml:space="preserve">dynamic balance measures including the step test and the TUG were </w:t>
            </w:r>
            <w:r w:rsidR="00360C6B">
              <w:rPr>
                <w:sz w:val="18"/>
                <w:szCs w:val="18"/>
              </w:rPr>
              <w:t xml:space="preserve">also strong predictors and were particularly </w:t>
            </w:r>
            <w:r w:rsidR="00E53AF0">
              <w:rPr>
                <w:sz w:val="18"/>
                <w:szCs w:val="18"/>
              </w:rPr>
              <w:t xml:space="preserve">stronger predictors of falls than static balance measures. </w:t>
            </w:r>
          </w:p>
        </w:tc>
      </w:tr>
      <w:tr w:rsidR="001D4F60" w:rsidRPr="002F16E1" w14:paraId="663F9754" w14:textId="77777777" w:rsidTr="00F36C4B">
        <w:tc>
          <w:tcPr>
            <w:tcW w:w="10195" w:type="dxa"/>
            <w:shd w:val="clear" w:color="auto" w:fill="E6E6E6"/>
          </w:tcPr>
          <w:p w14:paraId="6A129734"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0B3C8221" w14:textId="77777777" w:rsidTr="00F36C4B">
        <w:tc>
          <w:tcPr>
            <w:tcW w:w="10195" w:type="dxa"/>
            <w:shd w:val="clear" w:color="auto" w:fill="auto"/>
          </w:tcPr>
          <w:p w14:paraId="309D71DE" w14:textId="77777777" w:rsidR="001D4F60" w:rsidRPr="002F16E1" w:rsidRDefault="001D4F60" w:rsidP="009E380F">
            <w:pPr>
              <w:spacing w:before="120" w:after="120"/>
              <w:rPr>
                <w:b/>
                <w:sz w:val="18"/>
                <w:szCs w:val="18"/>
              </w:rPr>
            </w:pPr>
            <w:r w:rsidRPr="002F16E1">
              <w:rPr>
                <w:b/>
                <w:sz w:val="18"/>
                <w:szCs w:val="18"/>
              </w:rPr>
              <w:t>Validity</w:t>
            </w:r>
          </w:p>
          <w:p w14:paraId="23263142"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7EA9C408" w14:textId="77777777" w:rsidTr="00F36C4B">
        <w:tc>
          <w:tcPr>
            <w:tcW w:w="10195" w:type="dxa"/>
            <w:shd w:val="clear" w:color="auto" w:fill="auto"/>
          </w:tcPr>
          <w:p w14:paraId="0EE3E015" w14:textId="0F23A7A5" w:rsidR="00415D1B" w:rsidRPr="00D51729" w:rsidRDefault="003C42D7" w:rsidP="009E380F">
            <w:pPr>
              <w:spacing w:before="120" w:after="120"/>
              <w:rPr>
                <w:bCs/>
                <w:sz w:val="18"/>
                <w:szCs w:val="18"/>
              </w:rPr>
            </w:pPr>
            <w:r w:rsidRPr="00155973">
              <w:rPr>
                <w:b/>
                <w:sz w:val="18"/>
                <w:szCs w:val="18"/>
                <w:u w:val="single"/>
              </w:rPr>
              <w:t>QUIPS</w:t>
            </w:r>
            <w:r w:rsidR="00155973" w:rsidRPr="00155973">
              <w:rPr>
                <w:b/>
                <w:sz w:val="18"/>
                <w:szCs w:val="18"/>
                <w:u w:val="single"/>
              </w:rPr>
              <w:t xml:space="preserve"> score (prognostic)</w:t>
            </w:r>
            <w:r w:rsidRPr="00685D18">
              <w:rPr>
                <w:bCs/>
                <w:sz w:val="18"/>
                <w:szCs w:val="18"/>
              </w:rPr>
              <w:t xml:space="preserve"> – low</w:t>
            </w:r>
            <w:r w:rsidR="00155973">
              <w:rPr>
                <w:bCs/>
                <w:sz w:val="18"/>
                <w:szCs w:val="18"/>
              </w:rPr>
              <w:t xml:space="preserve"> risk of bias </w:t>
            </w:r>
            <w:r w:rsidRPr="00685D18">
              <w:rPr>
                <w:bCs/>
                <w:sz w:val="18"/>
                <w:szCs w:val="18"/>
              </w:rPr>
              <w:t>(5/6 sections scored low; 1/6 sections scored moderate)</w:t>
            </w:r>
            <w:r w:rsidR="00184690">
              <w:rPr>
                <w:bCs/>
                <w:sz w:val="18"/>
                <w:szCs w:val="18"/>
              </w:rPr>
              <w:t xml:space="preserve">. </w:t>
            </w:r>
            <w:r w:rsidR="001C1DD1">
              <w:rPr>
                <w:bCs/>
                <w:sz w:val="18"/>
                <w:szCs w:val="18"/>
              </w:rPr>
              <w:t>Overall, t</w:t>
            </w:r>
            <w:r w:rsidR="00184690">
              <w:rPr>
                <w:bCs/>
                <w:sz w:val="18"/>
                <w:szCs w:val="18"/>
              </w:rPr>
              <w:t>his study demonstrates a low level of bias and a resulting high validity</w:t>
            </w:r>
            <w:r w:rsidR="001C1DD1">
              <w:rPr>
                <w:bCs/>
                <w:sz w:val="18"/>
                <w:szCs w:val="18"/>
              </w:rPr>
              <w:t xml:space="preserve"> due to its methods and analysis. </w:t>
            </w:r>
          </w:p>
          <w:p w14:paraId="41CF0951" w14:textId="77777777" w:rsidR="00AF1CD8" w:rsidRDefault="00B12680" w:rsidP="004A2BFD">
            <w:pPr>
              <w:spacing w:before="120" w:after="120"/>
              <w:rPr>
                <w:sz w:val="18"/>
                <w:szCs w:val="18"/>
              </w:rPr>
            </w:pPr>
            <w:r>
              <w:rPr>
                <w:sz w:val="18"/>
                <w:szCs w:val="18"/>
              </w:rPr>
              <w:t>Strengths</w:t>
            </w:r>
            <w:r w:rsidR="00D51729">
              <w:rPr>
                <w:sz w:val="18"/>
                <w:szCs w:val="18"/>
              </w:rPr>
              <w:t xml:space="preserve">: </w:t>
            </w:r>
          </w:p>
          <w:p w14:paraId="64AF9F17" w14:textId="77777777" w:rsidR="00AF1CD8" w:rsidRDefault="00D51729" w:rsidP="004A2BFD">
            <w:pPr>
              <w:spacing w:before="120" w:after="120"/>
              <w:rPr>
                <w:sz w:val="18"/>
                <w:szCs w:val="18"/>
              </w:rPr>
            </w:pPr>
            <w:r>
              <w:rPr>
                <w:sz w:val="18"/>
                <w:szCs w:val="18"/>
              </w:rPr>
              <w:t xml:space="preserve">The study provides details about sampling, subject recruitment (i.e. use of interpreters, consults with patients’ physicians), eligibility criteria (see “Participants” section in CAT), and baseline characteristics via descriptive </w:t>
            </w:r>
            <w:r w:rsidR="00507C55">
              <w:rPr>
                <w:sz w:val="18"/>
                <w:szCs w:val="18"/>
              </w:rPr>
              <w:t>statistics. The authors include a fairly detailed discussion of patient drop-out, including reasons for drop-out, number of drop-outs, and a comparison of drop-outs to the participants retained in the study</w:t>
            </w:r>
            <w:r w:rsidR="00A276B4">
              <w:rPr>
                <w:sz w:val="18"/>
                <w:szCs w:val="18"/>
              </w:rPr>
              <w:t xml:space="preserve"> (“i.e. no significant differences between those lost to follow-up and those retained”</w:t>
            </w:r>
            <w:r w:rsidR="00CE5F2F">
              <w:rPr>
                <w:sz w:val="18"/>
                <w:szCs w:val="18"/>
              </w:rPr>
              <w:t xml:space="preserve"> (pg. </w:t>
            </w:r>
            <w:r w:rsidR="00942F21">
              <w:rPr>
                <w:sz w:val="18"/>
                <w:szCs w:val="18"/>
              </w:rPr>
              <w:t>4</w:t>
            </w:r>
            <w:r w:rsidR="00A276B4">
              <w:rPr>
                <w:sz w:val="18"/>
                <w:szCs w:val="18"/>
              </w:rPr>
              <w:t>)</w:t>
            </w:r>
            <w:r w:rsidR="00507C55">
              <w:rPr>
                <w:sz w:val="18"/>
                <w:szCs w:val="18"/>
              </w:rPr>
              <w:t xml:space="preserve">. There was an 84% response rate as 81 of 96 participants recruited completed tests. </w:t>
            </w:r>
            <w:r w:rsidR="006E4433">
              <w:rPr>
                <w:sz w:val="18"/>
                <w:szCs w:val="18"/>
              </w:rPr>
              <w:t xml:space="preserve">The study </w:t>
            </w:r>
            <w:r w:rsidR="00834CE4">
              <w:rPr>
                <w:sz w:val="18"/>
                <w:szCs w:val="18"/>
              </w:rPr>
              <w:t xml:space="preserve">mentions other evidence about the utility of the included outcome measures (i.e. TUG), defines the outcome (“fall”), and discusses the psychometric properties of the balance and gait variables included in the current study and verified by other studies. </w:t>
            </w:r>
          </w:p>
          <w:p w14:paraId="6708FAAA" w14:textId="3EA540B1" w:rsidR="004A2BFD" w:rsidRPr="004A2BFD" w:rsidRDefault="00F825BB" w:rsidP="004A2BFD">
            <w:pPr>
              <w:spacing w:before="120" w:after="120"/>
              <w:rPr>
                <w:sz w:val="18"/>
                <w:szCs w:val="18"/>
              </w:rPr>
            </w:pPr>
            <w:r>
              <w:rPr>
                <w:sz w:val="18"/>
                <w:szCs w:val="18"/>
              </w:rPr>
              <w:t xml:space="preserve">Regarding study confounding, the study </w:t>
            </w:r>
            <w:r w:rsidR="00AA0C95" w:rsidRPr="00F825BB">
              <w:rPr>
                <w:sz w:val="18"/>
                <w:szCs w:val="18"/>
              </w:rPr>
              <w:t>mentions potential confounders (walking speed, stepping pattern, use of walking aid, influence of missing data from dropouts)</w:t>
            </w:r>
            <w:r w:rsidR="00AF1CD8">
              <w:rPr>
                <w:sz w:val="18"/>
                <w:szCs w:val="18"/>
              </w:rPr>
              <w:t>;</w:t>
            </w:r>
            <w:r w:rsidR="003C6E60" w:rsidRPr="00F825BB">
              <w:rPr>
                <w:sz w:val="18"/>
                <w:szCs w:val="18"/>
              </w:rPr>
              <w:t xml:space="preserve"> lists findings in other studies to support potentially confounding variables</w:t>
            </w:r>
            <w:r w:rsidR="008937AB" w:rsidRPr="00F825BB">
              <w:rPr>
                <w:sz w:val="18"/>
                <w:szCs w:val="18"/>
              </w:rPr>
              <w:t>; adjusts for potential confounders (i.e. country location, prior falls, walking assistance) in the analysi</w:t>
            </w:r>
            <w:r>
              <w:rPr>
                <w:sz w:val="18"/>
                <w:szCs w:val="18"/>
              </w:rPr>
              <w:t>s</w:t>
            </w:r>
            <w:r w:rsidR="00AF1CD8">
              <w:rPr>
                <w:sz w:val="18"/>
                <w:szCs w:val="18"/>
              </w:rPr>
              <w:t xml:space="preserve">; </w:t>
            </w:r>
            <w:r>
              <w:rPr>
                <w:sz w:val="18"/>
                <w:szCs w:val="18"/>
              </w:rPr>
              <w:t xml:space="preserve">and </w:t>
            </w:r>
            <w:r w:rsidR="005F13A8" w:rsidRPr="00F825BB">
              <w:rPr>
                <w:sz w:val="18"/>
                <w:szCs w:val="18"/>
              </w:rPr>
              <w:t>perform</w:t>
            </w:r>
            <w:r w:rsidR="00AF1CD8">
              <w:rPr>
                <w:sz w:val="18"/>
                <w:szCs w:val="18"/>
              </w:rPr>
              <w:t>s</w:t>
            </w:r>
            <w:r w:rsidR="005F13A8" w:rsidRPr="00F825BB">
              <w:rPr>
                <w:sz w:val="18"/>
                <w:szCs w:val="18"/>
              </w:rPr>
              <w:t xml:space="preserve"> statistical analyses with and without patients who required a walking aid</w:t>
            </w:r>
            <w:r>
              <w:rPr>
                <w:sz w:val="18"/>
                <w:szCs w:val="18"/>
              </w:rPr>
              <w:t>. The</w:t>
            </w:r>
            <w:r w:rsidR="00F71D5C" w:rsidRPr="00F825BB">
              <w:rPr>
                <w:sz w:val="18"/>
                <w:szCs w:val="18"/>
              </w:rPr>
              <w:t xml:space="preserve"> statistical analysis included appropriate </w:t>
            </w:r>
            <w:r w:rsidR="004A2BFD" w:rsidRPr="00F825BB">
              <w:rPr>
                <w:sz w:val="18"/>
                <w:szCs w:val="18"/>
              </w:rPr>
              <w:t xml:space="preserve">statistical models and reports for ordinal data, continuous data, etc. The researchers outlined descriptive statistics for all baseline characteristics and outcome variables. They also included student’s t-test, Mann-Whitney U test, and Chi-square tests when appropriate depending on how they were comparing the fallers group and the non-fallers groups. </w:t>
            </w:r>
            <w:r w:rsidR="00E40FC9" w:rsidRPr="00F825BB">
              <w:rPr>
                <w:sz w:val="18"/>
                <w:szCs w:val="18"/>
              </w:rPr>
              <w:t>The analysis included adjustment for the country location, assistance need</w:t>
            </w:r>
            <w:r w:rsidR="0055221F">
              <w:rPr>
                <w:sz w:val="18"/>
                <w:szCs w:val="18"/>
              </w:rPr>
              <w:t>ed</w:t>
            </w:r>
            <w:r w:rsidR="00E40FC9" w:rsidRPr="00F825BB">
              <w:rPr>
                <w:sz w:val="18"/>
                <w:szCs w:val="18"/>
              </w:rPr>
              <w:t>, and falls that occurred before strok</w:t>
            </w:r>
            <w:r w:rsidR="00BF46B6" w:rsidRPr="00F825BB">
              <w:rPr>
                <w:sz w:val="18"/>
                <w:szCs w:val="18"/>
              </w:rPr>
              <w:t>e to limit unnecessary results.</w:t>
            </w:r>
            <w:r w:rsidR="00E24368" w:rsidRPr="00F825BB">
              <w:rPr>
                <w:sz w:val="18"/>
                <w:szCs w:val="18"/>
              </w:rPr>
              <w:t xml:space="preserve"> The researchers performed 2 regression models: one model that included the participants that required physical assistance or gait aides, and one model that excluded these individuals. </w:t>
            </w:r>
          </w:p>
          <w:p w14:paraId="33F612AC" w14:textId="77777777" w:rsidR="00AF1CD8" w:rsidRDefault="00B12680" w:rsidP="00055942">
            <w:pPr>
              <w:spacing w:before="120" w:after="120"/>
              <w:rPr>
                <w:sz w:val="18"/>
                <w:szCs w:val="18"/>
              </w:rPr>
            </w:pPr>
            <w:r>
              <w:rPr>
                <w:sz w:val="18"/>
                <w:szCs w:val="18"/>
              </w:rPr>
              <w:t>Weaknesses</w:t>
            </w:r>
            <w:r w:rsidR="00F825BB">
              <w:rPr>
                <w:sz w:val="18"/>
                <w:szCs w:val="18"/>
              </w:rPr>
              <w:t xml:space="preserve">: </w:t>
            </w:r>
          </w:p>
          <w:p w14:paraId="58D1C337" w14:textId="40771890" w:rsidR="00055942" w:rsidRDefault="00FE090A" w:rsidP="00055942">
            <w:pPr>
              <w:spacing w:before="120" w:after="120"/>
              <w:rPr>
                <w:sz w:val="18"/>
                <w:szCs w:val="18"/>
              </w:rPr>
            </w:pPr>
            <w:r>
              <w:rPr>
                <w:sz w:val="18"/>
                <w:szCs w:val="18"/>
              </w:rPr>
              <w:t xml:space="preserve">According to the QUIPS tool, this study had few weaknesses. For “Study Participation,” there was no specific recruitment time frame mentioned. For the “Prognostic Factor Measurement,” </w:t>
            </w:r>
            <w:r w:rsidR="006874D1">
              <w:rPr>
                <w:sz w:val="18"/>
                <w:szCs w:val="18"/>
              </w:rPr>
              <w:t>there was no mention of a cut-off point for continuous variables</w:t>
            </w:r>
            <w:r w:rsidR="00C21DBF">
              <w:rPr>
                <w:sz w:val="18"/>
                <w:szCs w:val="18"/>
              </w:rPr>
              <w:t xml:space="preserve">. While the researchers made attempts to standardize the methods and setting of measurements, the baseline testing and gait and balance variables were measured in the patients’ respective facilities. There were 4 different facilities across 2 different countries, which limits same-ness in these methods. </w:t>
            </w:r>
            <w:r w:rsidR="009B452C">
              <w:rPr>
                <w:sz w:val="18"/>
                <w:szCs w:val="18"/>
              </w:rPr>
              <w:t xml:space="preserve">While this study mentions several potential confounders, it does not describe them or discuss them in detail – information that would have made this study more valid and </w:t>
            </w:r>
            <w:r w:rsidR="00994A4C">
              <w:rPr>
                <w:sz w:val="18"/>
                <w:szCs w:val="18"/>
              </w:rPr>
              <w:t xml:space="preserve">credible. </w:t>
            </w:r>
            <w:r w:rsidR="00FE241F">
              <w:rPr>
                <w:sz w:val="18"/>
                <w:szCs w:val="18"/>
              </w:rPr>
              <w:t>Lastly, t</w:t>
            </w:r>
            <w:r w:rsidR="003E1378" w:rsidRPr="00FE241F">
              <w:rPr>
                <w:sz w:val="18"/>
                <w:szCs w:val="18"/>
              </w:rPr>
              <w:t xml:space="preserve">he researchers suggest a potential for measurement error </w:t>
            </w:r>
            <w:r w:rsidR="00C521C2" w:rsidRPr="00FE241F">
              <w:rPr>
                <w:sz w:val="18"/>
                <w:szCs w:val="18"/>
              </w:rPr>
              <w:t xml:space="preserve">with the Kinect-derived mediolateral pelvic displacement </w:t>
            </w:r>
            <w:r w:rsidR="003E1378" w:rsidRPr="00FE241F">
              <w:rPr>
                <w:sz w:val="18"/>
                <w:szCs w:val="18"/>
              </w:rPr>
              <w:t>that could have influenced the results of this study.</w:t>
            </w:r>
          </w:p>
          <w:p w14:paraId="4F4E9345" w14:textId="1A0EAE77" w:rsidR="00055942" w:rsidRPr="00055942" w:rsidRDefault="00055942" w:rsidP="00055942">
            <w:pPr>
              <w:spacing w:before="120" w:after="120"/>
              <w:rPr>
                <w:b/>
                <w:bCs/>
                <w:sz w:val="18"/>
                <w:szCs w:val="18"/>
              </w:rPr>
            </w:pPr>
            <w:r>
              <w:rPr>
                <w:b/>
                <w:bCs/>
                <w:sz w:val="18"/>
                <w:szCs w:val="18"/>
              </w:rPr>
              <w:t>External Validity</w:t>
            </w:r>
          </w:p>
          <w:p w14:paraId="74947718" w14:textId="5FAE6614" w:rsidR="001D4F60" w:rsidRPr="00580607" w:rsidRDefault="00502F32" w:rsidP="00AC1A3C">
            <w:pPr>
              <w:spacing w:before="120" w:after="120"/>
              <w:rPr>
                <w:sz w:val="18"/>
                <w:szCs w:val="18"/>
              </w:rPr>
            </w:pPr>
            <w:r w:rsidRPr="00780AFB">
              <w:rPr>
                <w:sz w:val="18"/>
                <w:szCs w:val="18"/>
              </w:rPr>
              <w:t>The external validity of this study’s findings appears to match previous studies in many ways. However, it may be limited because of the high</w:t>
            </w:r>
            <w:r w:rsidR="007C69B2" w:rsidRPr="00780AFB">
              <w:rPr>
                <w:sz w:val="18"/>
                <w:szCs w:val="18"/>
              </w:rPr>
              <w:t xml:space="preserve"> functioning level of the participants in this study. </w:t>
            </w:r>
            <w:r w:rsidR="00B96C90" w:rsidRPr="00780AFB">
              <w:rPr>
                <w:sz w:val="18"/>
                <w:szCs w:val="18"/>
              </w:rPr>
              <w:t xml:space="preserve">These researchers found a lower rate of falls in participants when compared to similar populations samples in other studies. This is </w:t>
            </w:r>
            <w:r w:rsidR="006D5AA7">
              <w:rPr>
                <w:sz w:val="18"/>
                <w:szCs w:val="18"/>
              </w:rPr>
              <w:t>possibly because</w:t>
            </w:r>
            <w:r w:rsidR="00B96C90" w:rsidRPr="00780AFB">
              <w:rPr>
                <w:sz w:val="18"/>
                <w:szCs w:val="18"/>
              </w:rPr>
              <w:t xml:space="preserve"> the individuals included in this study </w:t>
            </w:r>
            <w:r w:rsidR="00743727" w:rsidRPr="00780AFB">
              <w:rPr>
                <w:sz w:val="18"/>
                <w:szCs w:val="18"/>
              </w:rPr>
              <w:t xml:space="preserve">were able to walk with no more than minimal assistance and who were discharged home after inpatient rehab, suggesting their higher level of functioning. </w:t>
            </w:r>
            <w:r w:rsidR="00247051" w:rsidRPr="00780AFB">
              <w:rPr>
                <w:sz w:val="18"/>
                <w:szCs w:val="18"/>
              </w:rPr>
              <w:t xml:space="preserve">In addition, the researchers mention that their results may have been influenced by the missing data from the participants who did not perform certain tests due to inability or technical issues. </w:t>
            </w:r>
            <w:r w:rsidR="00D12E9D" w:rsidRPr="00780AFB">
              <w:rPr>
                <w:sz w:val="18"/>
                <w:szCs w:val="18"/>
              </w:rPr>
              <w:t xml:space="preserve">Lastly, while these researchers </w:t>
            </w:r>
            <w:r w:rsidR="000D6094" w:rsidRPr="00780AFB">
              <w:rPr>
                <w:sz w:val="18"/>
                <w:szCs w:val="18"/>
              </w:rPr>
              <w:t>accounted for the use of assistive aids in the results analysis, there is evidence that suggests an association between gait assistive devices and improved TUG scores</w:t>
            </w:r>
            <w:r w:rsidR="007E393D" w:rsidRPr="00780AFB">
              <w:rPr>
                <w:sz w:val="18"/>
                <w:szCs w:val="18"/>
              </w:rPr>
              <w:t>, which can influence</w:t>
            </w:r>
            <w:r w:rsidR="00AC1A3C">
              <w:rPr>
                <w:sz w:val="18"/>
                <w:szCs w:val="18"/>
              </w:rPr>
              <w:t xml:space="preserve"> </w:t>
            </w:r>
            <w:r w:rsidR="007E393D" w:rsidRPr="00780AFB">
              <w:rPr>
                <w:sz w:val="18"/>
                <w:szCs w:val="18"/>
              </w:rPr>
              <w:t>the overall validity of the use of TUG scores for predicting post-stroke falls.</w:t>
            </w:r>
          </w:p>
        </w:tc>
      </w:tr>
      <w:tr w:rsidR="001D4F60" w:rsidRPr="002F16E1" w14:paraId="6BA99DFB" w14:textId="77777777" w:rsidTr="00F36C4B">
        <w:tc>
          <w:tcPr>
            <w:tcW w:w="10195" w:type="dxa"/>
            <w:shd w:val="clear" w:color="auto" w:fill="auto"/>
          </w:tcPr>
          <w:p w14:paraId="51D271E6"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11685C4D" w14:textId="77777777" w:rsidR="001D4F60" w:rsidRPr="002F16E1" w:rsidRDefault="00F81BE7" w:rsidP="009E380F">
            <w:pPr>
              <w:spacing w:before="120" w:after="120"/>
              <w:jc w:val="both"/>
              <w:rPr>
                <w:sz w:val="18"/>
                <w:szCs w:val="18"/>
              </w:rPr>
            </w:pPr>
            <w:r>
              <w:rPr>
                <w:sz w:val="18"/>
                <w:szCs w:val="18"/>
              </w:rPr>
              <w:lastRenderedPageBreak/>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3F369BFD" w14:textId="77777777" w:rsidTr="00F36C4B">
        <w:trPr>
          <w:trHeight w:val="1365"/>
        </w:trPr>
        <w:tc>
          <w:tcPr>
            <w:tcW w:w="10195" w:type="dxa"/>
            <w:shd w:val="clear" w:color="auto" w:fill="auto"/>
          </w:tcPr>
          <w:p w14:paraId="651EA63C" w14:textId="6FCEA41F" w:rsidR="001D4F60" w:rsidRDefault="00D81F5E" w:rsidP="009E380F">
            <w:pPr>
              <w:spacing w:before="120" w:after="120"/>
              <w:rPr>
                <w:sz w:val="18"/>
                <w:szCs w:val="18"/>
              </w:rPr>
            </w:pPr>
            <w:r>
              <w:rPr>
                <w:sz w:val="18"/>
                <w:szCs w:val="18"/>
              </w:rPr>
              <w:lastRenderedPageBreak/>
              <w:t xml:space="preserve">In pursuit of my clinical question, this study provides evidence that the TUG </w:t>
            </w:r>
            <w:r w:rsidR="005A7D98">
              <w:rPr>
                <w:sz w:val="18"/>
                <w:szCs w:val="18"/>
              </w:rPr>
              <w:t xml:space="preserve">is a strong predictor of falls in patients post-stroke. </w:t>
            </w:r>
            <w:r w:rsidR="0012388D">
              <w:rPr>
                <w:sz w:val="18"/>
                <w:szCs w:val="18"/>
              </w:rPr>
              <w:t xml:space="preserve">While the TUG is clinically useful and feasible for predicting falls in this population, this study’s results indicate that mediolateral pelvic displacement was the strongest predictor of falls among all gait and balance variables included. </w:t>
            </w:r>
            <w:r w:rsidR="00131894">
              <w:rPr>
                <w:sz w:val="18"/>
                <w:szCs w:val="18"/>
              </w:rPr>
              <w:t xml:space="preserve">The </w:t>
            </w:r>
            <w:r w:rsidR="00DF3C87">
              <w:rPr>
                <w:sz w:val="18"/>
                <w:szCs w:val="18"/>
              </w:rPr>
              <w:t xml:space="preserve">high </w:t>
            </w:r>
            <w:r w:rsidR="00131894">
              <w:rPr>
                <w:sz w:val="18"/>
                <w:szCs w:val="18"/>
              </w:rPr>
              <w:t>odds ratio values</w:t>
            </w:r>
            <w:r w:rsidR="00DF3C87">
              <w:rPr>
                <w:sz w:val="18"/>
                <w:szCs w:val="18"/>
              </w:rPr>
              <w:t xml:space="preserve"> (&gt;1) and ranges</w:t>
            </w:r>
            <w:r w:rsidR="00131894">
              <w:rPr>
                <w:sz w:val="18"/>
                <w:szCs w:val="18"/>
              </w:rPr>
              <w:t xml:space="preserve"> for each variable suggest the high </w:t>
            </w:r>
            <w:r w:rsidR="00DF3C87">
              <w:rPr>
                <w:sz w:val="18"/>
                <w:szCs w:val="18"/>
              </w:rPr>
              <w:t xml:space="preserve">probability of falls in individuals with these variables present. </w:t>
            </w:r>
            <w:r w:rsidR="000F586A">
              <w:rPr>
                <w:sz w:val="18"/>
                <w:szCs w:val="18"/>
              </w:rPr>
              <w:t xml:space="preserve">I am confident in the validity of this study’s procedures and findings because of its low risk of bias and its strong statistical analysis in which the researchers attempt to account for several confounding variables. </w:t>
            </w:r>
          </w:p>
          <w:p w14:paraId="710A9D04" w14:textId="41B7BF37" w:rsidR="001D4F60" w:rsidRPr="00580607" w:rsidRDefault="00592AF2" w:rsidP="00134E3D">
            <w:pPr>
              <w:spacing w:before="120" w:after="120"/>
              <w:rPr>
                <w:sz w:val="18"/>
                <w:szCs w:val="18"/>
              </w:rPr>
            </w:pPr>
            <w:r>
              <w:rPr>
                <w:sz w:val="18"/>
                <w:szCs w:val="18"/>
              </w:rPr>
              <w:t xml:space="preserve">These results indicate that, regardless of the use of assistive devices or gait speed by individuals post-stroke, the individual’s pelvic displacement, </w:t>
            </w:r>
            <w:r w:rsidR="00CB3866">
              <w:rPr>
                <w:sz w:val="18"/>
                <w:szCs w:val="18"/>
              </w:rPr>
              <w:t xml:space="preserve">stride length, and gait speed variability </w:t>
            </w:r>
            <w:r w:rsidR="005F3F96">
              <w:rPr>
                <w:sz w:val="18"/>
                <w:szCs w:val="18"/>
              </w:rPr>
              <w:t xml:space="preserve">are able to predict their falls risk. </w:t>
            </w:r>
            <w:r w:rsidR="00B80C15">
              <w:rPr>
                <w:sz w:val="18"/>
                <w:szCs w:val="18"/>
              </w:rPr>
              <w:t xml:space="preserve">These variables are extremely relevant to this population as individuals post-stroke struggle with maintaining balance during ambulation, transfers, and other </w:t>
            </w:r>
            <w:r w:rsidR="00710584">
              <w:rPr>
                <w:sz w:val="18"/>
                <w:szCs w:val="18"/>
              </w:rPr>
              <w:t>mobility tasks. Thus, this study’s results offer good clinical utility across several physical therapy settings depending on the equipment and expertise available. In fact, if clinics lack a depth-sensing camera device (like the Kinect camera used in this study), the TUG and step test appear to be able to predict falls in this population.</w:t>
            </w:r>
          </w:p>
        </w:tc>
      </w:tr>
      <w:tr w:rsidR="0000738B" w:rsidRPr="002F16E1" w14:paraId="68CE9A9D" w14:textId="77777777" w:rsidTr="00F36C4B">
        <w:trPr>
          <w:trHeight w:val="759"/>
        </w:trPr>
        <w:tc>
          <w:tcPr>
            <w:tcW w:w="10195" w:type="dxa"/>
            <w:shd w:val="clear" w:color="auto" w:fill="auto"/>
          </w:tcPr>
          <w:p w14:paraId="2D0B045D" w14:textId="77777777" w:rsidR="0000738B" w:rsidRPr="002F16E1" w:rsidRDefault="0000738B" w:rsidP="0000738B">
            <w:pPr>
              <w:spacing w:before="120" w:after="120"/>
              <w:jc w:val="both"/>
              <w:rPr>
                <w:b/>
                <w:sz w:val="18"/>
                <w:szCs w:val="18"/>
              </w:rPr>
            </w:pPr>
            <w:r>
              <w:rPr>
                <w:b/>
                <w:sz w:val="18"/>
                <w:szCs w:val="18"/>
              </w:rPr>
              <w:t>Applicability of Study Results</w:t>
            </w:r>
          </w:p>
          <w:p w14:paraId="1AB33A41"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18E735FE" w14:textId="77777777" w:rsidTr="002935A1">
        <w:trPr>
          <w:trHeight w:val="1594"/>
        </w:trPr>
        <w:tc>
          <w:tcPr>
            <w:tcW w:w="10195" w:type="dxa"/>
            <w:shd w:val="clear" w:color="auto" w:fill="auto"/>
          </w:tcPr>
          <w:p w14:paraId="291258D6" w14:textId="6B07731C" w:rsidR="00F23470" w:rsidRDefault="003F4192" w:rsidP="009E380F">
            <w:pPr>
              <w:spacing w:before="120" w:after="120"/>
              <w:rPr>
                <w:sz w:val="18"/>
                <w:szCs w:val="18"/>
              </w:rPr>
            </w:pPr>
            <w:r>
              <w:rPr>
                <w:sz w:val="18"/>
                <w:szCs w:val="18"/>
              </w:rPr>
              <w:t>This stud</w:t>
            </w:r>
            <w:r w:rsidR="00902460">
              <w:rPr>
                <w:sz w:val="18"/>
                <w:szCs w:val="18"/>
              </w:rPr>
              <w:t xml:space="preserve">y is moderately applicable to my clinical question as it </w:t>
            </w:r>
            <w:r w:rsidR="00B60828">
              <w:rPr>
                <w:sz w:val="18"/>
                <w:szCs w:val="18"/>
              </w:rPr>
              <w:t xml:space="preserve">involves relevant measures, outcomes, and </w:t>
            </w:r>
            <w:r w:rsidR="0088631D">
              <w:rPr>
                <w:sz w:val="18"/>
                <w:szCs w:val="18"/>
              </w:rPr>
              <w:t xml:space="preserve">sample population. </w:t>
            </w:r>
            <w:r w:rsidR="00B27F83">
              <w:rPr>
                <w:sz w:val="18"/>
                <w:szCs w:val="18"/>
              </w:rPr>
              <w:t xml:space="preserve">Average age is 63 years old, which is very similar to </w:t>
            </w:r>
            <w:r w:rsidR="008378BD">
              <w:rPr>
                <w:sz w:val="18"/>
                <w:szCs w:val="18"/>
              </w:rPr>
              <w:t xml:space="preserve">that of the patient in the clinical question. </w:t>
            </w:r>
            <w:r w:rsidR="0045764D">
              <w:rPr>
                <w:sz w:val="18"/>
                <w:szCs w:val="18"/>
              </w:rPr>
              <w:t xml:space="preserve">While the study mainly focuses on gait variables measured by </w:t>
            </w:r>
            <w:r w:rsidR="00042166">
              <w:rPr>
                <w:sz w:val="18"/>
                <w:szCs w:val="18"/>
              </w:rPr>
              <w:t>a dept</w:t>
            </w:r>
            <w:r w:rsidR="00297CC3">
              <w:rPr>
                <w:sz w:val="18"/>
                <w:szCs w:val="18"/>
              </w:rPr>
              <w:t>h</w:t>
            </w:r>
            <w:r w:rsidR="00042166">
              <w:rPr>
                <w:sz w:val="18"/>
                <w:szCs w:val="18"/>
              </w:rPr>
              <w:t xml:space="preserve">-sensitive, it also includes </w:t>
            </w:r>
            <w:r w:rsidR="00297CC3">
              <w:rPr>
                <w:sz w:val="18"/>
                <w:szCs w:val="18"/>
              </w:rPr>
              <w:t xml:space="preserve">measurement </w:t>
            </w:r>
            <w:r w:rsidR="001A2AF3">
              <w:rPr>
                <w:sz w:val="18"/>
                <w:szCs w:val="18"/>
              </w:rPr>
              <w:t xml:space="preserve">of falls prediction via various balance measures, including the TUG. </w:t>
            </w:r>
            <w:r w:rsidR="00D8681B">
              <w:rPr>
                <w:sz w:val="18"/>
                <w:szCs w:val="18"/>
              </w:rPr>
              <w:t xml:space="preserve">Several other studies </w:t>
            </w:r>
            <w:r w:rsidR="000E3CBA">
              <w:rPr>
                <w:sz w:val="18"/>
                <w:szCs w:val="18"/>
              </w:rPr>
              <w:t xml:space="preserve">assess </w:t>
            </w:r>
            <w:r w:rsidR="00F46C77">
              <w:rPr>
                <w:sz w:val="18"/>
                <w:szCs w:val="18"/>
              </w:rPr>
              <w:t xml:space="preserve">the psychometric properties of outcome measures in the stroke population; however, this study is more relevant to the clinical question because of its outcome measure of falls prediction. </w:t>
            </w:r>
          </w:p>
          <w:p w14:paraId="4B739288" w14:textId="0E853018" w:rsidR="00E15D7D" w:rsidRDefault="00E15D7D" w:rsidP="009E380F">
            <w:pPr>
              <w:spacing w:before="120" w:after="120"/>
              <w:rPr>
                <w:sz w:val="18"/>
                <w:szCs w:val="18"/>
              </w:rPr>
            </w:pPr>
            <w:r>
              <w:rPr>
                <w:sz w:val="18"/>
                <w:szCs w:val="18"/>
              </w:rPr>
              <w:t xml:space="preserve">The participants in this study are </w:t>
            </w:r>
            <w:r w:rsidR="0004443C">
              <w:rPr>
                <w:sz w:val="18"/>
                <w:szCs w:val="18"/>
              </w:rPr>
              <w:t xml:space="preserve">fairly </w:t>
            </w:r>
            <w:r>
              <w:rPr>
                <w:sz w:val="18"/>
                <w:szCs w:val="18"/>
              </w:rPr>
              <w:t>similar to those in the clinical question</w:t>
            </w:r>
            <w:r w:rsidR="00CE723E">
              <w:rPr>
                <w:sz w:val="18"/>
                <w:szCs w:val="18"/>
              </w:rPr>
              <w:t xml:space="preserve"> </w:t>
            </w:r>
            <w:r w:rsidR="005431FE">
              <w:rPr>
                <w:sz w:val="18"/>
                <w:szCs w:val="18"/>
              </w:rPr>
              <w:t>in terms of age, however, they differ in</w:t>
            </w:r>
            <w:r w:rsidR="00CE723E">
              <w:rPr>
                <w:sz w:val="18"/>
                <w:szCs w:val="18"/>
              </w:rPr>
              <w:t xml:space="preserve"> length of time since their stroke</w:t>
            </w:r>
            <w:r w:rsidR="005431FE">
              <w:rPr>
                <w:sz w:val="18"/>
                <w:szCs w:val="18"/>
              </w:rPr>
              <w:t xml:space="preserve"> (3 months vs. </w:t>
            </w:r>
            <w:r w:rsidR="00663C3A">
              <w:rPr>
                <w:sz w:val="18"/>
                <w:szCs w:val="18"/>
              </w:rPr>
              <w:t>1-year</w:t>
            </w:r>
            <w:r w:rsidR="005431FE">
              <w:rPr>
                <w:sz w:val="18"/>
                <w:szCs w:val="18"/>
              </w:rPr>
              <w:t xml:space="preserve"> post-stroke)</w:t>
            </w:r>
            <w:r w:rsidR="006E243F">
              <w:rPr>
                <w:sz w:val="18"/>
                <w:szCs w:val="18"/>
              </w:rPr>
              <w:t>.</w:t>
            </w:r>
            <w:r w:rsidR="00D36730">
              <w:rPr>
                <w:sz w:val="18"/>
                <w:szCs w:val="18"/>
              </w:rPr>
              <w:t xml:space="preserve"> </w:t>
            </w:r>
            <w:r w:rsidR="006D6F71">
              <w:rPr>
                <w:sz w:val="18"/>
                <w:szCs w:val="18"/>
              </w:rPr>
              <w:t>In addition, participants in this study are both men and women, while the clinical question is seeking information regarding a female post-stroke</w:t>
            </w:r>
            <w:r w:rsidR="003A281C">
              <w:rPr>
                <w:sz w:val="18"/>
                <w:szCs w:val="18"/>
              </w:rPr>
              <w:t xml:space="preserve">. </w:t>
            </w:r>
            <w:r w:rsidR="009C183B">
              <w:rPr>
                <w:sz w:val="18"/>
                <w:szCs w:val="18"/>
              </w:rPr>
              <w:t xml:space="preserve">The participants in this study were divided into 2 groups for analysis based on their falls: fallers (n = 58) and non-fallers (n = 58). </w:t>
            </w:r>
            <w:r w:rsidR="001A3209">
              <w:rPr>
                <w:sz w:val="18"/>
                <w:szCs w:val="18"/>
              </w:rPr>
              <w:t>Baseline</w:t>
            </w:r>
            <w:r w:rsidR="001F6453">
              <w:rPr>
                <w:sz w:val="18"/>
                <w:szCs w:val="18"/>
              </w:rPr>
              <w:t xml:space="preserve"> characteristics across both groups </w:t>
            </w:r>
            <w:r w:rsidR="001A3209">
              <w:rPr>
                <w:sz w:val="18"/>
                <w:szCs w:val="18"/>
              </w:rPr>
              <w:t xml:space="preserve">demonstrate insignificant differences for the majority of characteristics. </w:t>
            </w:r>
            <w:r w:rsidR="00CA19A8">
              <w:rPr>
                <w:sz w:val="18"/>
                <w:szCs w:val="18"/>
              </w:rPr>
              <w:t xml:space="preserve">However, there was a statistically significant difference </w:t>
            </w:r>
            <w:r w:rsidR="00452D82">
              <w:rPr>
                <w:sz w:val="18"/>
                <w:szCs w:val="18"/>
              </w:rPr>
              <w:t>for the Modified Rankin Scale</w:t>
            </w:r>
            <w:r w:rsidR="004451BE">
              <w:rPr>
                <w:sz w:val="18"/>
                <w:szCs w:val="18"/>
              </w:rPr>
              <w:t xml:space="preserve">, the short FES-I, </w:t>
            </w:r>
            <w:r w:rsidR="00F57B64">
              <w:rPr>
                <w:sz w:val="18"/>
                <w:szCs w:val="18"/>
              </w:rPr>
              <w:t xml:space="preserve">and </w:t>
            </w:r>
            <w:r w:rsidR="008F3DDD">
              <w:rPr>
                <w:sz w:val="18"/>
                <w:szCs w:val="18"/>
              </w:rPr>
              <w:t>presence of falls in the past month</w:t>
            </w:r>
            <w:r w:rsidR="00452D82">
              <w:rPr>
                <w:sz w:val="18"/>
                <w:szCs w:val="18"/>
              </w:rPr>
              <w:t xml:space="preserve"> in fallers and non-fallers</w:t>
            </w:r>
            <w:r w:rsidR="008F3DDD">
              <w:rPr>
                <w:sz w:val="18"/>
                <w:szCs w:val="18"/>
              </w:rPr>
              <w:t xml:space="preserve"> </w:t>
            </w:r>
            <w:r w:rsidR="00452D82">
              <w:rPr>
                <w:sz w:val="18"/>
                <w:szCs w:val="18"/>
              </w:rPr>
              <w:t>(fallers had higher score</w:t>
            </w:r>
            <w:r w:rsidR="008F3DDD">
              <w:rPr>
                <w:sz w:val="18"/>
                <w:szCs w:val="18"/>
              </w:rPr>
              <w:t xml:space="preserve"> in all 3 measures</w:t>
            </w:r>
            <w:r w:rsidR="00452D82">
              <w:rPr>
                <w:sz w:val="18"/>
                <w:szCs w:val="18"/>
              </w:rPr>
              <w:t>)</w:t>
            </w:r>
            <w:r w:rsidR="008F3DDD">
              <w:rPr>
                <w:sz w:val="18"/>
                <w:szCs w:val="18"/>
              </w:rPr>
              <w:t xml:space="preserve">. </w:t>
            </w:r>
            <w:r w:rsidR="00452D82">
              <w:rPr>
                <w:sz w:val="18"/>
                <w:szCs w:val="18"/>
              </w:rPr>
              <w:t xml:space="preserve"> </w:t>
            </w:r>
          </w:p>
          <w:p w14:paraId="0DA158D1" w14:textId="2A0696B3" w:rsidR="00235B9C" w:rsidRDefault="00235B9C" w:rsidP="009E380F">
            <w:pPr>
              <w:spacing w:before="120" w:after="120"/>
              <w:rPr>
                <w:sz w:val="18"/>
                <w:szCs w:val="18"/>
              </w:rPr>
            </w:pPr>
            <w:r>
              <w:rPr>
                <w:sz w:val="18"/>
                <w:szCs w:val="18"/>
              </w:rPr>
              <w:t xml:space="preserve">This study appears to be low risk, as there is no intervention provided, and it simply includes balance and functional measures followed by a 12-month follow-up period during which participants record their falls. </w:t>
            </w:r>
            <w:r w:rsidR="009108E0">
              <w:rPr>
                <w:sz w:val="18"/>
                <w:szCs w:val="18"/>
              </w:rPr>
              <w:t>Thus, the study’s benefits outweigh any potential harms</w:t>
            </w:r>
            <w:r w:rsidR="00BD2BB0">
              <w:rPr>
                <w:sz w:val="18"/>
                <w:szCs w:val="18"/>
              </w:rPr>
              <w:t xml:space="preserve"> and most of its balance measures would be safe to perform in a clinic setting. </w:t>
            </w:r>
          </w:p>
          <w:p w14:paraId="581CF3E6" w14:textId="6EE73566" w:rsidR="001652DA" w:rsidRDefault="004B6ABC" w:rsidP="009E380F">
            <w:pPr>
              <w:spacing w:before="120" w:after="120"/>
              <w:rPr>
                <w:sz w:val="18"/>
                <w:szCs w:val="18"/>
              </w:rPr>
            </w:pPr>
            <w:r>
              <w:rPr>
                <w:sz w:val="18"/>
                <w:szCs w:val="18"/>
              </w:rPr>
              <w:t xml:space="preserve">Parts of this study are </w:t>
            </w:r>
            <w:r w:rsidR="000F128B">
              <w:rPr>
                <w:sz w:val="18"/>
                <w:szCs w:val="18"/>
              </w:rPr>
              <w:t>practical</w:t>
            </w:r>
            <w:r>
              <w:rPr>
                <w:sz w:val="18"/>
                <w:szCs w:val="18"/>
              </w:rPr>
              <w:t xml:space="preserve"> to complete in a clinic. The </w:t>
            </w:r>
            <w:r w:rsidR="00C1571A">
              <w:rPr>
                <w:sz w:val="18"/>
                <w:szCs w:val="18"/>
              </w:rPr>
              <w:t xml:space="preserve">self-report </w:t>
            </w:r>
            <w:r w:rsidR="00E460CE">
              <w:rPr>
                <w:sz w:val="18"/>
                <w:szCs w:val="18"/>
              </w:rPr>
              <w:t xml:space="preserve">outcome measures (i.e. FIM, MoCA, etc.), </w:t>
            </w:r>
            <w:r w:rsidR="009E28CC">
              <w:rPr>
                <w:sz w:val="18"/>
                <w:szCs w:val="18"/>
              </w:rPr>
              <w:t>dynamic</w:t>
            </w:r>
            <w:r w:rsidR="00E460CE">
              <w:rPr>
                <w:sz w:val="18"/>
                <w:szCs w:val="18"/>
              </w:rPr>
              <w:t xml:space="preserve"> </w:t>
            </w:r>
            <w:r>
              <w:rPr>
                <w:sz w:val="18"/>
                <w:szCs w:val="18"/>
              </w:rPr>
              <w:t xml:space="preserve">balance measures </w:t>
            </w:r>
            <w:r w:rsidR="009E28CC">
              <w:rPr>
                <w:sz w:val="18"/>
                <w:szCs w:val="18"/>
              </w:rPr>
              <w:t>(i.e.</w:t>
            </w:r>
            <w:r>
              <w:rPr>
                <w:sz w:val="18"/>
                <w:szCs w:val="18"/>
              </w:rPr>
              <w:t xml:space="preserve"> step test, </w:t>
            </w:r>
            <w:r w:rsidR="00E460CE">
              <w:rPr>
                <w:sz w:val="18"/>
                <w:szCs w:val="18"/>
              </w:rPr>
              <w:t>TUG</w:t>
            </w:r>
            <w:r w:rsidR="009E28CC">
              <w:rPr>
                <w:sz w:val="18"/>
                <w:szCs w:val="18"/>
              </w:rPr>
              <w:t xml:space="preserve">), and static balance measures (via Wii Balance Board) </w:t>
            </w:r>
            <w:r w:rsidR="000F128B">
              <w:rPr>
                <w:sz w:val="18"/>
                <w:szCs w:val="18"/>
              </w:rPr>
              <w:t xml:space="preserve">are feasible to complete in </w:t>
            </w:r>
            <w:r w:rsidR="00AE35E2">
              <w:rPr>
                <w:sz w:val="18"/>
                <w:szCs w:val="18"/>
              </w:rPr>
              <w:t xml:space="preserve">the clinic setting suggested in the clinical question </w:t>
            </w:r>
            <w:r w:rsidR="000F128B">
              <w:rPr>
                <w:sz w:val="18"/>
                <w:szCs w:val="18"/>
              </w:rPr>
              <w:t xml:space="preserve">as long as the therapist has the required time and equipment. </w:t>
            </w:r>
            <w:r w:rsidR="002C1A9B">
              <w:rPr>
                <w:sz w:val="18"/>
                <w:szCs w:val="18"/>
              </w:rPr>
              <w:t xml:space="preserve">However, the depth-sensing cameras (Kinect) </w:t>
            </w:r>
            <w:r w:rsidR="00AB4BC6">
              <w:rPr>
                <w:sz w:val="18"/>
                <w:szCs w:val="18"/>
              </w:rPr>
              <w:t xml:space="preserve">that measure gait variables </w:t>
            </w:r>
            <w:r w:rsidR="0098344E">
              <w:rPr>
                <w:sz w:val="18"/>
                <w:szCs w:val="18"/>
              </w:rPr>
              <w:t xml:space="preserve">are </w:t>
            </w:r>
            <w:r w:rsidR="00AB4BC6">
              <w:rPr>
                <w:sz w:val="18"/>
                <w:szCs w:val="18"/>
              </w:rPr>
              <w:t>appropriate for a research setting, but not for a clinical setting</w:t>
            </w:r>
            <w:r w:rsidR="00C47279">
              <w:rPr>
                <w:sz w:val="18"/>
                <w:szCs w:val="18"/>
              </w:rPr>
              <w:t xml:space="preserve">, as it requires substantial time, equipment, and training of personnel. </w:t>
            </w:r>
            <w:r w:rsidR="00A90226">
              <w:rPr>
                <w:sz w:val="18"/>
                <w:szCs w:val="18"/>
              </w:rPr>
              <w:t xml:space="preserve">But, because the researchers found that the step test and TUG were strong predictors of falls, they can be used when the Kinect system is not feasible. </w:t>
            </w:r>
          </w:p>
          <w:p w14:paraId="4AE045EB" w14:textId="79D2E18A" w:rsidR="00BD6978" w:rsidRPr="00BD6978" w:rsidRDefault="00C47279" w:rsidP="00BD6978">
            <w:pPr>
              <w:spacing w:before="120" w:after="120"/>
              <w:rPr>
                <w:sz w:val="18"/>
                <w:szCs w:val="18"/>
              </w:rPr>
            </w:pPr>
            <w:r>
              <w:rPr>
                <w:sz w:val="18"/>
                <w:szCs w:val="18"/>
              </w:rPr>
              <w:t xml:space="preserve">These measures present low risk for these patients when performed by a trained professional. </w:t>
            </w:r>
            <w:r w:rsidR="001652DA">
              <w:rPr>
                <w:sz w:val="18"/>
                <w:szCs w:val="18"/>
              </w:rPr>
              <w:t xml:space="preserve">This would be an important characteristic of </w:t>
            </w:r>
            <w:r w:rsidR="00A504D0">
              <w:rPr>
                <w:sz w:val="18"/>
                <w:szCs w:val="18"/>
              </w:rPr>
              <w:t xml:space="preserve">the study, as patients select preferred interventions or measures based on their potential risk, cost-benefit analysis, </w:t>
            </w:r>
            <w:r w:rsidR="001A0E2A">
              <w:rPr>
                <w:sz w:val="18"/>
                <w:szCs w:val="18"/>
              </w:rPr>
              <w:t xml:space="preserve">and their confidence in the therapist administering the test. </w:t>
            </w:r>
            <w:r w:rsidR="008E3F64">
              <w:rPr>
                <w:sz w:val="18"/>
                <w:szCs w:val="18"/>
              </w:rPr>
              <w:t xml:space="preserve">The researchers of the study </w:t>
            </w:r>
            <w:r w:rsidR="00E04645">
              <w:rPr>
                <w:sz w:val="18"/>
                <w:szCs w:val="18"/>
              </w:rPr>
              <w:t xml:space="preserve">adapt measures by </w:t>
            </w:r>
            <w:r w:rsidR="008E3F64">
              <w:rPr>
                <w:sz w:val="18"/>
                <w:szCs w:val="18"/>
              </w:rPr>
              <w:t>allow</w:t>
            </w:r>
            <w:r w:rsidR="00E04645">
              <w:rPr>
                <w:sz w:val="18"/>
                <w:szCs w:val="18"/>
              </w:rPr>
              <w:t>ing</w:t>
            </w:r>
            <w:r w:rsidR="008E3F64">
              <w:rPr>
                <w:sz w:val="18"/>
                <w:szCs w:val="18"/>
              </w:rPr>
              <w:t xml:space="preserve"> participants to use shoes, gait aids, or other assistance when necessary during the </w:t>
            </w:r>
            <w:r w:rsidR="00937261">
              <w:rPr>
                <w:sz w:val="18"/>
                <w:szCs w:val="18"/>
              </w:rPr>
              <w:t>walking trials and balance measures, which can increase one’s feeling of safety</w:t>
            </w:r>
            <w:r w:rsidR="00DF55C6">
              <w:rPr>
                <w:sz w:val="18"/>
                <w:szCs w:val="18"/>
              </w:rPr>
              <w:t xml:space="preserve">. </w:t>
            </w:r>
            <w:r w:rsidR="002B0553">
              <w:rPr>
                <w:sz w:val="18"/>
                <w:szCs w:val="18"/>
              </w:rPr>
              <w:t>Because this study appears safe and does not appear to interfere much with participants’ time (one baseline test and a daily journal for recording falls), it is likely feasible</w:t>
            </w:r>
            <w:r w:rsidR="003B7E24">
              <w:rPr>
                <w:sz w:val="18"/>
                <w:szCs w:val="18"/>
              </w:rPr>
              <w:t xml:space="preserve"> for this population. </w:t>
            </w:r>
          </w:p>
        </w:tc>
      </w:tr>
    </w:tbl>
    <w:p w14:paraId="790F2125" w14:textId="77777777" w:rsidR="001D4F60" w:rsidRDefault="001D4F60" w:rsidP="001D4F60">
      <w:pPr>
        <w:spacing w:before="240" w:after="240"/>
        <w:rPr>
          <w:b/>
          <w:sz w:val="18"/>
          <w:szCs w:val="18"/>
        </w:rPr>
      </w:pPr>
    </w:p>
    <w:p w14:paraId="54777A68" w14:textId="1E1F8F5C" w:rsidR="001D4F60" w:rsidRPr="00D72900" w:rsidRDefault="001D4F60" w:rsidP="001D4F60">
      <w:pPr>
        <w:spacing w:before="240" w:after="240"/>
        <w:rPr>
          <w:b/>
          <w:sz w:val="18"/>
          <w:szCs w:val="18"/>
          <w:vertAlign w:val="superscript"/>
        </w:rPr>
      </w:pPr>
      <w:r>
        <w:rPr>
          <w:b/>
          <w:sz w:val="18"/>
          <w:szCs w:val="18"/>
        </w:rPr>
        <w:t xml:space="preserve">(2) </w:t>
      </w:r>
      <w:r w:rsidRPr="001D4F60">
        <w:rPr>
          <w:b/>
          <w:sz w:val="18"/>
          <w:szCs w:val="18"/>
        </w:rPr>
        <w:t>Description and appraisal of (</w:t>
      </w:r>
      <w:r w:rsidR="00B4688E">
        <w:rPr>
          <w:b/>
          <w:sz w:val="18"/>
          <w:szCs w:val="18"/>
        </w:rPr>
        <w:t>Risk Factors Associated with Falls in Adult Patients After Stroke Living in the Community: Baseline Data From a Stroke Cohort in Brazil</w:t>
      </w:r>
      <w:r w:rsidRPr="001D4F60">
        <w:rPr>
          <w:b/>
          <w:sz w:val="18"/>
          <w:szCs w:val="18"/>
        </w:rPr>
        <w:t>) by (</w:t>
      </w:r>
      <w:r w:rsidR="00B4688E">
        <w:rPr>
          <w:b/>
          <w:sz w:val="18"/>
          <w:szCs w:val="18"/>
        </w:rPr>
        <w:t>Pinto et al</w:t>
      </w:r>
      <w:r w:rsidRPr="001D4F60">
        <w:rPr>
          <w:b/>
          <w:sz w:val="18"/>
          <w:szCs w:val="18"/>
        </w:rPr>
        <w:t xml:space="preserve">, </w:t>
      </w:r>
      <w:r w:rsidR="00B4688E">
        <w:rPr>
          <w:b/>
          <w:sz w:val="18"/>
          <w:szCs w:val="18"/>
        </w:rPr>
        <w:t>2014</w:t>
      </w:r>
      <w:r w:rsidRPr="001D4F60">
        <w:rPr>
          <w:b/>
          <w:sz w:val="18"/>
          <w:szCs w:val="18"/>
        </w:rPr>
        <w:t>)</w:t>
      </w:r>
      <w:r w:rsidR="00D72900">
        <w:rPr>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3B6BF012" w14:textId="77777777" w:rsidTr="00C34C48">
        <w:tc>
          <w:tcPr>
            <w:tcW w:w="10421" w:type="dxa"/>
            <w:shd w:val="clear" w:color="auto" w:fill="E6E6E6"/>
          </w:tcPr>
          <w:p w14:paraId="069FCC44" w14:textId="77777777" w:rsidR="0000738B" w:rsidRPr="002F16E1" w:rsidRDefault="0000738B" w:rsidP="00C34C48">
            <w:pPr>
              <w:spacing w:before="120" w:after="120"/>
              <w:rPr>
                <w:b/>
                <w:sz w:val="18"/>
                <w:szCs w:val="18"/>
              </w:rPr>
            </w:pPr>
            <w:r w:rsidRPr="002F16E1">
              <w:rPr>
                <w:b/>
                <w:sz w:val="18"/>
                <w:szCs w:val="18"/>
              </w:rPr>
              <w:t>Aim/Objective of the Study/Systematic Review:</w:t>
            </w:r>
          </w:p>
        </w:tc>
      </w:tr>
      <w:tr w:rsidR="0000738B" w:rsidRPr="002F16E1" w14:paraId="2FDBB6B5" w14:textId="77777777" w:rsidTr="00C34C48">
        <w:tc>
          <w:tcPr>
            <w:tcW w:w="10421" w:type="dxa"/>
            <w:tcBorders>
              <w:bottom w:val="single" w:sz="4" w:space="0" w:color="auto"/>
            </w:tcBorders>
            <w:shd w:val="clear" w:color="auto" w:fill="auto"/>
          </w:tcPr>
          <w:p w14:paraId="733E15EA" w14:textId="1645607A" w:rsidR="0000738B" w:rsidRPr="002F16E1" w:rsidRDefault="002E255C" w:rsidP="009822B4">
            <w:pPr>
              <w:spacing w:before="120" w:after="120"/>
              <w:rPr>
                <w:sz w:val="18"/>
                <w:szCs w:val="18"/>
              </w:rPr>
            </w:pPr>
            <w:r>
              <w:rPr>
                <w:sz w:val="18"/>
                <w:szCs w:val="18"/>
              </w:rPr>
              <w:lastRenderedPageBreak/>
              <w:t>“To estimate fall frequency and to identify factors related to fall occurrence in a sample of patients with stroke recruited from a reference stroke clinic living in the</w:t>
            </w:r>
            <w:r w:rsidR="00644AF2">
              <w:rPr>
                <w:sz w:val="18"/>
                <w:szCs w:val="18"/>
              </w:rPr>
              <w:t xml:space="preserve"> community.”</w:t>
            </w:r>
            <w:r w:rsidR="00776AE4">
              <w:rPr>
                <w:sz w:val="18"/>
                <w:szCs w:val="18"/>
              </w:rPr>
              <w:t xml:space="preserve"> (page 221)</w:t>
            </w:r>
          </w:p>
        </w:tc>
      </w:tr>
      <w:tr w:rsidR="0000738B" w:rsidRPr="002F16E1" w14:paraId="1A235134" w14:textId="77777777" w:rsidTr="00C34C48">
        <w:tc>
          <w:tcPr>
            <w:tcW w:w="10421" w:type="dxa"/>
            <w:shd w:val="clear" w:color="auto" w:fill="E6E6E6"/>
          </w:tcPr>
          <w:p w14:paraId="1AFD0B9B" w14:textId="77777777" w:rsidR="0000738B" w:rsidRPr="002F16E1" w:rsidRDefault="0000738B" w:rsidP="00C34C48">
            <w:pPr>
              <w:spacing w:before="120" w:after="120"/>
              <w:jc w:val="both"/>
              <w:rPr>
                <w:b/>
                <w:sz w:val="18"/>
                <w:szCs w:val="18"/>
              </w:rPr>
            </w:pPr>
            <w:r w:rsidRPr="002F16E1">
              <w:rPr>
                <w:b/>
                <w:sz w:val="18"/>
                <w:szCs w:val="18"/>
              </w:rPr>
              <w:t>Study Design</w:t>
            </w:r>
          </w:p>
          <w:p w14:paraId="78B30894" w14:textId="77777777" w:rsidR="0000738B" w:rsidRPr="002F16E1" w:rsidRDefault="0000738B" w:rsidP="00C34C48">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075D1CB7" w14:textId="77777777" w:rsidR="0000738B" w:rsidRPr="002F16E1" w:rsidRDefault="0000738B" w:rsidP="00C34C48">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1D4D7E46" w14:textId="77777777" w:rsidTr="00C34C48">
        <w:tc>
          <w:tcPr>
            <w:tcW w:w="10421" w:type="dxa"/>
            <w:tcBorders>
              <w:bottom w:val="single" w:sz="4" w:space="0" w:color="auto"/>
            </w:tcBorders>
            <w:shd w:val="clear" w:color="auto" w:fill="auto"/>
          </w:tcPr>
          <w:p w14:paraId="369C371A" w14:textId="4F3A2BB5" w:rsidR="001411E9" w:rsidRDefault="00D72900" w:rsidP="00C34C48">
            <w:pPr>
              <w:spacing w:before="120" w:after="120"/>
              <w:rPr>
                <w:sz w:val="18"/>
                <w:szCs w:val="18"/>
              </w:rPr>
            </w:pPr>
            <w:r>
              <w:rPr>
                <w:sz w:val="18"/>
                <w:szCs w:val="18"/>
              </w:rPr>
              <w:t>This study is a r</w:t>
            </w:r>
            <w:r w:rsidR="004159A5">
              <w:rPr>
                <w:sz w:val="18"/>
                <w:szCs w:val="18"/>
              </w:rPr>
              <w:t>etrospective, c</w:t>
            </w:r>
            <w:r w:rsidR="00E76A86">
              <w:rPr>
                <w:sz w:val="18"/>
                <w:szCs w:val="18"/>
              </w:rPr>
              <w:t>ross-sectional</w:t>
            </w:r>
            <w:r w:rsidR="006666A3">
              <w:rPr>
                <w:sz w:val="18"/>
                <w:szCs w:val="18"/>
              </w:rPr>
              <w:t>,</w:t>
            </w:r>
            <w:r w:rsidR="00E76A86">
              <w:rPr>
                <w:sz w:val="18"/>
                <w:szCs w:val="18"/>
              </w:rPr>
              <w:t xml:space="preserve"> cohort study</w:t>
            </w:r>
            <w:r>
              <w:rPr>
                <w:sz w:val="18"/>
                <w:szCs w:val="18"/>
              </w:rPr>
              <w:t xml:space="preserve">. </w:t>
            </w:r>
            <w:r w:rsidR="004159A5">
              <w:rPr>
                <w:sz w:val="18"/>
                <w:szCs w:val="18"/>
              </w:rPr>
              <w:t xml:space="preserve">Data from </w:t>
            </w:r>
            <w:r w:rsidR="0064721A">
              <w:rPr>
                <w:sz w:val="18"/>
                <w:szCs w:val="18"/>
              </w:rPr>
              <w:t xml:space="preserve">March 2009 to September 2010 from </w:t>
            </w:r>
            <w:r w:rsidR="004159A5">
              <w:rPr>
                <w:sz w:val="18"/>
                <w:szCs w:val="18"/>
              </w:rPr>
              <w:t xml:space="preserve">150 </w:t>
            </w:r>
            <w:r w:rsidR="00551865">
              <w:rPr>
                <w:sz w:val="18"/>
                <w:szCs w:val="18"/>
              </w:rPr>
              <w:t xml:space="preserve">stroke patients </w:t>
            </w:r>
            <w:r w:rsidR="00C5146C">
              <w:rPr>
                <w:sz w:val="18"/>
                <w:szCs w:val="18"/>
              </w:rPr>
              <w:t>was collected</w:t>
            </w:r>
            <w:r w:rsidR="006D1D23">
              <w:rPr>
                <w:sz w:val="18"/>
                <w:szCs w:val="18"/>
              </w:rPr>
              <w:t>, and baseline testing was applied (includes modified Barthel Index, Timed Up &amp; Go Test, National Institutes of Health Stroke Scale).</w:t>
            </w:r>
          </w:p>
          <w:p w14:paraId="0DDB9BA4" w14:textId="7942EE9A" w:rsidR="006666A3" w:rsidRDefault="006666A3" w:rsidP="00C34C48">
            <w:pPr>
              <w:spacing w:before="120" w:after="120"/>
              <w:rPr>
                <w:sz w:val="18"/>
                <w:szCs w:val="18"/>
              </w:rPr>
            </w:pPr>
            <w:r>
              <w:rPr>
                <w:sz w:val="18"/>
                <w:szCs w:val="18"/>
              </w:rPr>
              <w:t xml:space="preserve">The article includes no discussion about </w:t>
            </w:r>
            <w:r w:rsidR="008B298C">
              <w:rPr>
                <w:sz w:val="18"/>
                <w:szCs w:val="18"/>
              </w:rPr>
              <w:t>blinding or allocation concealment in the study</w:t>
            </w:r>
            <w:r w:rsidR="001411E9">
              <w:rPr>
                <w:sz w:val="18"/>
                <w:szCs w:val="18"/>
              </w:rPr>
              <w:t xml:space="preserve"> (no intervention implemented)</w:t>
            </w:r>
          </w:p>
          <w:p w14:paraId="17C883B5" w14:textId="23CCF7F2" w:rsidR="00164EB7" w:rsidRDefault="00164EB7" w:rsidP="00C34C48">
            <w:pPr>
              <w:spacing w:before="120" w:after="120"/>
              <w:rPr>
                <w:sz w:val="18"/>
                <w:szCs w:val="18"/>
              </w:rPr>
            </w:pPr>
            <w:r>
              <w:rPr>
                <w:sz w:val="18"/>
                <w:szCs w:val="18"/>
              </w:rPr>
              <w:t>There is no discussion about who collected and read these data from clinical records</w:t>
            </w:r>
            <w:r w:rsidR="00087C25">
              <w:rPr>
                <w:sz w:val="18"/>
                <w:szCs w:val="18"/>
              </w:rPr>
              <w:t xml:space="preserve"> or who performed the clinical testing. </w:t>
            </w:r>
          </w:p>
          <w:p w14:paraId="6BCFC88B" w14:textId="1D1485A4" w:rsidR="0000738B" w:rsidRPr="002F16E1" w:rsidRDefault="00EE73D8" w:rsidP="00C8101A">
            <w:pPr>
              <w:spacing w:before="120" w:after="120"/>
              <w:rPr>
                <w:sz w:val="18"/>
                <w:szCs w:val="18"/>
              </w:rPr>
            </w:pPr>
            <w:r>
              <w:rPr>
                <w:sz w:val="18"/>
                <w:szCs w:val="18"/>
              </w:rPr>
              <w:t xml:space="preserve">The Statistical Package for the Social Sciences (SPSS) was used for all statistical analysis. </w:t>
            </w:r>
            <w:r w:rsidR="00BB29F0">
              <w:rPr>
                <w:sz w:val="18"/>
                <w:szCs w:val="18"/>
              </w:rPr>
              <w:t xml:space="preserve">Univariate analyses were </w:t>
            </w:r>
            <w:r w:rsidR="00600865">
              <w:rPr>
                <w:sz w:val="18"/>
                <w:szCs w:val="18"/>
              </w:rPr>
              <w:t>performed and the Fisher exact test or the Pearson chi</w:t>
            </w:r>
            <w:r w:rsidR="00501E41">
              <w:rPr>
                <w:sz w:val="18"/>
                <w:szCs w:val="18"/>
              </w:rPr>
              <w:t>-</w:t>
            </w:r>
            <w:r w:rsidR="00600865">
              <w:rPr>
                <w:sz w:val="18"/>
                <w:szCs w:val="18"/>
              </w:rPr>
              <w:t xml:space="preserve">square test </w:t>
            </w:r>
            <w:r w:rsidR="00B4688E">
              <w:rPr>
                <w:sz w:val="18"/>
                <w:szCs w:val="18"/>
              </w:rPr>
              <w:t xml:space="preserve">were used </w:t>
            </w:r>
            <w:r w:rsidR="00600865">
              <w:rPr>
                <w:sz w:val="18"/>
                <w:szCs w:val="18"/>
              </w:rPr>
              <w:t xml:space="preserve">to </w:t>
            </w:r>
            <w:r w:rsidR="008D6FBE">
              <w:rPr>
                <w:sz w:val="18"/>
                <w:szCs w:val="18"/>
              </w:rPr>
              <w:t xml:space="preserve">determine any </w:t>
            </w:r>
            <w:r w:rsidR="008F088D">
              <w:rPr>
                <w:sz w:val="18"/>
                <w:szCs w:val="18"/>
              </w:rPr>
              <w:t xml:space="preserve">associations of </w:t>
            </w:r>
            <w:r w:rsidR="00293CCA">
              <w:rPr>
                <w:sz w:val="18"/>
                <w:szCs w:val="18"/>
              </w:rPr>
              <w:t xml:space="preserve">categorical </w:t>
            </w:r>
            <w:r w:rsidR="008F088D">
              <w:rPr>
                <w:sz w:val="18"/>
                <w:szCs w:val="18"/>
              </w:rPr>
              <w:t>variables</w:t>
            </w:r>
            <w:r w:rsidR="00293CCA">
              <w:rPr>
                <w:sz w:val="18"/>
                <w:szCs w:val="18"/>
              </w:rPr>
              <w:t xml:space="preserve">, while the Student t test and Mann-Whitney U test were used to determine associations of continuous variables </w:t>
            </w:r>
            <w:r w:rsidR="008F088D">
              <w:rPr>
                <w:sz w:val="18"/>
                <w:szCs w:val="18"/>
              </w:rPr>
              <w:t xml:space="preserve">between fallers and non-fallers. </w:t>
            </w:r>
            <w:r w:rsidR="00615AF7">
              <w:rPr>
                <w:sz w:val="18"/>
                <w:szCs w:val="18"/>
              </w:rPr>
              <w:t xml:space="preserve">Multivariate analyses were performed </w:t>
            </w:r>
            <w:r w:rsidR="00854862">
              <w:rPr>
                <w:sz w:val="18"/>
                <w:szCs w:val="18"/>
              </w:rPr>
              <w:t xml:space="preserve">to </w:t>
            </w:r>
            <w:r w:rsidR="005E59F8">
              <w:rPr>
                <w:sz w:val="18"/>
                <w:szCs w:val="18"/>
              </w:rPr>
              <w:t>determine predictors of falls</w:t>
            </w:r>
            <w:r w:rsidR="00ED520F">
              <w:rPr>
                <w:sz w:val="18"/>
                <w:szCs w:val="18"/>
              </w:rPr>
              <w:t xml:space="preserve"> in patients post-stroke. </w:t>
            </w:r>
            <w:r w:rsidR="000D0C3E">
              <w:rPr>
                <w:sz w:val="18"/>
                <w:szCs w:val="18"/>
              </w:rPr>
              <w:t>The Pearson correlation test was also used to determine correlations between continuous variables of fallers and non-fallers</w:t>
            </w:r>
            <w:r w:rsidR="00A92C30">
              <w:rPr>
                <w:sz w:val="18"/>
                <w:szCs w:val="18"/>
              </w:rPr>
              <w:t xml:space="preserve">. </w:t>
            </w:r>
          </w:p>
        </w:tc>
      </w:tr>
      <w:tr w:rsidR="0000738B" w:rsidRPr="002F16E1" w14:paraId="62E8175A" w14:textId="77777777" w:rsidTr="00C34C48">
        <w:tc>
          <w:tcPr>
            <w:tcW w:w="10421" w:type="dxa"/>
            <w:shd w:val="clear" w:color="auto" w:fill="E6E6E6"/>
          </w:tcPr>
          <w:p w14:paraId="40F20DFC" w14:textId="77777777" w:rsidR="0000738B" w:rsidRPr="002F16E1" w:rsidRDefault="0000738B" w:rsidP="00C34C48">
            <w:pPr>
              <w:spacing w:before="120" w:after="120"/>
              <w:rPr>
                <w:b/>
                <w:sz w:val="18"/>
                <w:szCs w:val="18"/>
              </w:rPr>
            </w:pPr>
            <w:r w:rsidRPr="002F16E1">
              <w:rPr>
                <w:b/>
                <w:sz w:val="18"/>
                <w:szCs w:val="18"/>
              </w:rPr>
              <w:t>Setting</w:t>
            </w:r>
          </w:p>
          <w:p w14:paraId="210F4C1F" w14:textId="77777777" w:rsidR="0000738B" w:rsidRPr="002F16E1" w:rsidRDefault="0000738B" w:rsidP="00C34C48">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5792B458" w14:textId="77777777" w:rsidTr="00C34C48">
        <w:tc>
          <w:tcPr>
            <w:tcW w:w="10421" w:type="dxa"/>
            <w:tcBorders>
              <w:bottom w:val="single" w:sz="4" w:space="0" w:color="auto"/>
            </w:tcBorders>
            <w:shd w:val="clear" w:color="auto" w:fill="auto"/>
          </w:tcPr>
          <w:p w14:paraId="0368690C" w14:textId="1FE7E78B" w:rsidR="0000738B" w:rsidRPr="002F16E1" w:rsidRDefault="009D2A10" w:rsidP="00781F7A">
            <w:pPr>
              <w:spacing w:before="120" w:after="120"/>
              <w:rPr>
                <w:sz w:val="18"/>
                <w:szCs w:val="18"/>
              </w:rPr>
            </w:pPr>
            <w:r>
              <w:rPr>
                <w:sz w:val="18"/>
                <w:szCs w:val="18"/>
              </w:rPr>
              <w:t xml:space="preserve">Participants were recruited </w:t>
            </w:r>
            <w:r w:rsidR="00E8022B">
              <w:rPr>
                <w:sz w:val="18"/>
                <w:szCs w:val="18"/>
              </w:rPr>
              <w:t>from the Stroke Clinic of the Federal University of Bah</w:t>
            </w:r>
            <w:r w:rsidR="00DD5CD9">
              <w:rPr>
                <w:sz w:val="18"/>
                <w:szCs w:val="18"/>
              </w:rPr>
              <w:t>ia</w:t>
            </w:r>
            <w:r w:rsidR="00E8022B">
              <w:rPr>
                <w:sz w:val="18"/>
                <w:szCs w:val="18"/>
              </w:rPr>
              <w:t xml:space="preserve"> </w:t>
            </w:r>
            <w:r w:rsidR="00CB4086">
              <w:rPr>
                <w:sz w:val="18"/>
                <w:szCs w:val="18"/>
              </w:rPr>
              <w:t>-</w:t>
            </w:r>
            <w:r w:rsidR="00E8022B">
              <w:rPr>
                <w:sz w:val="18"/>
                <w:szCs w:val="18"/>
              </w:rPr>
              <w:t xml:space="preserve"> a </w:t>
            </w:r>
            <w:r w:rsidR="002414E3">
              <w:rPr>
                <w:sz w:val="18"/>
                <w:szCs w:val="18"/>
              </w:rPr>
              <w:t>multidisciplinary</w:t>
            </w:r>
            <w:r w:rsidR="00E8022B">
              <w:rPr>
                <w:sz w:val="18"/>
                <w:szCs w:val="18"/>
              </w:rPr>
              <w:t xml:space="preserve"> outpatient clinic to which many post-acute stroke patients</w:t>
            </w:r>
            <w:r w:rsidR="00CB4086">
              <w:rPr>
                <w:sz w:val="18"/>
                <w:szCs w:val="18"/>
              </w:rPr>
              <w:t xml:space="preserve"> from emergency services in Bah</w:t>
            </w:r>
            <w:r w:rsidR="00DD5CD9">
              <w:rPr>
                <w:sz w:val="18"/>
                <w:szCs w:val="18"/>
              </w:rPr>
              <w:t>ia</w:t>
            </w:r>
            <w:r w:rsidR="00CB4086">
              <w:rPr>
                <w:sz w:val="18"/>
                <w:szCs w:val="18"/>
              </w:rPr>
              <w:t>, Brazil are referred.</w:t>
            </w:r>
            <w:r w:rsidR="00E8022B">
              <w:rPr>
                <w:sz w:val="18"/>
                <w:szCs w:val="18"/>
              </w:rPr>
              <w:t xml:space="preserve"> </w:t>
            </w:r>
            <w:r w:rsidR="00EA4C94">
              <w:rPr>
                <w:sz w:val="18"/>
                <w:szCs w:val="18"/>
              </w:rPr>
              <w:t>There is no mention of the location of the clinical testing, however, it can be assumed that it occurred at this outpatient clinic.</w:t>
            </w:r>
          </w:p>
        </w:tc>
      </w:tr>
      <w:tr w:rsidR="0000738B" w:rsidRPr="002F16E1" w14:paraId="112D20CB" w14:textId="77777777" w:rsidTr="00C34C48">
        <w:tc>
          <w:tcPr>
            <w:tcW w:w="10421" w:type="dxa"/>
            <w:shd w:val="clear" w:color="auto" w:fill="E6E6E6"/>
          </w:tcPr>
          <w:p w14:paraId="321D7CA5" w14:textId="77777777" w:rsidR="0000738B" w:rsidRPr="002F16E1" w:rsidRDefault="0000738B" w:rsidP="00C34C48">
            <w:pPr>
              <w:spacing w:before="120" w:after="120"/>
              <w:rPr>
                <w:b/>
                <w:sz w:val="18"/>
                <w:szCs w:val="18"/>
              </w:rPr>
            </w:pPr>
            <w:r w:rsidRPr="002F16E1">
              <w:rPr>
                <w:b/>
                <w:sz w:val="18"/>
                <w:szCs w:val="18"/>
              </w:rPr>
              <w:t>Participants</w:t>
            </w:r>
          </w:p>
          <w:p w14:paraId="30439644" w14:textId="77777777" w:rsidR="0000738B" w:rsidRDefault="0000738B" w:rsidP="00C34C48">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BE87DC1" w14:textId="77777777" w:rsidR="0000738B" w:rsidRPr="002F16E1" w:rsidRDefault="0000738B" w:rsidP="00C34C48">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05D500E3" w14:textId="77777777" w:rsidTr="00C34C48">
        <w:tc>
          <w:tcPr>
            <w:tcW w:w="10421" w:type="dxa"/>
            <w:tcBorders>
              <w:bottom w:val="single" w:sz="4" w:space="0" w:color="auto"/>
            </w:tcBorders>
            <w:shd w:val="clear" w:color="auto" w:fill="auto"/>
          </w:tcPr>
          <w:p w14:paraId="5A36DD58" w14:textId="7E1C7336" w:rsidR="005D46C9" w:rsidRDefault="00A13924" w:rsidP="00C34C48">
            <w:pPr>
              <w:spacing w:before="120" w:after="120"/>
              <w:rPr>
                <w:sz w:val="18"/>
                <w:szCs w:val="18"/>
              </w:rPr>
            </w:pPr>
            <w:r>
              <w:rPr>
                <w:sz w:val="18"/>
                <w:szCs w:val="18"/>
              </w:rPr>
              <w:t>150 (94 classified as non</w:t>
            </w:r>
            <w:r w:rsidR="00141836">
              <w:rPr>
                <w:sz w:val="18"/>
                <w:szCs w:val="18"/>
              </w:rPr>
              <w:t>-</w:t>
            </w:r>
            <w:r>
              <w:rPr>
                <w:sz w:val="18"/>
                <w:szCs w:val="18"/>
              </w:rPr>
              <w:t>fallers, 56 as fallers)</w:t>
            </w:r>
            <w:r w:rsidR="00A32A68">
              <w:rPr>
                <w:sz w:val="18"/>
                <w:szCs w:val="18"/>
              </w:rPr>
              <w:t xml:space="preserve"> consecutive </w:t>
            </w:r>
            <w:r w:rsidR="00967F81">
              <w:rPr>
                <w:sz w:val="18"/>
                <w:szCs w:val="18"/>
              </w:rPr>
              <w:t xml:space="preserve">(convenience sample) </w:t>
            </w:r>
            <w:r w:rsidR="00A32A68">
              <w:rPr>
                <w:sz w:val="18"/>
                <w:szCs w:val="18"/>
              </w:rPr>
              <w:t xml:space="preserve">patients </w:t>
            </w:r>
            <w:r w:rsidR="00D72900">
              <w:rPr>
                <w:sz w:val="18"/>
                <w:szCs w:val="18"/>
              </w:rPr>
              <w:t xml:space="preserve">were </w:t>
            </w:r>
            <w:r w:rsidR="00A32A68">
              <w:rPr>
                <w:sz w:val="18"/>
                <w:szCs w:val="18"/>
              </w:rPr>
              <w:t xml:space="preserve">recruited from the Stroke Clinic of the Federal University of Bahia. All patients had </w:t>
            </w:r>
            <w:r w:rsidR="00D72900">
              <w:rPr>
                <w:sz w:val="18"/>
                <w:szCs w:val="18"/>
              </w:rPr>
              <w:t xml:space="preserve">a </w:t>
            </w:r>
            <w:r w:rsidR="00A32A68">
              <w:rPr>
                <w:sz w:val="18"/>
                <w:szCs w:val="18"/>
              </w:rPr>
              <w:t>diagnosis of chronic stroke. There is no discussion about the specific methods for recruitment</w:t>
            </w:r>
            <w:r w:rsidR="00982B41">
              <w:rPr>
                <w:sz w:val="18"/>
                <w:szCs w:val="18"/>
              </w:rPr>
              <w:t xml:space="preserve">. Eligibility criteria includes </w:t>
            </w:r>
            <w:r w:rsidR="000067EF">
              <w:rPr>
                <w:sz w:val="18"/>
                <w:szCs w:val="18"/>
              </w:rPr>
              <w:t xml:space="preserve">community-living, ability to walk independently or with walking aid, </w:t>
            </w:r>
            <w:r w:rsidR="00664D79">
              <w:rPr>
                <w:sz w:val="18"/>
                <w:szCs w:val="18"/>
              </w:rPr>
              <w:t xml:space="preserve">ability to walk 10 feet with assistance from no more than 1 person, </w:t>
            </w:r>
            <w:r w:rsidR="00E31CFB">
              <w:rPr>
                <w:sz w:val="18"/>
                <w:szCs w:val="18"/>
              </w:rPr>
              <w:t>absence of disease affecting comprehension of the tests performed or balance (i.e. Parkinson disease, vestibulopathy)</w:t>
            </w:r>
            <w:r w:rsidR="000067EF">
              <w:rPr>
                <w:sz w:val="18"/>
                <w:szCs w:val="18"/>
              </w:rPr>
              <w:t>.</w:t>
            </w:r>
            <w:r w:rsidR="000A7C80">
              <w:rPr>
                <w:sz w:val="18"/>
                <w:szCs w:val="18"/>
              </w:rPr>
              <w:t xml:space="preserve"> </w:t>
            </w:r>
          </w:p>
          <w:p w14:paraId="5D043794" w14:textId="2349F68B" w:rsidR="0000738B" w:rsidRPr="002F16E1" w:rsidRDefault="00AA4DEF" w:rsidP="007A7FB1">
            <w:pPr>
              <w:spacing w:before="120" w:after="120"/>
              <w:rPr>
                <w:sz w:val="18"/>
                <w:szCs w:val="18"/>
              </w:rPr>
            </w:pPr>
            <w:r>
              <w:rPr>
                <w:sz w:val="18"/>
                <w:szCs w:val="18"/>
              </w:rPr>
              <w:t xml:space="preserve">Average age of all patients was 55.8 (SD 31.1); average age </w:t>
            </w:r>
            <w:r w:rsidR="007A4601">
              <w:rPr>
                <w:sz w:val="18"/>
                <w:szCs w:val="18"/>
              </w:rPr>
              <w:t xml:space="preserve">of non-fallers and fallers was 54.7 (SD 14.1) and 57.8 (SD 10.9) respectively. </w:t>
            </w:r>
            <w:r w:rsidR="00C95538">
              <w:rPr>
                <w:sz w:val="18"/>
                <w:szCs w:val="18"/>
              </w:rPr>
              <w:t>77 of the 105 patients were female (43 were non-fallers, 34 were fallers)</w:t>
            </w:r>
            <w:r w:rsidR="003671EA">
              <w:rPr>
                <w:sz w:val="18"/>
                <w:szCs w:val="18"/>
              </w:rPr>
              <w:t xml:space="preserve">. </w:t>
            </w:r>
            <w:r w:rsidR="00786238">
              <w:rPr>
                <w:sz w:val="18"/>
                <w:szCs w:val="18"/>
              </w:rPr>
              <w:t xml:space="preserve">The median number of months since the patients’ stroke was 13.5 (range 5.0-32.5 months) for all patients. For fallers and non-fallers, median number of months since stroke was </w:t>
            </w:r>
            <w:r w:rsidR="00C47FC5">
              <w:rPr>
                <w:sz w:val="18"/>
                <w:szCs w:val="18"/>
              </w:rPr>
              <w:t>11.0 (range 4-24) months and 23 (9.0-57.5) months</w:t>
            </w:r>
            <w:r w:rsidR="00420225">
              <w:rPr>
                <w:sz w:val="18"/>
                <w:szCs w:val="18"/>
              </w:rPr>
              <w:t xml:space="preserve"> respectively. </w:t>
            </w:r>
            <w:r w:rsidR="001653F7">
              <w:rPr>
                <w:sz w:val="18"/>
                <w:szCs w:val="18"/>
              </w:rPr>
              <w:t xml:space="preserve">Seventy-four of the patients had a right-sided stroke lesion </w:t>
            </w:r>
            <w:r w:rsidR="009E0A8C">
              <w:rPr>
                <w:sz w:val="18"/>
                <w:szCs w:val="18"/>
              </w:rPr>
              <w:t xml:space="preserve">(38 </w:t>
            </w:r>
            <w:r w:rsidR="009A403A">
              <w:rPr>
                <w:sz w:val="18"/>
                <w:szCs w:val="18"/>
              </w:rPr>
              <w:t xml:space="preserve">fallers, 36 non-fallers). </w:t>
            </w:r>
            <w:r w:rsidR="002E7F74">
              <w:rPr>
                <w:sz w:val="18"/>
                <w:szCs w:val="18"/>
              </w:rPr>
              <w:t>Twenty-one of the patients used some type of gait assist (9 fallers, 12 non-fallers).</w:t>
            </w:r>
            <w:r w:rsidR="00FA5C73">
              <w:rPr>
                <w:sz w:val="18"/>
                <w:szCs w:val="18"/>
              </w:rPr>
              <w:t xml:space="preserve"> </w:t>
            </w:r>
            <w:r w:rsidR="009F4ED6">
              <w:rPr>
                <w:sz w:val="18"/>
                <w:szCs w:val="18"/>
              </w:rPr>
              <w:t>Univariate analyses revealed that there w</w:t>
            </w:r>
            <w:r w:rsidR="003652BF">
              <w:rPr>
                <w:sz w:val="18"/>
                <w:szCs w:val="18"/>
              </w:rPr>
              <w:t>as</w:t>
            </w:r>
            <w:r w:rsidR="009F4ED6">
              <w:rPr>
                <w:sz w:val="18"/>
                <w:szCs w:val="18"/>
              </w:rPr>
              <w:t xml:space="preserve"> no statistical difference between falls and non-faller</w:t>
            </w:r>
            <w:r w:rsidR="007854F3">
              <w:rPr>
                <w:sz w:val="18"/>
                <w:szCs w:val="18"/>
              </w:rPr>
              <w:t>s in terms of walking aids</w:t>
            </w:r>
            <w:r w:rsidR="00D72900">
              <w:rPr>
                <w:sz w:val="18"/>
                <w:szCs w:val="18"/>
              </w:rPr>
              <w:t xml:space="preserve"> </w:t>
            </w:r>
            <w:r w:rsidR="007854F3">
              <w:rPr>
                <w:sz w:val="18"/>
                <w:szCs w:val="18"/>
              </w:rPr>
              <w:t>or use of vasodilator medications. However, there does appear to be significant dif</w:t>
            </w:r>
            <w:r w:rsidR="0030733A">
              <w:rPr>
                <w:sz w:val="18"/>
                <w:szCs w:val="18"/>
              </w:rPr>
              <w:t xml:space="preserve">ferences in </w:t>
            </w:r>
            <w:r w:rsidR="0012301D">
              <w:rPr>
                <w:sz w:val="18"/>
                <w:szCs w:val="18"/>
              </w:rPr>
              <w:t xml:space="preserve">other </w:t>
            </w:r>
            <w:r w:rsidR="00571478">
              <w:rPr>
                <w:sz w:val="18"/>
                <w:szCs w:val="18"/>
              </w:rPr>
              <w:t>de</w:t>
            </w:r>
            <w:r w:rsidR="00D72900">
              <w:rPr>
                <w:sz w:val="18"/>
                <w:szCs w:val="18"/>
              </w:rPr>
              <w:t>m</w:t>
            </w:r>
            <w:r w:rsidR="00571478">
              <w:rPr>
                <w:sz w:val="18"/>
                <w:szCs w:val="18"/>
              </w:rPr>
              <w:t>ogr</w:t>
            </w:r>
            <w:r w:rsidR="007A7FB1">
              <w:rPr>
                <w:sz w:val="18"/>
                <w:szCs w:val="18"/>
              </w:rPr>
              <w:t>a</w:t>
            </w:r>
            <w:r w:rsidR="00571478">
              <w:rPr>
                <w:sz w:val="18"/>
                <w:szCs w:val="18"/>
              </w:rPr>
              <w:t>phic data. The fallers group was an average of 3 years older, more frequently had right-sided lesions, and had longer times since stroke onset than non-fallers. However, they were similar in terms of stroke severity</w:t>
            </w:r>
            <w:r w:rsidR="00324391">
              <w:rPr>
                <w:sz w:val="18"/>
                <w:szCs w:val="18"/>
              </w:rPr>
              <w:t xml:space="preserve"> (NIHSS data) and male-female ratios. </w:t>
            </w:r>
            <w:r w:rsidR="00FA5C73">
              <w:rPr>
                <w:sz w:val="18"/>
                <w:szCs w:val="18"/>
              </w:rPr>
              <w:t xml:space="preserve">There is no mention of dropouts in the study. </w:t>
            </w:r>
          </w:p>
        </w:tc>
      </w:tr>
      <w:tr w:rsidR="0000738B" w:rsidRPr="002F16E1" w14:paraId="7B452BF6" w14:textId="77777777" w:rsidTr="00C34C48">
        <w:tc>
          <w:tcPr>
            <w:tcW w:w="10421" w:type="dxa"/>
            <w:shd w:val="clear" w:color="auto" w:fill="E6E6E6"/>
          </w:tcPr>
          <w:p w14:paraId="578FA8F4" w14:textId="77777777" w:rsidR="0000738B" w:rsidRPr="002F16E1" w:rsidRDefault="0000738B" w:rsidP="00C34C48">
            <w:pPr>
              <w:spacing w:before="120" w:after="120"/>
              <w:rPr>
                <w:b/>
                <w:sz w:val="18"/>
                <w:szCs w:val="18"/>
              </w:rPr>
            </w:pPr>
            <w:r w:rsidRPr="002F16E1">
              <w:rPr>
                <w:b/>
                <w:sz w:val="18"/>
                <w:szCs w:val="18"/>
              </w:rPr>
              <w:t>Intervention Investigated</w:t>
            </w:r>
          </w:p>
          <w:p w14:paraId="3D518417" w14:textId="77777777" w:rsidR="0000738B" w:rsidRPr="002F16E1" w:rsidRDefault="0000738B" w:rsidP="00C34C48">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50A32FA7" w14:textId="77777777" w:rsidTr="00C34C48">
        <w:tc>
          <w:tcPr>
            <w:tcW w:w="10421" w:type="dxa"/>
            <w:shd w:val="clear" w:color="auto" w:fill="auto"/>
          </w:tcPr>
          <w:p w14:paraId="27B472C1" w14:textId="77777777" w:rsidR="0000738B" w:rsidRPr="002F16E1" w:rsidRDefault="0000738B" w:rsidP="00C34C48">
            <w:pPr>
              <w:spacing w:before="120" w:after="120"/>
              <w:rPr>
                <w:i/>
                <w:sz w:val="18"/>
                <w:szCs w:val="18"/>
              </w:rPr>
            </w:pPr>
            <w:r w:rsidRPr="002F16E1">
              <w:rPr>
                <w:i/>
                <w:sz w:val="18"/>
                <w:szCs w:val="18"/>
              </w:rPr>
              <w:t>Control</w:t>
            </w:r>
          </w:p>
        </w:tc>
      </w:tr>
      <w:tr w:rsidR="0000738B" w:rsidRPr="002F16E1" w14:paraId="1029F676" w14:textId="77777777" w:rsidTr="00C34C48">
        <w:tc>
          <w:tcPr>
            <w:tcW w:w="10421" w:type="dxa"/>
            <w:shd w:val="clear" w:color="auto" w:fill="auto"/>
          </w:tcPr>
          <w:p w14:paraId="45E57E45" w14:textId="34047F2D" w:rsidR="0000738B" w:rsidRPr="002F16E1" w:rsidRDefault="00335AFF" w:rsidP="00C34C48">
            <w:pPr>
              <w:spacing w:before="120" w:after="120"/>
              <w:rPr>
                <w:sz w:val="18"/>
                <w:szCs w:val="18"/>
              </w:rPr>
            </w:pPr>
            <w:r>
              <w:rPr>
                <w:sz w:val="18"/>
                <w:szCs w:val="18"/>
              </w:rPr>
              <w:lastRenderedPageBreak/>
              <w:t>There was no control group</w:t>
            </w:r>
            <w:r w:rsidR="0092037C">
              <w:rPr>
                <w:sz w:val="18"/>
                <w:szCs w:val="18"/>
              </w:rPr>
              <w:t xml:space="preserve"> – not an experimental study</w:t>
            </w:r>
          </w:p>
        </w:tc>
      </w:tr>
      <w:tr w:rsidR="0000738B" w:rsidRPr="002F16E1" w14:paraId="2B8235B0" w14:textId="77777777" w:rsidTr="00C34C48">
        <w:tc>
          <w:tcPr>
            <w:tcW w:w="10421" w:type="dxa"/>
            <w:shd w:val="clear" w:color="auto" w:fill="auto"/>
          </w:tcPr>
          <w:p w14:paraId="34E0B4BB" w14:textId="77777777" w:rsidR="0000738B" w:rsidRPr="002F16E1" w:rsidRDefault="0000738B" w:rsidP="00C34C48">
            <w:pPr>
              <w:spacing w:before="120" w:after="120"/>
              <w:rPr>
                <w:i/>
                <w:sz w:val="18"/>
                <w:szCs w:val="18"/>
              </w:rPr>
            </w:pPr>
            <w:r w:rsidRPr="002F16E1">
              <w:rPr>
                <w:i/>
                <w:sz w:val="18"/>
                <w:szCs w:val="18"/>
              </w:rPr>
              <w:t>Experimental</w:t>
            </w:r>
          </w:p>
        </w:tc>
      </w:tr>
      <w:tr w:rsidR="0000738B" w:rsidRPr="002F16E1" w14:paraId="5D3D698B" w14:textId="77777777" w:rsidTr="00C34C48">
        <w:tc>
          <w:tcPr>
            <w:tcW w:w="10421" w:type="dxa"/>
            <w:tcBorders>
              <w:bottom w:val="single" w:sz="4" w:space="0" w:color="auto"/>
            </w:tcBorders>
            <w:shd w:val="clear" w:color="auto" w:fill="auto"/>
          </w:tcPr>
          <w:p w14:paraId="1CA09E18" w14:textId="1BB4CCDE" w:rsidR="009A54C0" w:rsidRDefault="009A54C0" w:rsidP="00C34C48">
            <w:pPr>
              <w:spacing w:before="120" w:after="120"/>
              <w:rPr>
                <w:sz w:val="18"/>
                <w:szCs w:val="18"/>
              </w:rPr>
            </w:pPr>
            <w:r>
              <w:rPr>
                <w:sz w:val="18"/>
                <w:szCs w:val="18"/>
              </w:rPr>
              <w:t xml:space="preserve">Researchers </w:t>
            </w:r>
            <w:r w:rsidR="002E29A7">
              <w:rPr>
                <w:sz w:val="18"/>
                <w:szCs w:val="18"/>
              </w:rPr>
              <w:t xml:space="preserve">collected demographic </w:t>
            </w:r>
            <w:r w:rsidR="00BD66B1">
              <w:rPr>
                <w:sz w:val="18"/>
                <w:szCs w:val="18"/>
              </w:rPr>
              <w:t xml:space="preserve">data </w:t>
            </w:r>
            <w:r w:rsidR="001B4794">
              <w:rPr>
                <w:sz w:val="18"/>
                <w:szCs w:val="18"/>
              </w:rPr>
              <w:t>including age, sex, time since stroke, use of orthoses or walking ai</w:t>
            </w:r>
            <w:r w:rsidR="00B4688E">
              <w:rPr>
                <w:sz w:val="18"/>
                <w:szCs w:val="18"/>
              </w:rPr>
              <w:t>d</w:t>
            </w:r>
            <w:r w:rsidR="001B4794">
              <w:rPr>
                <w:sz w:val="18"/>
                <w:szCs w:val="18"/>
              </w:rPr>
              <w:t xml:space="preserve">, and brain hemisphere that was affected by stroke. </w:t>
            </w:r>
          </w:p>
          <w:p w14:paraId="3D526CEA" w14:textId="2B775911" w:rsidR="0000738B" w:rsidRDefault="00335AFF" w:rsidP="00C34C48">
            <w:pPr>
              <w:spacing w:before="120" w:after="120"/>
              <w:rPr>
                <w:sz w:val="18"/>
                <w:szCs w:val="18"/>
              </w:rPr>
            </w:pPr>
            <w:r>
              <w:rPr>
                <w:sz w:val="18"/>
                <w:szCs w:val="18"/>
              </w:rPr>
              <w:t xml:space="preserve">A neurologist </w:t>
            </w:r>
            <w:r w:rsidR="00F30ECE">
              <w:rPr>
                <w:sz w:val="18"/>
                <w:szCs w:val="18"/>
              </w:rPr>
              <w:t xml:space="preserve">identified drugs with possible adverse effects that could increase fall risk and classified them as ambulatory hypotensive (i.e. beta blockers, diuretics, vasodilators), sedatives/hypnotics, and anticonvulsants. </w:t>
            </w:r>
            <w:r w:rsidR="00776C58">
              <w:rPr>
                <w:sz w:val="18"/>
                <w:szCs w:val="18"/>
              </w:rPr>
              <w:t>Fall history referred to the occurrence of any fall in the past year. This is how individuals were classified as “fallers” and “non-fallers</w:t>
            </w:r>
            <w:r w:rsidR="00BB07F7">
              <w:rPr>
                <w:sz w:val="18"/>
                <w:szCs w:val="18"/>
              </w:rPr>
              <w:t>.”</w:t>
            </w:r>
          </w:p>
          <w:p w14:paraId="10B93CB2" w14:textId="40C2D245" w:rsidR="0000738B" w:rsidRDefault="007A7C05" w:rsidP="007D5500">
            <w:pPr>
              <w:spacing w:before="120" w:after="120"/>
              <w:rPr>
                <w:sz w:val="18"/>
                <w:szCs w:val="18"/>
              </w:rPr>
            </w:pPr>
            <w:r>
              <w:rPr>
                <w:sz w:val="18"/>
                <w:szCs w:val="18"/>
              </w:rPr>
              <w:t>Participants completed the modified Barthel Index (mBI), the National Institutes of Health Stroke Scale (NIHSS), and the Timed Up &amp; Go Test (TUG)</w:t>
            </w:r>
            <w:r w:rsidR="0034269F">
              <w:rPr>
                <w:sz w:val="18"/>
                <w:szCs w:val="18"/>
              </w:rPr>
              <w:t xml:space="preserve">. There is no discussion of </w:t>
            </w:r>
            <w:r w:rsidR="0034024E">
              <w:rPr>
                <w:sz w:val="18"/>
                <w:szCs w:val="18"/>
              </w:rPr>
              <w:t xml:space="preserve">these measures’ administrators, location, and duration. </w:t>
            </w:r>
          </w:p>
          <w:p w14:paraId="7A34F8E5" w14:textId="5F07996F" w:rsidR="006422B9" w:rsidRPr="002F16E1" w:rsidRDefault="002F2D96" w:rsidP="007D5500">
            <w:pPr>
              <w:spacing w:before="120" w:after="120"/>
              <w:rPr>
                <w:sz w:val="18"/>
                <w:szCs w:val="18"/>
              </w:rPr>
            </w:pPr>
            <w:r>
              <w:rPr>
                <w:sz w:val="18"/>
                <w:szCs w:val="18"/>
              </w:rPr>
              <w:t>Data analysis included descriptive analysis of baseline sociodemographic and clinical characteristics presenting median, range, and proportion for all</w:t>
            </w:r>
            <w:r w:rsidR="00C716D8">
              <w:rPr>
                <w:sz w:val="18"/>
                <w:szCs w:val="18"/>
              </w:rPr>
              <w:t xml:space="preserve"> characteristics. </w:t>
            </w:r>
            <w:r w:rsidR="00B75C6A">
              <w:rPr>
                <w:sz w:val="18"/>
                <w:szCs w:val="18"/>
              </w:rPr>
              <w:t>The researchers used the Fisher exact test and Pearson chi-square tests for univariate analyses of categorical variables, while the Student t test and the Mann-Whitney U tests were used for a</w:t>
            </w:r>
            <w:r w:rsidR="0029727A">
              <w:rPr>
                <w:sz w:val="18"/>
                <w:szCs w:val="18"/>
              </w:rPr>
              <w:t>nal</w:t>
            </w:r>
            <w:r w:rsidR="00B75C6A">
              <w:rPr>
                <w:sz w:val="18"/>
                <w:szCs w:val="18"/>
              </w:rPr>
              <w:t xml:space="preserve">yses of continuous variables. </w:t>
            </w:r>
            <w:r w:rsidR="007E43D4">
              <w:rPr>
                <w:sz w:val="18"/>
                <w:szCs w:val="18"/>
              </w:rPr>
              <w:t xml:space="preserve">The Pearson Correlation test was used to determine correlations between continuous variables. </w:t>
            </w:r>
            <w:r w:rsidR="00525D9F">
              <w:rPr>
                <w:sz w:val="18"/>
                <w:szCs w:val="18"/>
              </w:rPr>
              <w:t>The researchers presented results as odds ratios with 95% confidence intervals denoting results with p-value&lt;0.05 as significant. They also</w:t>
            </w:r>
            <w:r w:rsidR="00F75F75">
              <w:rPr>
                <w:sz w:val="18"/>
                <w:szCs w:val="18"/>
              </w:rPr>
              <w:t xml:space="preserve"> used ROC curves to identify </w:t>
            </w:r>
            <w:r w:rsidR="00525D9F">
              <w:rPr>
                <w:sz w:val="18"/>
                <w:szCs w:val="18"/>
              </w:rPr>
              <w:t>optimal cut-off points</w:t>
            </w:r>
            <w:r w:rsidR="00F75F75">
              <w:rPr>
                <w:sz w:val="18"/>
                <w:szCs w:val="18"/>
              </w:rPr>
              <w:t xml:space="preserve"> of the TUG for falls prediction. </w:t>
            </w:r>
            <w:r w:rsidR="00197307">
              <w:rPr>
                <w:sz w:val="18"/>
                <w:szCs w:val="18"/>
              </w:rPr>
              <w:t xml:space="preserve">Lastly, </w:t>
            </w:r>
            <w:r w:rsidR="007579E5">
              <w:rPr>
                <w:sz w:val="18"/>
                <w:szCs w:val="18"/>
              </w:rPr>
              <w:t>to account for confounders (other variables that could be fall predictors), the researchers included in the logistic regression multivariable model other variables that may possibly be associated (p &lt; 0.1) with fal</w:t>
            </w:r>
            <w:r w:rsidR="00896951">
              <w:rPr>
                <w:sz w:val="18"/>
                <w:szCs w:val="18"/>
              </w:rPr>
              <w:t>l occurrence</w:t>
            </w:r>
            <w:r w:rsidR="00F01DFF">
              <w:rPr>
                <w:sz w:val="18"/>
                <w:szCs w:val="18"/>
              </w:rPr>
              <w:t xml:space="preserve">. </w:t>
            </w:r>
          </w:p>
        </w:tc>
      </w:tr>
      <w:tr w:rsidR="0000738B" w:rsidRPr="002F16E1" w14:paraId="31D53CDF" w14:textId="77777777" w:rsidTr="00C34C48">
        <w:tc>
          <w:tcPr>
            <w:tcW w:w="10421" w:type="dxa"/>
            <w:shd w:val="clear" w:color="auto" w:fill="E6E6E6"/>
          </w:tcPr>
          <w:p w14:paraId="1806D92F" w14:textId="77777777" w:rsidR="0000738B" w:rsidRPr="002F16E1" w:rsidRDefault="0000738B" w:rsidP="00C34C48">
            <w:pPr>
              <w:spacing w:before="120" w:after="120"/>
              <w:rPr>
                <w:sz w:val="18"/>
                <w:szCs w:val="18"/>
              </w:rPr>
            </w:pPr>
            <w:r w:rsidRPr="002F16E1">
              <w:rPr>
                <w:b/>
                <w:sz w:val="18"/>
                <w:szCs w:val="18"/>
              </w:rPr>
              <w:t>Outcome Measures</w:t>
            </w:r>
          </w:p>
          <w:p w14:paraId="59C691D3" w14:textId="77777777" w:rsidR="0000738B" w:rsidRPr="002F16E1" w:rsidRDefault="0000738B" w:rsidP="00C34C48">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1BDA41BE" w14:textId="77777777" w:rsidTr="00C34C48">
        <w:tc>
          <w:tcPr>
            <w:tcW w:w="10421" w:type="dxa"/>
            <w:tcBorders>
              <w:bottom w:val="single" w:sz="4" w:space="0" w:color="auto"/>
            </w:tcBorders>
            <w:shd w:val="clear" w:color="auto" w:fill="auto"/>
          </w:tcPr>
          <w:p w14:paraId="5C8CFC18" w14:textId="3277D296" w:rsidR="0000738B" w:rsidRDefault="00AF239E" w:rsidP="00C34C48">
            <w:pPr>
              <w:spacing w:before="120" w:after="120"/>
              <w:rPr>
                <w:sz w:val="18"/>
                <w:szCs w:val="18"/>
              </w:rPr>
            </w:pPr>
            <w:r>
              <w:rPr>
                <w:sz w:val="18"/>
                <w:szCs w:val="18"/>
              </w:rPr>
              <w:t>Demographic/clinical da</w:t>
            </w:r>
            <w:r w:rsidR="0024551C">
              <w:rPr>
                <w:sz w:val="18"/>
                <w:szCs w:val="18"/>
              </w:rPr>
              <w:t xml:space="preserve">ta </w:t>
            </w:r>
            <w:r w:rsidR="00292D2D">
              <w:rPr>
                <w:sz w:val="18"/>
                <w:szCs w:val="18"/>
              </w:rPr>
              <w:t xml:space="preserve">included </w:t>
            </w:r>
            <w:r w:rsidR="001032DA">
              <w:rPr>
                <w:sz w:val="18"/>
                <w:szCs w:val="18"/>
              </w:rPr>
              <w:t>–</w:t>
            </w:r>
            <w:r w:rsidR="0024551C">
              <w:rPr>
                <w:sz w:val="18"/>
                <w:szCs w:val="18"/>
              </w:rPr>
              <w:t xml:space="preserve"> </w:t>
            </w:r>
            <w:r w:rsidR="001032DA">
              <w:rPr>
                <w:sz w:val="18"/>
                <w:szCs w:val="18"/>
              </w:rPr>
              <w:t xml:space="preserve">age, gender, severity of stroke (NIHSS), months since stroke, lesion location, assisted gait, used of vasodilators. </w:t>
            </w:r>
          </w:p>
          <w:p w14:paraId="59374F51" w14:textId="2F01938A" w:rsidR="00AF239E" w:rsidRDefault="00AF239E" w:rsidP="00C34C48">
            <w:pPr>
              <w:spacing w:before="120" w:after="120"/>
              <w:rPr>
                <w:sz w:val="18"/>
                <w:szCs w:val="18"/>
              </w:rPr>
            </w:pPr>
            <w:r>
              <w:rPr>
                <w:sz w:val="18"/>
                <w:szCs w:val="18"/>
              </w:rPr>
              <w:t xml:space="preserve">Modified Barthel Index (mBI) </w:t>
            </w:r>
            <w:r w:rsidR="005A05ED">
              <w:rPr>
                <w:sz w:val="18"/>
                <w:szCs w:val="18"/>
              </w:rPr>
              <w:t>–</w:t>
            </w:r>
            <w:r>
              <w:rPr>
                <w:sz w:val="18"/>
                <w:szCs w:val="18"/>
              </w:rPr>
              <w:t xml:space="preserve"> </w:t>
            </w:r>
            <w:r w:rsidR="0002045C">
              <w:rPr>
                <w:sz w:val="18"/>
                <w:szCs w:val="18"/>
              </w:rPr>
              <w:t xml:space="preserve">measures physical disability and functional capacity </w:t>
            </w:r>
            <w:r w:rsidR="002E7DCE">
              <w:rPr>
                <w:sz w:val="18"/>
                <w:szCs w:val="18"/>
              </w:rPr>
              <w:t xml:space="preserve">for ADLs </w:t>
            </w:r>
            <w:r w:rsidR="0002045C">
              <w:rPr>
                <w:sz w:val="18"/>
                <w:szCs w:val="18"/>
              </w:rPr>
              <w:t>in patients with stroke</w:t>
            </w:r>
            <w:r w:rsidR="002E7DCE">
              <w:rPr>
                <w:sz w:val="18"/>
                <w:szCs w:val="18"/>
              </w:rPr>
              <w:t xml:space="preserve">. </w:t>
            </w:r>
            <w:r w:rsidR="0081442B">
              <w:rPr>
                <w:sz w:val="18"/>
                <w:szCs w:val="18"/>
              </w:rPr>
              <w:t xml:space="preserve">Each of the 10 items is graded 0 to 2 or 0 to 3 with lower scores indicating higher disability. </w:t>
            </w:r>
            <w:r w:rsidR="00D30C9D">
              <w:rPr>
                <w:sz w:val="18"/>
                <w:szCs w:val="18"/>
              </w:rPr>
              <w:t xml:space="preserve">The maximum score is 20, and scores below 15 and below 10 represent moderate disability and severe disability respectively. </w:t>
            </w:r>
          </w:p>
          <w:p w14:paraId="35883968" w14:textId="039777BA" w:rsidR="005A05ED" w:rsidRDefault="005A05ED" w:rsidP="00C34C48">
            <w:pPr>
              <w:spacing w:before="120" w:after="120"/>
              <w:rPr>
                <w:sz w:val="18"/>
                <w:szCs w:val="18"/>
              </w:rPr>
            </w:pPr>
            <w:r>
              <w:rPr>
                <w:sz w:val="18"/>
                <w:szCs w:val="18"/>
              </w:rPr>
              <w:t xml:space="preserve">National Institutes of Health Stroke Scale (NIHSS) – </w:t>
            </w:r>
            <w:r w:rsidR="00927EEC">
              <w:rPr>
                <w:sz w:val="18"/>
                <w:szCs w:val="18"/>
              </w:rPr>
              <w:t>evaluates stroke-related neurological disability</w:t>
            </w:r>
            <w:r w:rsidR="00111661">
              <w:rPr>
                <w:sz w:val="18"/>
                <w:szCs w:val="18"/>
              </w:rPr>
              <w:t xml:space="preserve">. Each of the 11 items on this assessment is rated </w:t>
            </w:r>
            <w:r w:rsidR="00BC43C4">
              <w:rPr>
                <w:sz w:val="18"/>
                <w:szCs w:val="18"/>
              </w:rPr>
              <w:t xml:space="preserve">either </w:t>
            </w:r>
            <w:r w:rsidR="00111661">
              <w:rPr>
                <w:sz w:val="18"/>
                <w:szCs w:val="18"/>
              </w:rPr>
              <w:t xml:space="preserve">0 </w:t>
            </w:r>
            <w:r w:rsidR="00BC43C4">
              <w:rPr>
                <w:sz w:val="18"/>
                <w:szCs w:val="18"/>
              </w:rPr>
              <w:t>to 3 or 0 to 4</w:t>
            </w:r>
            <w:r w:rsidR="00111661">
              <w:rPr>
                <w:sz w:val="18"/>
                <w:szCs w:val="18"/>
              </w:rPr>
              <w:t xml:space="preserve"> (0 indicates normal functioning, 4 indicates completely impaired). </w:t>
            </w:r>
            <w:r w:rsidR="000F70AF">
              <w:rPr>
                <w:sz w:val="18"/>
                <w:szCs w:val="18"/>
              </w:rPr>
              <w:t>The total NIHSS score is determined by adding the scores of all 11 items. The maximum score is 42, and higher score indicated more impairment</w:t>
            </w:r>
            <w:r w:rsidR="00BC43C4">
              <w:rPr>
                <w:sz w:val="18"/>
                <w:szCs w:val="18"/>
              </w:rPr>
              <w:t xml:space="preserve">. </w:t>
            </w:r>
          </w:p>
          <w:p w14:paraId="7EA22E0C" w14:textId="7D103A30" w:rsidR="005A05ED" w:rsidRPr="002F16E1" w:rsidRDefault="005A05ED" w:rsidP="00C34C48">
            <w:pPr>
              <w:spacing w:before="120" w:after="120"/>
              <w:rPr>
                <w:sz w:val="18"/>
                <w:szCs w:val="18"/>
              </w:rPr>
            </w:pPr>
            <w:r>
              <w:rPr>
                <w:sz w:val="18"/>
                <w:szCs w:val="18"/>
              </w:rPr>
              <w:t xml:space="preserve">Timed Up and Go Test (TUG) </w:t>
            </w:r>
            <w:r w:rsidR="00493539">
              <w:rPr>
                <w:sz w:val="18"/>
                <w:szCs w:val="18"/>
              </w:rPr>
              <w:t>–</w:t>
            </w:r>
            <w:r>
              <w:rPr>
                <w:sz w:val="18"/>
                <w:szCs w:val="18"/>
              </w:rPr>
              <w:t xml:space="preserve"> </w:t>
            </w:r>
            <w:r w:rsidR="00493539">
              <w:rPr>
                <w:sz w:val="18"/>
                <w:szCs w:val="18"/>
              </w:rPr>
              <w:t xml:space="preserve">test to assess basic functional mobility. </w:t>
            </w:r>
            <w:r w:rsidR="006B6E0E">
              <w:rPr>
                <w:sz w:val="18"/>
                <w:szCs w:val="18"/>
              </w:rPr>
              <w:t>This test r</w:t>
            </w:r>
            <w:r w:rsidR="00493539">
              <w:rPr>
                <w:sz w:val="18"/>
                <w:szCs w:val="18"/>
              </w:rPr>
              <w:t>equires a patient to stand up from a chair, walk 3 meters, return, and sit in the chair as quickly as they can (stopwatch used)</w:t>
            </w:r>
            <w:r w:rsidR="00344516">
              <w:rPr>
                <w:sz w:val="18"/>
                <w:szCs w:val="18"/>
              </w:rPr>
              <w:t>. Lower times indicate</w:t>
            </w:r>
            <w:r w:rsidR="001840D9">
              <w:rPr>
                <w:sz w:val="18"/>
                <w:szCs w:val="18"/>
              </w:rPr>
              <w:t xml:space="preserve"> </w:t>
            </w:r>
            <w:r w:rsidR="008700CD">
              <w:rPr>
                <w:sz w:val="18"/>
                <w:szCs w:val="18"/>
              </w:rPr>
              <w:t>better performance and reduced falls risk.</w:t>
            </w:r>
            <w:r w:rsidR="00D6523F">
              <w:rPr>
                <w:sz w:val="18"/>
                <w:szCs w:val="18"/>
              </w:rPr>
              <w:t xml:space="preserve"> A </w:t>
            </w:r>
            <w:r w:rsidR="00BC588D">
              <w:rPr>
                <w:sz w:val="18"/>
                <w:szCs w:val="18"/>
              </w:rPr>
              <w:t>time above</w:t>
            </w:r>
            <w:r w:rsidR="00D6523F">
              <w:rPr>
                <w:sz w:val="18"/>
                <w:szCs w:val="18"/>
              </w:rPr>
              <w:t xml:space="preserve"> 14 seconds has been associated with increased risk of falls in the elderly. However,</w:t>
            </w:r>
            <w:r w:rsidR="008700CD">
              <w:rPr>
                <w:sz w:val="18"/>
                <w:szCs w:val="18"/>
              </w:rPr>
              <w:t xml:space="preserve"> </w:t>
            </w:r>
            <w:r w:rsidR="00D6523F">
              <w:rPr>
                <w:sz w:val="18"/>
                <w:szCs w:val="18"/>
              </w:rPr>
              <w:t>t</w:t>
            </w:r>
            <w:r w:rsidR="007F5867">
              <w:rPr>
                <w:sz w:val="18"/>
                <w:szCs w:val="18"/>
              </w:rPr>
              <w:t>his study reports that the TUG cut</w:t>
            </w:r>
            <w:r w:rsidR="00890D8B">
              <w:rPr>
                <w:sz w:val="18"/>
                <w:szCs w:val="18"/>
              </w:rPr>
              <w:t>-</w:t>
            </w:r>
            <w:r w:rsidR="007F5867">
              <w:rPr>
                <w:sz w:val="18"/>
                <w:szCs w:val="18"/>
              </w:rPr>
              <w:t xml:space="preserve">off point for falls </w:t>
            </w:r>
            <w:r w:rsidR="00890D8B">
              <w:rPr>
                <w:sz w:val="18"/>
                <w:szCs w:val="18"/>
              </w:rPr>
              <w:t>prediction</w:t>
            </w:r>
            <w:r w:rsidR="007F5867">
              <w:rPr>
                <w:sz w:val="18"/>
                <w:szCs w:val="18"/>
              </w:rPr>
              <w:t xml:space="preserve"> is currently unknown in the stroke population. </w:t>
            </w:r>
          </w:p>
          <w:p w14:paraId="3D7DBD77" w14:textId="2ACF95C5" w:rsidR="0000738B" w:rsidRPr="002F16E1" w:rsidRDefault="006F4DB9" w:rsidP="003800E9">
            <w:pPr>
              <w:spacing w:before="120" w:after="120"/>
              <w:rPr>
                <w:sz w:val="18"/>
                <w:szCs w:val="18"/>
              </w:rPr>
            </w:pPr>
            <w:r>
              <w:rPr>
                <w:sz w:val="18"/>
                <w:szCs w:val="18"/>
              </w:rPr>
              <w:t xml:space="preserve">There is no discussion about </w:t>
            </w:r>
            <w:r w:rsidR="00D75DCB">
              <w:rPr>
                <w:sz w:val="18"/>
                <w:szCs w:val="18"/>
              </w:rPr>
              <w:t>the administration of the outcomes measures (who or where)</w:t>
            </w:r>
            <w:r w:rsidR="0091798F">
              <w:rPr>
                <w:sz w:val="18"/>
                <w:szCs w:val="18"/>
              </w:rPr>
              <w:t xml:space="preserve"> </w:t>
            </w:r>
          </w:p>
        </w:tc>
      </w:tr>
      <w:tr w:rsidR="0000738B" w:rsidRPr="002F16E1" w14:paraId="0E3FA788" w14:textId="77777777" w:rsidTr="00C34C48">
        <w:tc>
          <w:tcPr>
            <w:tcW w:w="10421" w:type="dxa"/>
            <w:tcBorders>
              <w:bottom w:val="single" w:sz="4" w:space="0" w:color="auto"/>
            </w:tcBorders>
            <w:shd w:val="clear" w:color="auto" w:fill="E6E6E6"/>
          </w:tcPr>
          <w:p w14:paraId="1F18E2C1" w14:textId="77777777" w:rsidR="0000738B" w:rsidRPr="002F16E1" w:rsidRDefault="0000738B" w:rsidP="00C34C48">
            <w:pPr>
              <w:spacing w:before="120" w:after="120"/>
              <w:rPr>
                <w:b/>
                <w:sz w:val="18"/>
                <w:szCs w:val="18"/>
              </w:rPr>
            </w:pPr>
            <w:r w:rsidRPr="002F16E1">
              <w:rPr>
                <w:b/>
                <w:sz w:val="18"/>
                <w:szCs w:val="18"/>
              </w:rPr>
              <w:t>Main Findings</w:t>
            </w:r>
          </w:p>
          <w:p w14:paraId="18BFB997" w14:textId="77777777" w:rsidR="0000738B" w:rsidRPr="002F16E1" w:rsidRDefault="0000738B" w:rsidP="00C34C48">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63AA9B68" w14:textId="77777777" w:rsidTr="00C34C48">
        <w:tc>
          <w:tcPr>
            <w:tcW w:w="10421" w:type="dxa"/>
            <w:tcBorders>
              <w:bottom w:val="single" w:sz="4" w:space="0" w:color="auto"/>
            </w:tcBorders>
            <w:shd w:val="clear" w:color="auto" w:fill="auto"/>
          </w:tcPr>
          <w:p w14:paraId="0DBDB8E3" w14:textId="6E623F90" w:rsidR="006D202F" w:rsidRDefault="003F17CF" w:rsidP="009D1827">
            <w:pPr>
              <w:rPr>
                <w:sz w:val="18"/>
                <w:szCs w:val="18"/>
              </w:rPr>
            </w:pPr>
            <w:r>
              <w:rPr>
                <w:sz w:val="18"/>
                <w:szCs w:val="18"/>
              </w:rPr>
              <w:t xml:space="preserve">Overall, mBI results indicate that the functional capacity was 49 points (range 47-50) for all patients, classifying them as “slightly dependent.” </w:t>
            </w:r>
            <w:r w:rsidR="00346666">
              <w:rPr>
                <w:sz w:val="18"/>
                <w:szCs w:val="18"/>
              </w:rPr>
              <w:t xml:space="preserve">A fall history was found in 37% of patients, and all patients reported a median of 2 falls during the study, most of which were at home, in the morning, and during walking. </w:t>
            </w:r>
          </w:p>
          <w:p w14:paraId="4A2D69A7" w14:textId="4B3B0CB3" w:rsidR="0054196A" w:rsidRDefault="0054196A" w:rsidP="009D1827">
            <w:pPr>
              <w:rPr>
                <w:sz w:val="18"/>
                <w:szCs w:val="18"/>
              </w:rPr>
            </w:pPr>
          </w:p>
          <w:tbl>
            <w:tblPr>
              <w:tblStyle w:val="TableGrid"/>
              <w:tblW w:w="0" w:type="auto"/>
              <w:tblLook w:val="04A0" w:firstRow="1" w:lastRow="0" w:firstColumn="1" w:lastColumn="0" w:noHBand="0" w:noVBand="1"/>
            </w:tblPr>
            <w:tblGrid>
              <w:gridCol w:w="4675"/>
            </w:tblGrid>
            <w:tr w:rsidR="0054196A" w:rsidRPr="008E548C" w14:paraId="4965FA9B" w14:textId="77777777" w:rsidTr="009A0559">
              <w:tc>
                <w:tcPr>
                  <w:tcW w:w="4675" w:type="dxa"/>
                </w:tcPr>
                <w:p w14:paraId="7AA28F72" w14:textId="77777777" w:rsidR="0054196A" w:rsidRPr="008E548C" w:rsidRDefault="0054196A" w:rsidP="0054196A">
                  <w:pPr>
                    <w:jc w:val="center"/>
                    <w:rPr>
                      <w:b/>
                      <w:bCs/>
                      <w:sz w:val="18"/>
                      <w:szCs w:val="18"/>
                    </w:rPr>
                  </w:pPr>
                  <w:r w:rsidRPr="008E548C">
                    <w:rPr>
                      <w:b/>
                      <w:bCs/>
                      <w:sz w:val="18"/>
                      <w:szCs w:val="18"/>
                    </w:rPr>
                    <w:t>Fallers</w:t>
                  </w:r>
                  <w:r>
                    <w:rPr>
                      <w:b/>
                      <w:bCs/>
                      <w:sz w:val="18"/>
                      <w:szCs w:val="18"/>
                    </w:rPr>
                    <w:t xml:space="preserve"> (vs. Non-fallers)</w:t>
                  </w:r>
                </w:p>
              </w:tc>
            </w:tr>
            <w:tr w:rsidR="0054196A" w:rsidRPr="008E548C" w14:paraId="41C09D60" w14:textId="77777777" w:rsidTr="009A0559">
              <w:tc>
                <w:tcPr>
                  <w:tcW w:w="4675" w:type="dxa"/>
                </w:tcPr>
                <w:p w14:paraId="684BDF41" w14:textId="77777777" w:rsidR="0054196A" w:rsidRPr="008E548C" w:rsidRDefault="0054196A" w:rsidP="0054196A">
                  <w:pPr>
                    <w:rPr>
                      <w:sz w:val="18"/>
                      <w:szCs w:val="18"/>
                    </w:rPr>
                  </w:pPr>
                  <w:r w:rsidRPr="008E548C">
                    <w:rPr>
                      <w:sz w:val="18"/>
                      <w:szCs w:val="18"/>
                    </w:rPr>
                    <w:t>Avg 3 years older</w:t>
                  </w:r>
                </w:p>
              </w:tc>
            </w:tr>
            <w:tr w:rsidR="0054196A" w:rsidRPr="008E548C" w14:paraId="755B97AF" w14:textId="77777777" w:rsidTr="009A0559">
              <w:tc>
                <w:tcPr>
                  <w:tcW w:w="4675" w:type="dxa"/>
                </w:tcPr>
                <w:p w14:paraId="156240C6" w14:textId="77777777" w:rsidR="0054196A" w:rsidRPr="008E548C" w:rsidRDefault="0054196A" w:rsidP="0054196A">
                  <w:pPr>
                    <w:rPr>
                      <w:sz w:val="18"/>
                      <w:szCs w:val="18"/>
                    </w:rPr>
                  </w:pPr>
                  <w:r w:rsidRPr="008E548C">
                    <w:rPr>
                      <w:sz w:val="18"/>
                      <w:szCs w:val="18"/>
                    </w:rPr>
                    <w:t>Similar NIHSS severity score</w:t>
                  </w:r>
                </w:p>
              </w:tc>
            </w:tr>
            <w:tr w:rsidR="0054196A" w:rsidRPr="008E548C" w14:paraId="37B7E2DE" w14:textId="77777777" w:rsidTr="009A0559">
              <w:tc>
                <w:tcPr>
                  <w:tcW w:w="4675" w:type="dxa"/>
                </w:tcPr>
                <w:p w14:paraId="55D717C6" w14:textId="77777777" w:rsidR="0054196A" w:rsidRPr="008E548C" w:rsidRDefault="0054196A" w:rsidP="0054196A">
                  <w:pPr>
                    <w:rPr>
                      <w:sz w:val="18"/>
                      <w:szCs w:val="18"/>
                    </w:rPr>
                  </w:pPr>
                  <w:r w:rsidRPr="008E548C">
                    <w:rPr>
                      <w:sz w:val="18"/>
                      <w:szCs w:val="18"/>
                    </w:rPr>
                    <w:t>Similar male : female ratio</w:t>
                  </w:r>
                </w:p>
              </w:tc>
            </w:tr>
            <w:tr w:rsidR="0054196A" w:rsidRPr="008E548C" w14:paraId="71D40D7C" w14:textId="77777777" w:rsidTr="009A0559">
              <w:tc>
                <w:tcPr>
                  <w:tcW w:w="4675" w:type="dxa"/>
                </w:tcPr>
                <w:p w14:paraId="2487339E" w14:textId="77777777" w:rsidR="0054196A" w:rsidRPr="008E548C" w:rsidRDefault="0054196A" w:rsidP="0054196A">
                  <w:pPr>
                    <w:rPr>
                      <w:sz w:val="18"/>
                      <w:szCs w:val="18"/>
                    </w:rPr>
                  </w:pPr>
                  <w:r w:rsidRPr="008E548C">
                    <w:rPr>
                      <w:sz w:val="18"/>
                      <w:szCs w:val="18"/>
                    </w:rPr>
                    <w:t>R-hemisphere lesions more common*</w:t>
                  </w:r>
                </w:p>
              </w:tc>
            </w:tr>
            <w:tr w:rsidR="0054196A" w:rsidRPr="008E548C" w14:paraId="4599A0DD" w14:textId="77777777" w:rsidTr="009A0559">
              <w:tc>
                <w:tcPr>
                  <w:tcW w:w="4675" w:type="dxa"/>
                </w:tcPr>
                <w:p w14:paraId="6F164D1F" w14:textId="77777777" w:rsidR="0054196A" w:rsidRPr="008E548C" w:rsidRDefault="0054196A" w:rsidP="0054196A">
                  <w:pPr>
                    <w:rPr>
                      <w:sz w:val="18"/>
                      <w:szCs w:val="18"/>
                    </w:rPr>
                  </w:pPr>
                  <w:r w:rsidRPr="008E548C">
                    <w:rPr>
                      <w:sz w:val="18"/>
                      <w:szCs w:val="18"/>
                    </w:rPr>
                    <w:t xml:space="preserve">Longer time since stroke onset * </w:t>
                  </w:r>
                </w:p>
              </w:tc>
            </w:tr>
            <w:tr w:rsidR="0054196A" w:rsidRPr="008E548C" w14:paraId="3C08EFAE" w14:textId="77777777" w:rsidTr="009A0559">
              <w:tc>
                <w:tcPr>
                  <w:tcW w:w="4675" w:type="dxa"/>
                </w:tcPr>
                <w:p w14:paraId="31BD08D7" w14:textId="77777777" w:rsidR="0054196A" w:rsidRPr="008E548C" w:rsidRDefault="0054196A" w:rsidP="0054196A">
                  <w:pPr>
                    <w:rPr>
                      <w:sz w:val="18"/>
                      <w:szCs w:val="18"/>
                    </w:rPr>
                  </w:pPr>
                  <w:r w:rsidRPr="008E548C">
                    <w:rPr>
                      <w:sz w:val="18"/>
                      <w:szCs w:val="18"/>
                    </w:rPr>
                    <w:t xml:space="preserve">Worse TUG score – median of 18 seconds (range 13.2-28.0) * </w:t>
                  </w:r>
                </w:p>
              </w:tc>
            </w:tr>
          </w:tbl>
          <w:p w14:paraId="3363117C" w14:textId="77777777" w:rsidR="0054196A" w:rsidRDefault="0054196A" w:rsidP="009D1827">
            <w:pPr>
              <w:rPr>
                <w:sz w:val="18"/>
                <w:szCs w:val="18"/>
              </w:rPr>
            </w:pPr>
          </w:p>
          <w:p w14:paraId="598E0B9E" w14:textId="39608544" w:rsidR="009A0559" w:rsidRDefault="009A0559" w:rsidP="009A0559">
            <w:pPr>
              <w:rPr>
                <w:sz w:val="18"/>
                <w:szCs w:val="18"/>
              </w:rPr>
            </w:pPr>
            <w:r>
              <w:rPr>
                <w:sz w:val="18"/>
                <w:szCs w:val="18"/>
              </w:rPr>
              <w:t>The above table outlines between-group differences in baseline characteristics between fallers and non-fallers.</w:t>
            </w:r>
          </w:p>
          <w:p w14:paraId="0B6BF825" w14:textId="77777777" w:rsidR="0054196A" w:rsidRDefault="0054196A" w:rsidP="006D202F">
            <w:pPr>
              <w:rPr>
                <w:sz w:val="18"/>
                <w:szCs w:val="18"/>
              </w:rPr>
            </w:pPr>
          </w:p>
          <w:tbl>
            <w:tblPr>
              <w:tblStyle w:val="TableGrid"/>
              <w:tblW w:w="0" w:type="auto"/>
              <w:tblLook w:val="04A0" w:firstRow="1" w:lastRow="0" w:firstColumn="1" w:lastColumn="0" w:noHBand="0" w:noVBand="1"/>
            </w:tblPr>
            <w:tblGrid>
              <w:gridCol w:w="2337"/>
              <w:gridCol w:w="2337"/>
              <w:gridCol w:w="2338"/>
              <w:gridCol w:w="2338"/>
            </w:tblGrid>
            <w:tr w:rsidR="0054196A" w:rsidRPr="008E548C" w14:paraId="76EF2C10" w14:textId="77777777" w:rsidTr="009A0559">
              <w:tc>
                <w:tcPr>
                  <w:tcW w:w="2337" w:type="dxa"/>
                </w:tcPr>
                <w:p w14:paraId="036C330F" w14:textId="77777777" w:rsidR="0054196A" w:rsidRPr="008E548C" w:rsidRDefault="0054196A" w:rsidP="0054196A">
                  <w:pPr>
                    <w:rPr>
                      <w:b/>
                      <w:bCs/>
                      <w:sz w:val="18"/>
                      <w:szCs w:val="18"/>
                    </w:rPr>
                  </w:pPr>
                  <w:r w:rsidRPr="008E548C">
                    <w:rPr>
                      <w:b/>
                      <w:bCs/>
                      <w:sz w:val="18"/>
                      <w:szCs w:val="18"/>
                    </w:rPr>
                    <w:t>Fall Predictor</w:t>
                  </w:r>
                </w:p>
              </w:tc>
              <w:tc>
                <w:tcPr>
                  <w:tcW w:w="2337" w:type="dxa"/>
                </w:tcPr>
                <w:p w14:paraId="68EF6AB6" w14:textId="77777777" w:rsidR="0054196A" w:rsidRPr="008E548C" w:rsidRDefault="0054196A" w:rsidP="0054196A">
                  <w:pPr>
                    <w:rPr>
                      <w:b/>
                      <w:bCs/>
                      <w:sz w:val="18"/>
                      <w:szCs w:val="18"/>
                    </w:rPr>
                  </w:pPr>
                  <w:r w:rsidRPr="008E548C">
                    <w:rPr>
                      <w:b/>
                      <w:bCs/>
                      <w:sz w:val="18"/>
                      <w:szCs w:val="18"/>
                    </w:rPr>
                    <w:t>Odds Ratio</w:t>
                  </w:r>
                </w:p>
              </w:tc>
              <w:tc>
                <w:tcPr>
                  <w:tcW w:w="2338" w:type="dxa"/>
                </w:tcPr>
                <w:p w14:paraId="43DDC506" w14:textId="77777777" w:rsidR="0054196A" w:rsidRPr="008E548C" w:rsidRDefault="0054196A" w:rsidP="0054196A">
                  <w:pPr>
                    <w:rPr>
                      <w:b/>
                      <w:bCs/>
                      <w:sz w:val="18"/>
                      <w:szCs w:val="18"/>
                    </w:rPr>
                  </w:pPr>
                  <w:r w:rsidRPr="008E548C">
                    <w:rPr>
                      <w:b/>
                      <w:bCs/>
                      <w:sz w:val="18"/>
                      <w:szCs w:val="18"/>
                    </w:rPr>
                    <w:t>95% Confidence Interval</w:t>
                  </w:r>
                </w:p>
              </w:tc>
              <w:tc>
                <w:tcPr>
                  <w:tcW w:w="2338" w:type="dxa"/>
                </w:tcPr>
                <w:p w14:paraId="2DDC4927" w14:textId="77777777" w:rsidR="0054196A" w:rsidRPr="008E548C" w:rsidRDefault="0054196A" w:rsidP="0054196A">
                  <w:pPr>
                    <w:rPr>
                      <w:b/>
                      <w:bCs/>
                      <w:sz w:val="18"/>
                      <w:szCs w:val="18"/>
                    </w:rPr>
                  </w:pPr>
                  <w:r w:rsidRPr="008E548C">
                    <w:rPr>
                      <w:b/>
                      <w:bCs/>
                      <w:sz w:val="18"/>
                      <w:szCs w:val="18"/>
                    </w:rPr>
                    <w:t>P value</w:t>
                  </w:r>
                </w:p>
              </w:tc>
            </w:tr>
            <w:tr w:rsidR="0054196A" w:rsidRPr="008E548C" w14:paraId="40413184" w14:textId="77777777" w:rsidTr="009A0559">
              <w:tc>
                <w:tcPr>
                  <w:tcW w:w="2337" w:type="dxa"/>
                </w:tcPr>
                <w:p w14:paraId="507A6C48" w14:textId="77777777" w:rsidR="0054196A" w:rsidRPr="008E548C" w:rsidRDefault="0054196A" w:rsidP="0054196A">
                  <w:pPr>
                    <w:rPr>
                      <w:b/>
                      <w:bCs/>
                      <w:sz w:val="18"/>
                      <w:szCs w:val="18"/>
                    </w:rPr>
                  </w:pPr>
                  <w:r w:rsidRPr="008E548C">
                    <w:rPr>
                      <w:b/>
                      <w:bCs/>
                      <w:sz w:val="18"/>
                      <w:szCs w:val="18"/>
                    </w:rPr>
                    <w:t>Time (mo.) since stroke onset</w:t>
                  </w:r>
                </w:p>
              </w:tc>
              <w:tc>
                <w:tcPr>
                  <w:tcW w:w="2337" w:type="dxa"/>
                </w:tcPr>
                <w:p w14:paraId="0398D369" w14:textId="77777777" w:rsidR="0054196A" w:rsidRPr="008E548C" w:rsidRDefault="0054196A" w:rsidP="0054196A">
                  <w:pPr>
                    <w:rPr>
                      <w:sz w:val="18"/>
                      <w:szCs w:val="18"/>
                    </w:rPr>
                  </w:pPr>
                  <w:r w:rsidRPr="008E548C">
                    <w:rPr>
                      <w:sz w:val="18"/>
                      <w:szCs w:val="18"/>
                    </w:rPr>
                    <w:t>1.012</w:t>
                  </w:r>
                </w:p>
              </w:tc>
              <w:tc>
                <w:tcPr>
                  <w:tcW w:w="2338" w:type="dxa"/>
                </w:tcPr>
                <w:p w14:paraId="18F3210A" w14:textId="77777777" w:rsidR="0054196A" w:rsidRPr="008E548C" w:rsidRDefault="0054196A" w:rsidP="0054196A">
                  <w:pPr>
                    <w:rPr>
                      <w:sz w:val="18"/>
                      <w:szCs w:val="18"/>
                    </w:rPr>
                  </w:pPr>
                  <w:r w:rsidRPr="008E548C">
                    <w:rPr>
                      <w:sz w:val="18"/>
                      <w:szCs w:val="18"/>
                    </w:rPr>
                    <w:t>1.002-1.020</w:t>
                  </w:r>
                </w:p>
              </w:tc>
              <w:tc>
                <w:tcPr>
                  <w:tcW w:w="2338" w:type="dxa"/>
                </w:tcPr>
                <w:p w14:paraId="42473175" w14:textId="77777777" w:rsidR="0054196A" w:rsidRPr="008E548C" w:rsidRDefault="0054196A" w:rsidP="0054196A">
                  <w:pPr>
                    <w:rPr>
                      <w:sz w:val="18"/>
                      <w:szCs w:val="18"/>
                    </w:rPr>
                  </w:pPr>
                  <w:r w:rsidRPr="008E548C">
                    <w:rPr>
                      <w:sz w:val="18"/>
                      <w:szCs w:val="18"/>
                    </w:rPr>
                    <w:t>0.015</w:t>
                  </w:r>
                </w:p>
              </w:tc>
            </w:tr>
            <w:tr w:rsidR="0054196A" w:rsidRPr="008E548C" w14:paraId="71E1DDA1" w14:textId="77777777" w:rsidTr="009A0559">
              <w:tc>
                <w:tcPr>
                  <w:tcW w:w="2337" w:type="dxa"/>
                </w:tcPr>
                <w:p w14:paraId="201570E4" w14:textId="77777777" w:rsidR="0054196A" w:rsidRPr="008E548C" w:rsidRDefault="0054196A" w:rsidP="0054196A">
                  <w:pPr>
                    <w:rPr>
                      <w:b/>
                      <w:bCs/>
                      <w:sz w:val="18"/>
                      <w:szCs w:val="18"/>
                    </w:rPr>
                  </w:pPr>
                  <w:r w:rsidRPr="008E548C">
                    <w:rPr>
                      <w:b/>
                      <w:bCs/>
                      <w:sz w:val="18"/>
                      <w:szCs w:val="18"/>
                    </w:rPr>
                    <w:t>R-hemisphere location</w:t>
                  </w:r>
                </w:p>
              </w:tc>
              <w:tc>
                <w:tcPr>
                  <w:tcW w:w="2337" w:type="dxa"/>
                </w:tcPr>
                <w:p w14:paraId="7198AFCB" w14:textId="77777777" w:rsidR="0054196A" w:rsidRPr="008E548C" w:rsidRDefault="0054196A" w:rsidP="0054196A">
                  <w:pPr>
                    <w:rPr>
                      <w:sz w:val="18"/>
                      <w:szCs w:val="18"/>
                    </w:rPr>
                  </w:pPr>
                  <w:r w:rsidRPr="008E548C">
                    <w:rPr>
                      <w:sz w:val="18"/>
                      <w:szCs w:val="18"/>
                    </w:rPr>
                    <w:t>2.621</w:t>
                  </w:r>
                </w:p>
              </w:tc>
              <w:tc>
                <w:tcPr>
                  <w:tcW w:w="2338" w:type="dxa"/>
                </w:tcPr>
                <w:p w14:paraId="099CFE34" w14:textId="77777777" w:rsidR="0054196A" w:rsidRPr="008E548C" w:rsidRDefault="0054196A" w:rsidP="0054196A">
                  <w:pPr>
                    <w:rPr>
                      <w:sz w:val="18"/>
                      <w:szCs w:val="18"/>
                    </w:rPr>
                  </w:pPr>
                  <w:r w:rsidRPr="008E548C">
                    <w:rPr>
                      <w:sz w:val="18"/>
                      <w:szCs w:val="18"/>
                    </w:rPr>
                    <w:t>1.196-5.740</w:t>
                  </w:r>
                </w:p>
              </w:tc>
              <w:tc>
                <w:tcPr>
                  <w:tcW w:w="2338" w:type="dxa"/>
                </w:tcPr>
                <w:p w14:paraId="66D0C351" w14:textId="77777777" w:rsidR="0054196A" w:rsidRPr="008E548C" w:rsidRDefault="0054196A" w:rsidP="0054196A">
                  <w:pPr>
                    <w:rPr>
                      <w:sz w:val="18"/>
                      <w:szCs w:val="18"/>
                    </w:rPr>
                  </w:pPr>
                  <w:r w:rsidRPr="008E548C">
                    <w:rPr>
                      <w:sz w:val="18"/>
                      <w:szCs w:val="18"/>
                    </w:rPr>
                    <w:t>0.016</w:t>
                  </w:r>
                </w:p>
              </w:tc>
            </w:tr>
            <w:tr w:rsidR="0054196A" w:rsidRPr="008E548C" w14:paraId="0C7B71A6" w14:textId="77777777" w:rsidTr="009A0559">
              <w:tc>
                <w:tcPr>
                  <w:tcW w:w="2337" w:type="dxa"/>
                </w:tcPr>
                <w:p w14:paraId="01005637" w14:textId="77777777" w:rsidR="0054196A" w:rsidRPr="008E548C" w:rsidRDefault="0054196A" w:rsidP="0054196A">
                  <w:pPr>
                    <w:rPr>
                      <w:b/>
                      <w:bCs/>
                      <w:sz w:val="18"/>
                      <w:szCs w:val="18"/>
                    </w:rPr>
                  </w:pPr>
                  <w:r w:rsidRPr="008E548C">
                    <w:rPr>
                      <w:b/>
                      <w:bCs/>
                      <w:sz w:val="18"/>
                      <w:szCs w:val="18"/>
                    </w:rPr>
                    <w:t>TUG time</w:t>
                  </w:r>
                </w:p>
              </w:tc>
              <w:tc>
                <w:tcPr>
                  <w:tcW w:w="2337" w:type="dxa"/>
                </w:tcPr>
                <w:p w14:paraId="04F81EAD" w14:textId="77777777" w:rsidR="0054196A" w:rsidRPr="008E548C" w:rsidRDefault="0054196A" w:rsidP="0054196A">
                  <w:pPr>
                    <w:rPr>
                      <w:sz w:val="18"/>
                      <w:szCs w:val="18"/>
                    </w:rPr>
                  </w:pPr>
                  <w:r w:rsidRPr="008E548C">
                    <w:rPr>
                      <w:sz w:val="18"/>
                      <w:szCs w:val="18"/>
                    </w:rPr>
                    <w:t>1.035</w:t>
                  </w:r>
                </w:p>
              </w:tc>
              <w:tc>
                <w:tcPr>
                  <w:tcW w:w="2338" w:type="dxa"/>
                </w:tcPr>
                <w:p w14:paraId="3DBD8A25" w14:textId="77777777" w:rsidR="0054196A" w:rsidRPr="008E548C" w:rsidRDefault="0054196A" w:rsidP="0054196A">
                  <w:pPr>
                    <w:rPr>
                      <w:sz w:val="18"/>
                      <w:szCs w:val="18"/>
                    </w:rPr>
                  </w:pPr>
                  <w:r w:rsidRPr="008E548C">
                    <w:rPr>
                      <w:sz w:val="18"/>
                      <w:szCs w:val="18"/>
                    </w:rPr>
                    <w:t>1.003-1.069</w:t>
                  </w:r>
                </w:p>
              </w:tc>
              <w:tc>
                <w:tcPr>
                  <w:tcW w:w="2338" w:type="dxa"/>
                </w:tcPr>
                <w:p w14:paraId="2B6994BA" w14:textId="77777777" w:rsidR="0054196A" w:rsidRPr="008E548C" w:rsidRDefault="0054196A" w:rsidP="0054196A">
                  <w:pPr>
                    <w:rPr>
                      <w:sz w:val="18"/>
                      <w:szCs w:val="18"/>
                    </w:rPr>
                  </w:pPr>
                  <w:r w:rsidRPr="008E548C">
                    <w:rPr>
                      <w:sz w:val="18"/>
                      <w:szCs w:val="18"/>
                    </w:rPr>
                    <w:t>0.034</w:t>
                  </w:r>
                </w:p>
              </w:tc>
            </w:tr>
          </w:tbl>
          <w:p w14:paraId="7C571E02" w14:textId="1CC4A268" w:rsidR="006D202F" w:rsidRPr="0054196A" w:rsidRDefault="0054196A" w:rsidP="0054196A">
            <w:pPr>
              <w:rPr>
                <w:sz w:val="18"/>
                <w:szCs w:val="18"/>
              </w:rPr>
            </w:pPr>
            <w:r>
              <w:rPr>
                <w:sz w:val="18"/>
                <w:szCs w:val="18"/>
              </w:rPr>
              <w:t>*</w:t>
            </w:r>
            <w:r w:rsidR="006D202F" w:rsidRPr="0054196A">
              <w:rPr>
                <w:sz w:val="18"/>
                <w:szCs w:val="18"/>
              </w:rPr>
              <w:t xml:space="preserve">Indicates statistically significant </w:t>
            </w:r>
          </w:p>
          <w:p w14:paraId="6345C555" w14:textId="3C22F4E8" w:rsidR="008E548C" w:rsidRDefault="006D202F" w:rsidP="009D1827">
            <w:pPr>
              <w:rPr>
                <w:sz w:val="18"/>
                <w:szCs w:val="18"/>
              </w:rPr>
            </w:pPr>
            <w:r w:rsidRPr="008E548C">
              <w:rPr>
                <w:sz w:val="18"/>
                <w:szCs w:val="18"/>
              </w:rPr>
              <w:t>Note: no statistical difference between fallers and non-fallers in terms of assistive devices or vasodilator use</w:t>
            </w:r>
          </w:p>
          <w:p w14:paraId="241A4798" w14:textId="77777777" w:rsidR="0054196A" w:rsidRDefault="0054196A" w:rsidP="009D1827">
            <w:pPr>
              <w:rPr>
                <w:sz w:val="18"/>
                <w:szCs w:val="18"/>
              </w:rPr>
            </w:pPr>
          </w:p>
          <w:p w14:paraId="24708916" w14:textId="6B91A1B1" w:rsidR="0054196A" w:rsidRDefault="005E2447" w:rsidP="009D1827">
            <w:pPr>
              <w:rPr>
                <w:sz w:val="18"/>
                <w:szCs w:val="18"/>
              </w:rPr>
            </w:pPr>
            <w:r w:rsidRPr="008E548C">
              <w:rPr>
                <w:sz w:val="18"/>
                <w:szCs w:val="18"/>
              </w:rPr>
              <w:t>Th</w:t>
            </w:r>
            <w:r w:rsidR="00116FDE" w:rsidRPr="008E548C">
              <w:rPr>
                <w:sz w:val="18"/>
                <w:szCs w:val="18"/>
              </w:rPr>
              <w:t>e above</w:t>
            </w:r>
            <w:r w:rsidRPr="008E548C">
              <w:rPr>
                <w:sz w:val="18"/>
                <w:szCs w:val="18"/>
              </w:rPr>
              <w:t xml:space="preserve"> table suggests </w:t>
            </w:r>
            <w:r w:rsidR="00785551">
              <w:rPr>
                <w:sz w:val="18"/>
                <w:szCs w:val="18"/>
              </w:rPr>
              <w:t>these</w:t>
            </w:r>
            <w:r w:rsidRPr="008E548C">
              <w:rPr>
                <w:sz w:val="18"/>
                <w:szCs w:val="18"/>
              </w:rPr>
              <w:t xml:space="preserve"> three variables (time since stroke onset, R-hemisphere location, and TUG time) are significant predictors of falls in this patient population</w:t>
            </w:r>
            <w:r w:rsidR="00CF1999" w:rsidRPr="008E548C">
              <w:rPr>
                <w:sz w:val="18"/>
                <w:szCs w:val="18"/>
              </w:rPr>
              <w:t xml:space="preserve">. </w:t>
            </w:r>
          </w:p>
          <w:p w14:paraId="524E86D1" w14:textId="77777777" w:rsidR="0054196A" w:rsidRDefault="0054196A" w:rsidP="009D1827">
            <w:pPr>
              <w:rPr>
                <w:sz w:val="18"/>
                <w:szCs w:val="18"/>
              </w:rPr>
            </w:pPr>
          </w:p>
          <w:p w14:paraId="66868377" w14:textId="403AA248" w:rsidR="00294FA0" w:rsidRPr="009D1827" w:rsidRDefault="009D1827" w:rsidP="009D1827">
            <w:pPr>
              <w:rPr>
                <w:sz w:val="18"/>
                <w:szCs w:val="18"/>
              </w:rPr>
            </w:pPr>
            <w:r w:rsidRPr="009D1827">
              <w:rPr>
                <w:sz w:val="18"/>
                <w:szCs w:val="18"/>
              </w:rPr>
              <w:t>When looking at the ROC curve depicting the association between the TUG and falls in the study’s participants (Figure 1</w:t>
            </w:r>
            <w:r w:rsidR="00426A2E">
              <w:rPr>
                <w:sz w:val="18"/>
                <w:szCs w:val="18"/>
              </w:rPr>
              <w:t xml:space="preserve"> in study</w:t>
            </w:r>
            <w:r w:rsidRPr="009D1827">
              <w:rPr>
                <w:sz w:val="18"/>
                <w:szCs w:val="18"/>
              </w:rPr>
              <w:t xml:space="preserve">), sensitivity is 36% (low), and specificity is 90% (high). While a low sensitivity is not desirable, the test’s high specificity gives researchers the confidence that an individual who tests positive on the TUG (i.e. regarding the 25-second cut-off point) can be confidently “ruled in” as having the condition (i.e. fall risk). </w:t>
            </w:r>
            <w:r w:rsidR="008F0B97">
              <w:rPr>
                <w:sz w:val="18"/>
                <w:szCs w:val="18"/>
              </w:rPr>
              <w:t xml:space="preserve">Thus, the optimum cut-off point on the TUG was found to be 25 seconds (with 36% sensitivity – 95% CI = 23%-50% and 90% specificity – 85% CI = 85%-96%). </w:t>
            </w:r>
            <w:r w:rsidR="0069054F">
              <w:rPr>
                <w:sz w:val="18"/>
                <w:szCs w:val="18"/>
              </w:rPr>
              <w:t>The area under the ROC curve in this case is 66%</w:t>
            </w:r>
            <w:r w:rsidR="00FA40D6">
              <w:rPr>
                <w:sz w:val="18"/>
                <w:szCs w:val="18"/>
              </w:rPr>
              <w:t xml:space="preserve"> (95% CI = 57%-75%), which </w:t>
            </w:r>
            <w:r w:rsidR="00CA7E9A">
              <w:rPr>
                <w:sz w:val="18"/>
                <w:szCs w:val="18"/>
              </w:rPr>
              <w:t xml:space="preserve">means there is a 66% change that the TUG will be able to distinguish between </w:t>
            </w:r>
            <w:r w:rsidR="00F54AD5">
              <w:rPr>
                <w:sz w:val="18"/>
                <w:szCs w:val="18"/>
              </w:rPr>
              <w:t xml:space="preserve">fallers and non-fallers in this population. </w:t>
            </w:r>
          </w:p>
          <w:p w14:paraId="16183ECF" w14:textId="61A9C929" w:rsidR="00B400DD" w:rsidRDefault="00294FA0" w:rsidP="009D1827">
            <w:pPr>
              <w:spacing w:before="120" w:after="120"/>
              <w:rPr>
                <w:sz w:val="18"/>
                <w:szCs w:val="18"/>
              </w:rPr>
            </w:pPr>
            <w:r>
              <w:rPr>
                <w:sz w:val="18"/>
                <w:szCs w:val="18"/>
              </w:rPr>
              <w:t xml:space="preserve">When looking at the ROC curve depicting the association between the TUG and </w:t>
            </w:r>
            <w:r w:rsidR="00E240D3">
              <w:rPr>
                <w:sz w:val="18"/>
                <w:szCs w:val="18"/>
              </w:rPr>
              <w:t xml:space="preserve">the affected cerebral hemisphere </w:t>
            </w:r>
            <w:r w:rsidR="0097595E">
              <w:rPr>
                <w:sz w:val="18"/>
                <w:szCs w:val="18"/>
              </w:rPr>
              <w:t>(Figure 2</w:t>
            </w:r>
            <w:r w:rsidR="00426A2E">
              <w:rPr>
                <w:sz w:val="18"/>
                <w:szCs w:val="18"/>
              </w:rPr>
              <w:t xml:space="preserve"> in study</w:t>
            </w:r>
            <w:r w:rsidR="0097595E">
              <w:rPr>
                <w:sz w:val="18"/>
                <w:szCs w:val="18"/>
              </w:rPr>
              <w:t xml:space="preserve">), </w:t>
            </w:r>
            <w:r w:rsidR="005C0F36">
              <w:rPr>
                <w:sz w:val="18"/>
                <w:szCs w:val="18"/>
              </w:rPr>
              <w:t xml:space="preserve">for the R hemisphere, </w:t>
            </w:r>
            <w:r w:rsidR="00FF7566">
              <w:rPr>
                <w:sz w:val="18"/>
                <w:szCs w:val="18"/>
              </w:rPr>
              <w:t xml:space="preserve">sensitivity is </w:t>
            </w:r>
            <w:r w:rsidR="0024586E">
              <w:rPr>
                <w:sz w:val="18"/>
                <w:szCs w:val="18"/>
              </w:rPr>
              <w:t xml:space="preserve">high at </w:t>
            </w:r>
            <w:r w:rsidR="00FF7566">
              <w:rPr>
                <w:sz w:val="18"/>
                <w:szCs w:val="18"/>
              </w:rPr>
              <w:t>89% (</w:t>
            </w:r>
            <w:r w:rsidR="0024586E">
              <w:rPr>
                <w:sz w:val="18"/>
                <w:szCs w:val="18"/>
              </w:rPr>
              <w:t>95% CI = 74%-97%</w:t>
            </w:r>
            <w:r w:rsidR="00FF7566">
              <w:rPr>
                <w:sz w:val="18"/>
                <w:szCs w:val="18"/>
              </w:rPr>
              <w:t xml:space="preserve">), and </w:t>
            </w:r>
            <w:r w:rsidR="0024586E">
              <w:rPr>
                <w:sz w:val="18"/>
                <w:szCs w:val="18"/>
              </w:rPr>
              <w:t xml:space="preserve">low-moderate </w:t>
            </w:r>
            <w:r w:rsidR="00FF7566">
              <w:rPr>
                <w:sz w:val="18"/>
                <w:szCs w:val="18"/>
              </w:rPr>
              <w:t>specificity is 46% (</w:t>
            </w:r>
            <w:r w:rsidR="0024586E">
              <w:rPr>
                <w:sz w:val="18"/>
                <w:szCs w:val="18"/>
              </w:rPr>
              <w:t>95% CI = 29%-63%</w:t>
            </w:r>
            <w:r w:rsidR="00FF7566">
              <w:rPr>
                <w:sz w:val="18"/>
                <w:szCs w:val="18"/>
              </w:rPr>
              <w:t xml:space="preserve">). This high sensitivity value </w:t>
            </w:r>
            <w:r w:rsidR="005C0F36">
              <w:rPr>
                <w:sz w:val="18"/>
                <w:szCs w:val="18"/>
              </w:rPr>
              <w:t>gives researchers the confidence that an individual who tests negative on the TUG (i.e. regarding the 13-second cut-off point)</w:t>
            </w:r>
            <w:r w:rsidR="00D2763D">
              <w:rPr>
                <w:sz w:val="18"/>
                <w:szCs w:val="18"/>
              </w:rPr>
              <w:t xml:space="preserve"> can be confidently “ruled out” as having the condition (i.e.</w:t>
            </w:r>
            <w:r w:rsidR="00D30CEC">
              <w:rPr>
                <w:sz w:val="18"/>
                <w:szCs w:val="18"/>
              </w:rPr>
              <w:t xml:space="preserve"> affected R hemisphere</w:t>
            </w:r>
            <w:r w:rsidR="00D2763D">
              <w:rPr>
                <w:sz w:val="18"/>
                <w:szCs w:val="18"/>
              </w:rPr>
              <w:t xml:space="preserve">). </w:t>
            </w:r>
            <w:r w:rsidR="003B17CE">
              <w:rPr>
                <w:sz w:val="18"/>
                <w:szCs w:val="18"/>
              </w:rPr>
              <w:t xml:space="preserve">The area under the ROC curve in this case is </w:t>
            </w:r>
            <w:r w:rsidR="003B049D">
              <w:rPr>
                <w:sz w:val="18"/>
                <w:szCs w:val="18"/>
              </w:rPr>
              <w:t xml:space="preserve">69% (95% CI = 56%-81%), which is </w:t>
            </w:r>
            <w:r w:rsidR="001F601D">
              <w:rPr>
                <w:sz w:val="18"/>
                <w:szCs w:val="18"/>
              </w:rPr>
              <w:t xml:space="preserve">considered poor. </w:t>
            </w:r>
          </w:p>
          <w:p w14:paraId="34C6CE81" w14:textId="746701F6" w:rsidR="00C34C48" w:rsidRDefault="00D83B9C" w:rsidP="009D1827">
            <w:pPr>
              <w:spacing w:before="120" w:after="120"/>
              <w:rPr>
                <w:sz w:val="18"/>
                <w:szCs w:val="18"/>
              </w:rPr>
            </w:pPr>
            <w:r>
              <w:rPr>
                <w:sz w:val="18"/>
                <w:szCs w:val="18"/>
              </w:rPr>
              <w:t>The opposite is true when looking at the ROC curve depicting the association between the TUG and the L affected hemisphere</w:t>
            </w:r>
            <w:r w:rsidR="0097595E">
              <w:rPr>
                <w:sz w:val="18"/>
                <w:szCs w:val="18"/>
              </w:rPr>
              <w:t xml:space="preserve"> (Figure 2</w:t>
            </w:r>
            <w:r w:rsidR="00426A2E">
              <w:rPr>
                <w:sz w:val="18"/>
                <w:szCs w:val="18"/>
              </w:rPr>
              <w:t xml:space="preserve"> in study</w:t>
            </w:r>
            <w:r w:rsidR="0097595E">
              <w:rPr>
                <w:sz w:val="18"/>
                <w:szCs w:val="18"/>
              </w:rPr>
              <w:t>)</w:t>
            </w:r>
            <w:r>
              <w:rPr>
                <w:sz w:val="18"/>
                <w:szCs w:val="18"/>
              </w:rPr>
              <w:t xml:space="preserve">. In this case, sensitivity is </w:t>
            </w:r>
            <w:r w:rsidR="00253FE5">
              <w:rPr>
                <w:sz w:val="18"/>
                <w:szCs w:val="18"/>
              </w:rPr>
              <w:t xml:space="preserve">low at </w:t>
            </w:r>
            <w:r>
              <w:rPr>
                <w:sz w:val="18"/>
                <w:szCs w:val="18"/>
              </w:rPr>
              <w:t>29% (</w:t>
            </w:r>
            <w:r w:rsidR="00253FE5">
              <w:rPr>
                <w:sz w:val="18"/>
                <w:szCs w:val="18"/>
              </w:rPr>
              <w:t>95% CI = 10%-56%</w:t>
            </w:r>
            <w:r>
              <w:rPr>
                <w:sz w:val="18"/>
                <w:szCs w:val="18"/>
              </w:rPr>
              <w:t xml:space="preserve"> and </w:t>
            </w:r>
            <w:r w:rsidR="00193AEB">
              <w:rPr>
                <w:sz w:val="18"/>
                <w:szCs w:val="18"/>
              </w:rPr>
              <w:t xml:space="preserve">specificity is </w:t>
            </w:r>
            <w:r w:rsidR="00253FE5">
              <w:rPr>
                <w:sz w:val="18"/>
                <w:szCs w:val="18"/>
              </w:rPr>
              <w:t xml:space="preserve">high at </w:t>
            </w:r>
            <w:r w:rsidR="00193AEB">
              <w:rPr>
                <w:sz w:val="18"/>
                <w:szCs w:val="18"/>
              </w:rPr>
              <w:t>94% (</w:t>
            </w:r>
            <w:r w:rsidR="00253FE5">
              <w:rPr>
                <w:sz w:val="18"/>
                <w:szCs w:val="18"/>
              </w:rPr>
              <w:t>95% CI = 82%-99%</w:t>
            </w:r>
            <w:r w:rsidR="00193AEB">
              <w:rPr>
                <w:sz w:val="18"/>
                <w:szCs w:val="18"/>
              </w:rPr>
              <w:t xml:space="preserve">), which allows the researchers to confidently “rule in” individuals who test positive on the TUG (regarding the 28-second cut-off point) as having the condition (i.e. </w:t>
            </w:r>
            <w:r w:rsidR="00D30CEC">
              <w:rPr>
                <w:sz w:val="18"/>
                <w:szCs w:val="18"/>
              </w:rPr>
              <w:t>affected L hemisphere</w:t>
            </w:r>
            <w:r w:rsidR="00193AEB">
              <w:rPr>
                <w:sz w:val="18"/>
                <w:szCs w:val="18"/>
              </w:rPr>
              <w:t xml:space="preserve">). </w:t>
            </w:r>
            <w:r w:rsidR="00047D2B">
              <w:rPr>
                <w:sz w:val="18"/>
                <w:szCs w:val="18"/>
              </w:rPr>
              <w:t xml:space="preserve">The area under the ROC curve in this case is </w:t>
            </w:r>
            <w:r w:rsidR="0098600F">
              <w:rPr>
                <w:sz w:val="18"/>
                <w:szCs w:val="18"/>
              </w:rPr>
              <w:t xml:space="preserve">57% </w:t>
            </w:r>
            <w:r w:rsidR="0098600F" w:rsidRPr="0098600F">
              <w:rPr>
                <w:sz w:val="18"/>
                <w:szCs w:val="18"/>
              </w:rPr>
              <w:t xml:space="preserve">(95% </w:t>
            </w:r>
            <w:r w:rsidR="0098600F">
              <w:rPr>
                <w:sz w:val="18"/>
                <w:szCs w:val="18"/>
              </w:rPr>
              <w:t xml:space="preserve">CI </w:t>
            </w:r>
            <w:r w:rsidR="0098600F" w:rsidRPr="0098600F">
              <w:rPr>
                <w:sz w:val="18"/>
                <w:szCs w:val="18"/>
              </w:rPr>
              <w:t>= 37%-75%)</w:t>
            </w:r>
            <w:r w:rsidR="00DD4803">
              <w:rPr>
                <w:sz w:val="18"/>
                <w:szCs w:val="18"/>
              </w:rPr>
              <w:t xml:space="preserve">, which is fairly low and insignificant. </w:t>
            </w:r>
          </w:p>
          <w:p w14:paraId="11B4E464" w14:textId="70261C77" w:rsidR="0000738B" w:rsidRPr="002F16E1" w:rsidRDefault="00C34C48" w:rsidP="007B2D91">
            <w:pPr>
              <w:spacing w:before="120" w:after="120"/>
              <w:rPr>
                <w:sz w:val="18"/>
                <w:szCs w:val="18"/>
              </w:rPr>
            </w:pPr>
            <w:r>
              <w:rPr>
                <w:sz w:val="18"/>
                <w:szCs w:val="18"/>
              </w:rPr>
              <w:t>Notice how the TUG c</w:t>
            </w:r>
            <w:r w:rsidR="000A379C">
              <w:rPr>
                <w:sz w:val="18"/>
                <w:szCs w:val="18"/>
              </w:rPr>
              <w:t>ut</w:t>
            </w:r>
            <w:r>
              <w:rPr>
                <w:sz w:val="18"/>
                <w:szCs w:val="18"/>
              </w:rPr>
              <w:t>-off point in patients with R-hemisphere lesions (</w:t>
            </w:r>
            <w:r w:rsidR="00057942">
              <w:rPr>
                <w:sz w:val="18"/>
                <w:szCs w:val="18"/>
              </w:rPr>
              <w:t xml:space="preserve">13 seconds) was </w:t>
            </w:r>
            <w:r w:rsidR="00BC32EE">
              <w:rPr>
                <w:sz w:val="18"/>
                <w:szCs w:val="18"/>
              </w:rPr>
              <w:t>lower</w:t>
            </w:r>
            <w:r w:rsidR="00057942">
              <w:rPr>
                <w:sz w:val="18"/>
                <w:szCs w:val="18"/>
              </w:rPr>
              <w:t xml:space="preserve"> than in patients with L-hemisphere lesions (28 seconds)</w:t>
            </w:r>
            <w:r w:rsidR="00BC32EE">
              <w:rPr>
                <w:sz w:val="18"/>
                <w:szCs w:val="18"/>
              </w:rPr>
              <w:t xml:space="preserve">. </w:t>
            </w:r>
            <w:r w:rsidR="00BA5A85">
              <w:rPr>
                <w:sz w:val="18"/>
                <w:szCs w:val="18"/>
              </w:rPr>
              <w:t>Thus, time required to complete the TUG was significantly different in fallers vs. non-fallers</w:t>
            </w:r>
            <w:r w:rsidR="008C61F3">
              <w:rPr>
                <w:sz w:val="18"/>
                <w:szCs w:val="18"/>
              </w:rPr>
              <w:t xml:space="preserve">, suggesting that the TUG can differentiate fallers from non-fallers after stroke. </w:t>
            </w:r>
            <w:r w:rsidR="00190F47">
              <w:rPr>
                <w:sz w:val="18"/>
                <w:szCs w:val="18"/>
              </w:rPr>
              <w:t xml:space="preserve">Results indicate </w:t>
            </w:r>
            <w:r w:rsidR="000742C5">
              <w:rPr>
                <w:sz w:val="18"/>
                <w:szCs w:val="18"/>
              </w:rPr>
              <w:t>little to no</w:t>
            </w:r>
            <w:r w:rsidR="00190F47">
              <w:rPr>
                <w:sz w:val="18"/>
                <w:szCs w:val="18"/>
              </w:rPr>
              <w:t xml:space="preserve"> correlation between TUG time and time since stroke onset, as demonstrated by Pearson’s r value of 0.020. </w:t>
            </w:r>
          </w:p>
        </w:tc>
      </w:tr>
      <w:tr w:rsidR="0000738B" w:rsidRPr="002F16E1" w14:paraId="592B6E7E" w14:textId="77777777" w:rsidTr="00C34C48">
        <w:tc>
          <w:tcPr>
            <w:tcW w:w="10421" w:type="dxa"/>
            <w:shd w:val="clear" w:color="auto" w:fill="E6E6E6"/>
          </w:tcPr>
          <w:p w14:paraId="2318BEC6" w14:textId="77777777" w:rsidR="0000738B" w:rsidRPr="002F16E1" w:rsidRDefault="0000738B" w:rsidP="00C34C48">
            <w:pPr>
              <w:spacing w:before="120" w:after="120"/>
              <w:rPr>
                <w:b/>
                <w:sz w:val="18"/>
                <w:szCs w:val="18"/>
              </w:rPr>
            </w:pPr>
            <w:r w:rsidRPr="002F16E1">
              <w:rPr>
                <w:b/>
                <w:sz w:val="18"/>
                <w:szCs w:val="18"/>
              </w:rPr>
              <w:lastRenderedPageBreak/>
              <w:t>Original Authors’ Conclusions</w:t>
            </w:r>
          </w:p>
          <w:p w14:paraId="075B6B2E" w14:textId="77777777" w:rsidR="0000738B" w:rsidRPr="002F16E1" w:rsidRDefault="0000738B" w:rsidP="00C34C48">
            <w:pPr>
              <w:spacing w:before="120" w:after="120"/>
              <w:rPr>
                <w:sz w:val="18"/>
                <w:szCs w:val="18"/>
              </w:rPr>
            </w:pPr>
            <w:r w:rsidRPr="002F16E1">
              <w:rPr>
                <w:sz w:val="18"/>
                <w:szCs w:val="18"/>
              </w:rPr>
              <w:t>[Paraphrase as required.  If providing a direct quote, add page number]</w:t>
            </w:r>
          </w:p>
        </w:tc>
      </w:tr>
      <w:tr w:rsidR="0000738B" w:rsidRPr="002F16E1" w14:paraId="1BBDEA39" w14:textId="77777777" w:rsidTr="00C34C48">
        <w:tc>
          <w:tcPr>
            <w:tcW w:w="10421" w:type="dxa"/>
            <w:tcBorders>
              <w:bottom w:val="single" w:sz="4" w:space="0" w:color="auto"/>
            </w:tcBorders>
            <w:shd w:val="clear" w:color="auto" w:fill="auto"/>
          </w:tcPr>
          <w:p w14:paraId="28B0A530" w14:textId="20F8B5F8" w:rsidR="00437310" w:rsidRPr="002F16E1" w:rsidRDefault="00784E8D" w:rsidP="005173D1">
            <w:pPr>
              <w:spacing w:before="120" w:after="120"/>
              <w:rPr>
                <w:sz w:val="18"/>
                <w:szCs w:val="18"/>
              </w:rPr>
            </w:pPr>
            <w:r>
              <w:rPr>
                <w:sz w:val="18"/>
                <w:szCs w:val="18"/>
              </w:rPr>
              <w:t xml:space="preserve">Evidence from this study indicates that significant predictors of falls in patients with stroke include </w:t>
            </w:r>
            <w:r w:rsidR="00382E88">
              <w:rPr>
                <w:sz w:val="18"/>
                <w:szCs w:val="18"/>
              </w:rPr>
              <w:t xml:space="preserve">poor TUG performance, longer time since stroke occurrence, and right-hemisphere stroke location. </w:t>
            </w:r>
            <w:r w:rsidR="00816EB2">
              <w:rPr>
                <w:sz w:val="18"/>
                <w:szCs w:val="18"/>
              </w:rPr>
              <w:t xml:space="preserve">While age and stroke severity are often associated with increased fall risk, neither </w:t>
            </w:r>
            <w:r w:rsidR="00764607">
              <w:rPr>
                <w:sz w:val="18"/>
                <w:szCs w:val="18"/>
              </w:rPr>
              <w:t>was a</w:t>
            </w:r>
            <w:r w:rsidR="00816EB2">
              <w:rPr>
                <w:sz w:val="18"/>
                <w:szCs w:val="18"/>
              </w:rPr>
              <w:t xml:space="preserve"> significant predictor of falls in this sample of stroke survivors</w:t>
            </w:r>
            <w:r>
              <w:rPr>
                <w:sz w:val="18"/>
                <w:szCs w:val="18"/>
              </w:rPr>
              <w:t xml:space="preserve">. </w:t>
            </w:r>
            <w:r w:rsidR="00764607">
              <w:rPr>
                <w:sz w:val="18"/>
                <w:szCs w:val="18"/>
              </w:rPr>
              <w:t>In addition, t</w:t>
            </w:r>
            <w:r w:rsidR="003E5AD0">
              <w:rPr>
                <w:sz w:val="18"/>
                <w:szCs w:val="18"/>
              </w:rPr>
              <w:t>he TUG was able to distinguish fallers from non</w:t>
            </w:r>
            <w:r w:rsidR="00BC4A7B">
              <w:rPr>
                <w:sz w:val="18"/>
                <w:szCs w:val="18"/>
              </w:rPr>
              <w:t>-</w:t>
            </w:r>
            <w:r w:rsidR="003E5AD0">
              <w:rPr>
                <w:sz w:val="18"/>
                <w:szCs w:val="18"/>
              </w:rPr>
              <w:t>fallers after stroke in this population</w:t>
            </w:r>
            <w:r w:rsidR="00F33B75">
              <w:rPr>
                <w:sz w:val="18"/>
                <w:szCs w:val="18"/>
              </w:rPr>
              <w:t xml:space="preserve"> sample.</w:t>
            </w:r>
            <w:r w:rsidR="005173D1">
              <w:rPr>
                <w:sz w:val="18"/>
                <w:szCs w:val="18"/>
              </w:rPr>
              <w:t xml:space="preserve"> </w:t>
            </w:r>
            <w:r w:rsidR="006E15CA">
              <w:rPr>
                <w:sz w:val="18"/>
                <w:szCs w:val="18"/>
              </w:rPr>
              <w:t xml:space="preserve">Thus, there is significance in </w:t>
            </w:r>
            <w:r w:rsidR="00E4167E">
              <w:rPr>
                <w:sz w:val="18"/>
                <w:szCs w:val="18"/>
              </w:rPr>
              <w:t xml:space="preserve">identifying an instrument (i.e. TUG) that assesses balance and mobility in post-stroke patients </w:t>
            </w:r>
            <w:r w:rsidR="000A3E26">
              <w:rPr>
                <w:sz w:val="18"/>
                <w:szCs w:val="18"/>
              </w:rPr>
              <w:t>to help develop falls prevention strategies and treatments in this population.</w:t>
            </w:r>
          </w:p>
        </w:tc>
      </w:tr>
      <w:tr w:rsidR="0000738B" w:rsidRPr="002F16E1" w14:paraId="2CEF5BF9" w14:textId="77777777" w:rsidTr="00C34C48">
        <w:tc>
          <w:tcPr>
            <w:tcW w:w="10421" w:type="dxa"/>
            <w:shd w:val="clear" w:color="auto" w:fill="E6E6E6"/>
          </w:tcPr>
          <w:p w14:paraId="5FCF40A1" w14:textId="77777777" w:rsidR="0000738B" w:rsidRPr="002F16E1" w:rsidRDefault="0000738B" w:rsidP="00C34C48">
            <w:pPr>
              <w:spacing w:before="120" w:after="120"/>
              <w:rPr>
                <w:b/>
                <w:sz w:val="18"/>
                <w:szCs w:val="18"/>
              </w:rPr>
            </w:pPr>
            <w:r w:rsidRPr="002F16E1">
              <w:rPr>
                <w:b/>
                <w:sz w:val="18"/>
                <w:szCs w:val="18"/>
              </w:rPr>
              <w:t>Critical Appraisal</w:t>
            </w:r>
          </w:p>
        </w:tc>
      </w:tr>
      <w:tr w:rsidR="0000738B" w:rsidRPr="002F16E1" w14:paraId="687FAA6E" w14:textId="77777777" w:rsidTr="00C34C48">
        <w:tc>
          <w:tcPr>
            <w:tcW w:w="10421" w:type="dxa"/>
            <w:shd w:val="clear" w:color="auto" w:fill="auto"/>
          </w:tcPr>
          <w:p w14:paraId="75A8201E" w14:textId="77777777" w:rsidR="0000738B" w:rsidRPr="002F16E1" w:rsidRDefault="0000738B" w:rsidP="00C34C48">
            <w:pPr>
              <w:spacing w:before="120" w:after="120"/>
              <w:rPr>
                <w:b/>
                <w:sz w:val="18"/>
                <w:szCs w:val="18"/>
              </w:rPr>
            </w:pPr>
            <w:r w:rsidRPr="002F16E1">
              <w:rPr>
                <w:b/>
                <w:sz w:val="18"/>
                <w:szCs w:val="18"/>
              </w:rPr>
              <w:t>Validity</w:t>
            </w:r>
          </w:p>
          <w:p w14:paraId="4DE515BC"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374E5E72" w14:textId="77777777" w:rsidTr="00C34C48">
        <w:tc>
          <w:tcPr>
            <w:tcW w:w="10421" w:type="dxa"/>
            <w:shd w:val="clear" w:color="auto" w:fill="auto"/>
          </w:tcPr>
          <w:p w14:paraId="642E68E4" w14:textId="5B2D2438" w:rsidR="0000738B" w:rsidRDefault="001D65F9" w:rsidP="00C34C48">
            <w:pPr>
              <w:spacing w:before="120" w:after="120"/>
              <w:rPr>
                <w:bCs/>
                <w:sz w:val="18"/>
                <w:szCs w:val="18"/>
              </w:rPr>
            </w:pPr>
            <w:r w:rsidRPr="001D65F9">
              <w:rPr>
                <w:b/>
                <w:bCs/>
                <w:sz w:val="18"/>
                <w:szCs w:val="18"/>
                <w:u w:val="single"/>
              </w:rPr>
              <w:t>QUIPS score</w:t>
            </w:r>
            <w:r w:rsidR="00671B5C">
              <w:rPr>
                <w:b/>
                <w:bCs/>
                <w:sz w:val="18"/>
                <w:szCs w:val="18"/>
                <w:u w:val="single"/>
              </w:rPr>
              <w:t xml:space="preserve"> (prognostic)</w:t>
            </w:r>
            <w:r w:rsidR="00BA6344">
              <w:rPr>
                <w:b/>
                <w:bCs/>
                <w:sz w:val="18"/>
                <w:szCs w:val="18"/>
                <w:u w:val="single"/>
              </w:rPr>
              <w:t>:</w:t>
            </w:r>
            <w:r w:rsidR="00BA6344">
              <w:rPr>
                <w:sz w:val="18"/>
                <w:szCs w:val="18"/>
              </w:rPr>
              <w:t xml:space="preserve"> </w:t>
            </w:r>
            <w:r w:rsidR="00275D3F">
              <w:rPr>
                <w:sz w:val="18"/>
                <w:szCs w:val="18"/>
              </w:rPr>
              <w:t>moderate</w:t>
            </w:r>
            <w:r w:rsidR="00155973">
              <w:rPr>
                <w:sz w:val="18"/>
                <w:szCs w:val="18"/>
              </w:rPr>
              <w:t xml:space="preserve"> risk of bias;</w:t>
            </w:r>
            <w:r w:rsidR="00B81C20">
              <w:rPr>
                <w:sz w:val="18"/>
                <w:szCs w:val="18"/>
              </w:rPr>
              <w:t xml:space="preserve"> </w:t>
            </w:r>
            <w:r w:rsidR="00275D3F" w:rsidRPr="00685D18">
              <w:rPr>
                <w:bCs/>
                <w:sz w:val="18"/>
                <w:szCs w:val="18"/>
              </w:rPr>
              <w:t>(2/6 sections scored low, 3/6 sections scored moderate, 1/6 sections scored high)</w:t>
            </w:r>
          </w:p>
          <w:p w14:paraId="13FA5C04" w14:textId="485D71AE" w:rsidR="00CF1675" w:rsidRPr="00860B8F" w:rsidRDefault="00B81C20" w:rsidP="00171646">
            <w:pPr>
              <w:spacing w:before="120" w:after="120"/>
              <w:rPr>
                <w:bCs/>
                <w:sz w:val="18"/>
                <w:szCs w:val="18"/>
              </w:rPr>
            </w:pPr>
            <w:r>
              <w:rPr>
                <w:bCs/>
                <w:sz w:val="18"/>
                <w:szCs w:val="18"/>
              </w:rPr>
              <w:t xml:space="preserve">Strengths: </w:t>
            </w:r>
            <w:r w:rsidR="00AF06F7">
              <w:rPr>
                <w:bCs/>
                <w:sz w:val="18"/>
                <w:szCs w:val="18"/>
              </w:rPr>
              <w:t xml:space="preserve">The study demonstrates an overall </w:t>
            </w:r>
            <w:r w:rsidR="00AF06F7" w:rsidRPr="00292D2D">
              <w:rPr>
                <w:bCs/>
                <w:sz w:val="18"/>
                <w:szCs w:val="18"/>
              </w:rPr>
              <w:t>low</w:t>
            </w:r>
            <w:r w:rsidR="00AF06F7">
              <w:rPr>
                <w:bCs/>
                <w:sz w:val="18"/>
                <w:szCs w:val="18"/>
              </w:rPr>
              <w:t xml:space="preserve"> risk of bias for the “study participation” section of the QUIPS tool </w:t>
            </w:r>
            <w:r w:rsidR="00BD0CF9">
              <w:rPr>
                <w:bCs/>
                <w:sz w:val="18"/>
                <w:szCs w:val="18"/>
              </w:rPr>
              <w:t xml:space="preserve">as the authors describe </w:t>
            </w:r>
            <w:r w:rsidRPr="00BD0CF9">
              <w:rPr>
                <w:bCs/>
                <w:sz w:val="18"/>
                <w:szCs w:val="18"/>
              </w:rPr>
              <w:t>the source of the sample of participants (specific clinic from University)</w:t>
            </w:r>
            <w:r w:rsidR="00BD0CF9">
              <w:rPr>
                <w:bCs/>
                <w:sz w:val="18"/>
                <w:szCs w:val="18"/>
              </w:rPr>
              <w:t xml:space="preserve"> as well as the i</w:t>
            </w:r>
            <w:r w:rsidR="001048E1" w:rsidRPr="00BD0CF9">
              <w:rPr>
                <w:bCs/>
                <w:sz w:val="18"/>
                <w:szCs w:val="18"/>
              </w:rPr>
              <w:t>nclusion/exclusion criteria (see “Participants” section of CAT)</w:t>
            </w:r>
            <w:r w:rsidR="00BD0CF9">
              <w:rPr>
                <w:bCs/>
                <w:sz w:val="18"/>
                <w:szCs w:val="18"/>
              </w:rPr>
              <w:t>, and there is a</w:t>
            </w:r>
            <w:r w:rsidR="00B04346" w:rsidRPr="00BD0CF9">
              <w:rPr>
                <w:bCs/>
                <w:sz w:val="18"/>
                <w:szCs w:val="18"/>
              </w:rPr>
              <w:t>dequate participatio</w:t>
            </w:r>
            <w:r w:rsidR="00EC57AA" w:rsidRPr="00BD0CF9">
              <w:rPr>
                <w:bCs/>
                <w:sz w:val="18"/>
                <w:szCs w:val="18"/>
              </w:rPr>
              <w:t>n of eligible participants in this study</w:t>
            </w:r>
            <w:r w:rsidR="00BD0CF9">
              <w:rPr>
                <w:bCs/>
                <w:sz w:val="18"/>
                <w:szCs w:val="18"/>
              </w:rPr>
              <w:t>.</w:t>
            </w:r>
            <w:r w:rsidR="00295315" w:rsidRPr="00295315">
              <w:rPr>
                <w:sz w:val="18"/>
                <w:szCs w:val="18"/>
              </w:rPr>
              <w:t xml:space="preserve"> This study provides moderate detail about the prognostic factors measured. It includes a discussion about how balance and stroke impairments cause fall risk, and it provides specific cut-off points used for the outcome measures. </w:t>
            </w:r>
            <w:r w:rsidR="00295315">
              <w:rPr>
                <w:sz w:val="18"/>
                <w:szCs w:val="18"/>
              </w:rPr>
              <w:t>In addition, the study demonstrates a m</w:t>
            </w:r>
            <w:r w:rsidR="0030577E" w:rsidRPr="00295315">
              <w:rPr>
                <w:bCs/>
                <w:sz w:val="18"/>
                <w:szCs w:val="18"/>
              </w:rPr>
              <w:t>oderately adequate response rate of participants to create adequate data</w:t>
            </w:r>
            <w:r w:rsidR="00295315">
              <w:rPr>
                <w:bCs/>
                <w:sz w:val="18"/>
                <w:szCs w:val="18"/>
              </w:rPr>
              <w:t>.</w:t>
            </w:r>
            <w:r w:rsidR="004C4274">
              <w:rPr>
                <w:bCs/>
                <w:sz w:val="18"/>
                <w:szCs w:val="18"/>
              </w:rPr>
              <w:t xml:space="preserve"> </w:t>
            </w:r>
            <w:r w:rsidR="00F858B7" w:rsidRPr="004C4274">
              <w:rPr>
                <w:bCs/>
                <w:sz w:val="18"/>
                <w:szCs w:val="18"/>
              </w:rPr>
              <w:t xml:space="preserve">This study has a </w:t>
            </w:r>
            <w:r w:rsidR="004C4274" w:rsidRPr="00292D2D">
              <w:rPr>
                <w:bCs/>
                <w:sz w:val="18"/>
                <w:szCs w:val="18"/>
              </w:rPr>
              <w:t>low</w:t>
            </w:r>
            <w:r w:rsidR="00F858B7" w:rsidRPr="004C4274">
              <w:rPr>
                <w:bCs/>
                <w:sz w:val="18"/>
                <w:szCs w:val="18"/>
              </w:rPr>
              <w:t xml:space="preserve"> risk of bias for </w:t>
            </w:r>
            <w:r w:rsidR="004C4274">
              <w:rPr>
                <w:bCs/>
                <w:sz w:val="18"/>
                <w:szCs w:val="18"/>
              </w:rPr>
              <w:t xml:space="preserve">the </w:t>
            </w:r>
            <w:r w:rsidR="00F858B7" w:rsidRPr="004C4274">
              <w:rPr>
                <w:bCs/>
                <w:sz w:val="18"/>
                <w:szCs w:val="18"/>
              </w:rPr>
              <w:lastRenderedPageBreak/>
              <w:t xml:space="preserve">“Outcome Measurement” section of </w:t>
            </w:r>
            <w:r w:rsidR="00C4593E" w:rsidRPr="004C4274">
              <w:rPr>
                <w:bCs/>
                <w:sz w:val="18"/>
                <w:szCs w:val="18"/>
              </w:rPr>
              <w:t xml:space="preserve">QUIPS tool as it clearly defines outcome measures (i.e. fall, TUG results, mBI, NIHSS) and </w:t>
            </w:r>
            <w:r w:rsidR="00270445" w:rsidRPr="004C4274">
              <w:rPr>
                <w:bCs/>
                <w:sz w:val="18"/>
                <w:szCs w:val="18"/>
              </w:rPr>
              <w:t xml:space="preserve">the methods of these outcome measures. However, there is no discussion </w:t>
            </w:r>
            <w:r w:rsidR="00690C1E" w:rsidRPr="004C4274">
              <w:rPr>
                <w:bCs/>
                <w:sz w:val="18"/>
                <w:szCs w:val="18"/>
              </w:rPr>
              <w:t xml:space="preserve">of who administered the outcome measures or where the outcome measures were administered. </w:t>
            </w:r>
            <w:r w:rsidR="00892938">
              <w:rPr>
                <w:bCs/>
                <w:sz w:val="18"/>
                <w:szCs w:val="18"/>
              </w:rPr>
              <w:t xml:space="preserve">Regarding “study Confounding,” </w:t>
            </w:r>
            <w:r w:rsidR="00CC2A86">
              <w:rPr>
                <w:bCs/>
                <w:sz w:val="18"/>
                <w:szCs w:val="18"/>
              </w:rPr>
              <w:t>while there is not much discussion about c</w:t>
            </w:r>
            <w:r w:rsidR="00DD6B9E">
              <w:rPr>
                <w:bCs/>
                <w:sz w:val="18"/>
                <w:szCs w:val="18"/>
              </w:rPr>
              <w:t xml:space="preserve">onsideration of confounders in the study design, </w:t>
            </w:r>
            <w:r w:rsidR="00CC2A86">
              <w:rPr>
                <w:bCs/>
                <w:sz w:val="18"/>
                <w:szCs w:val="18"/>
              </w:rPr>
              <w:t xml:space="preserve">the </w:t>
            </w:r>
            <w:r w:rsidR="001F4C26" w:rsidRPr="00CC2A86">
              <w:rPr>
                <w:bCs/>
                <w:sz w:val="18"/>
                <w:szCs w:val="18"/>
              </w:rPr>
              <w:t xml:space="preserve">researchers </w:t>
            </w:r>
            <w:r w:rsidR="00DD6B9E">
              <w:rPr>
                <w:bCs/>
                <w:sz w:val="18"/>
                <w:szCs w:val="18"/>
              </w:rPr>
              <w:t xml:space="preserve">do </w:t>
            </w:r>
            <w:r w:rsidR="001F4C26" w:rsidRPr="00CC2A86">
              <w:rPr>
                <w:bCs/>
                <w:sz w:val="18"/>
                <w:szCs w:val="18"/>
              </w:rPr>
              <w:t xml:space="preserve">perform a </w:t>
            </w:r>
            <w:r w:rsidR="00CC2A86">
              <w:rPr>
                <w:bCs/>
                <w:sz w:val="18"/>
                <w:szCs w:val="18"/>
              </w:rPr>
              <w:t>specific</w:t>
            </w:r>
            <w:r w:rsidR="001F4C26" w:rsidRPr="00CC2A86">
              <w:rPr>
                <w:bCs/>
                <w:sz w:val="18"/>
                <w:szCs w:val="18"/>
              </w:rPr>
              <w:t xml:space="preserve"> logistic regression analysis to correct for fall</w:t>
            </w:r>
            <w:r w:rsidR="00CC2A86">
              <w:rPr>
                <w:bCs/>
                <w:sz w:val="18"/>
                <w:szCs w:val="18"/>
              </w:rPr>
              <w:t>s</w:t>
            </w:r>
            <w:r w:rsidR="001F4C26" w:rsidRPr="00CC2A86">
              <w:rPr>
                <w:bCs/>
                <w:sz w:val="18"/>
                <w:szCs w:val="18"/>
              </w:rPr>
              <w:t>-related confounding variables</w:t>
            </w:r>
            <w:r w:rsidR="004C4E33" w:rsidRPr="00CC2A86">
              <w:rPr>
                <w:bCs/>
                <w:sz w:val="18"/>
                <w:szCs w:val="18"/>
              </w:rPr>
              <w:t xml:space="preserve"> in the analysis of the results. </w:t>
            </w:r>
            <w:r w:rsidR="00171646">
              <w:rPr>
                <w:bCs/>
                <w:sz w:val="18"/>
                <w:szCs w:val="18"/>
              </w:rPr>
              <w:t>There is an o</w:t>
            </w:r>
            <w:r w:rsidR="000177D1" w:rsidRPr="00171646">
              <w:rPr>
                <w:bCs/>
                <w:sz w:val="18"/>
                <w:szCs w:val="18"/>
              </w:rPr>
              <w:t xml:space="preserve">verall </w:t>
            </w:r>
            <w:r w:rsidR="000177D1" w:rsidRPr="00292D2D">
              <w:rPr>
                <w:bCs/>
                <w:sz w:val="18"/>
                <w:szCs w:val="18"/>
              </w:rPr>
              <w:t>low-to-moderate risk</w:t>
            </w:r>
            <w:r w:rsidR="000177D1" w:rsidRPr="00171646">
              <w:rPr>
                <w:bCs/>
                <w:sz w:val="18"/>
                <w:szCs w:val="18"/>
              </w:rPr>
              <w:t xml:space="preserve"> of bias for “Statistical Analysis and Reporting” section of QUIPS. The researchers </w:t>
            </w:r>
            <w:r w:rsidR="00312EF9" w:rsidRPr="00171646">
              <w:rPr>
                <w:bCs/>
                <w:sz w:val="18"/>
                <w:szCs w:val="18"/>
              </w:rPr>
              <w:t xml:space="preserve">used appropriate statistical analysis of results including ROC curves for TUG cut-off points, descriptive analysis for baseline characteristics, comparative analysis tool for both groups (fallers and non-fallers), statistical correction for confounders, and odds ratios with 95% confidence intervals where appropriate. </w:t>
            </w:r>
            <w:r w:rsidR="00CF1675">
              <w:rPr>
                <w:bCs/>
                <w:sz w:val="18"/>
                <w:szCs w:val="18"/>
              </w:rPr>
              <w:t>For univariate analyses, they appropriately used the Fisher exact test or Pearson chi-square test for categorical variables (nominal data); for continuous variables, they appropriately used the Student t test and Mann-Whitney U test with the use of the Pearson correlation test for correlations between continuous variables (regarding fallers and non-fallers variables).</w:t>
            </w:r>
          </w:p>
          <w:p w14:paraId="6F53352C" w14:textId="2A9653A7" w:rsidR="00D62948" w:rsidRDefault="00B81C20" w:rsidP="006C6917">
            <w:pPr>
              <w:spacing w:before="120" w:after="120"/>
              <w:rPr>
                <w:sz w:val="18"/>
                <w:szCs w:val="18"/>
              </w:rPr>
            </w:pPr>
            <w:r>
              <w:rPr>
                <w:bCs/>
                <w:sz w:val="18"/>
                <w:szCs w:val="18"/>
              </w:rPr>
              <w:t>Weaknesses:</w:t>
            </w:r>
            <w:r w:rsidR="0064403E">
              <w:rPr>
                <w:bCs/>
                <w:sz w:val="18"/>
                <w:szCs w:val="18"/>
              </w:rPr>
              <w:t xml:space="preserve"> This study</w:t>
            </w:r>
            <w:r w:rsidR="00BC4CCE">
              <w:rPr>
                <w:bCs/>
                <w:sz w:val="18"/>
                <w:szCs w:val="18"/>
              </w:rPr>
              <w:t xml:space="preserve"> was limited in that </w:t>
            </w:r>
            <w:r w:rsidR="006C6917">
              <w:rPr>
                <w:bCs/>
                <w:sz w:val="18"/>
                <w:szCs w:val="18"/>
              </w:rPr>
              <w:t>there is n</w:t>
            </w:r>
            <w:r w:rsidRPr="006C6917">
              <w:rPr>
                <w:sz w:val="18"/>
                <w:szCs w:val="18"/>
              </w:rPr>
              <w:t>o discussion about specific recruitment methods (i.e. sampling, selection, recruitment period)</w:t>
            </w:r>
            <w:r w:rsidR="006C6917">
              <w:rPr>
                <w:sz w:val="18"/>
                <w:szCs w:val="18"/>
              </w:rPr>
              <w:t>. In addition, t</w:t>
            </w:r>
            <w:r w:rsidR="0030577E" w:rsidRPr="006C6917">
              <w:rPr>
                <w:sz w:val="18"/>
                <w:szCs w:val="18"/>
              </w:rPr>
              <w:t>here is no mention of dropouts</w:t>
            </w:r>
            <w:r w:rsidR="00EE07F8" w:rsidRPr="006C6917">
              <w:rPr>
                <w:sz w:val="18"/>
                <w:szCs w:val="18"/>
              </w:rPr>
              <w:t xml:space="preserve"> or loss of follow-up</w:t>
            </w:r>
            <w:r w:rsidR="0030577E" w:rsidRPr="006C6917">
              <w:rPr>
                <w:sz w:val="18"/>
                <w:szCs w:val="18"/>
              </w:rPr>
              <w:t xml:space="preserve"> in this study or an attempt to understand reasons for dropouts</w:t>
            </w:r>
            <w:r w:rsidR="00EE07F8" w:rsidRPr="006C6917">
              <w:rPr>
                <w:sz w:val="18"/>
                <w:szCs w:val="18"/>
              </w:rPr>
              <w:t xml:space="preserve"> or loss of follow-up</w:t>
            </w:r>
            <w:r w:rsidR="004E3533">
              <w:rPr>
                <w:sz w:val="18"/>
                <w:szCs w:val="18"/>
              </w:rPr>
              <w:t>.</w:t>
            </w:r>
            <w:r w:rsidR="006C6917">
              <w:rPr>
                <w:sz w:val="18"/>
                <w:szCs w:val="18"/>
              </w:rPr>
              <w:t xml:space="preserve"> </w:t>
            </w:r>
            <w:r w:rsidR="004E3533" w:rsidRPr="004E3533">
              <w:rPr>
                <w:sz w:val="18"/>
                <w:szCs w:val="18"/>
              </w:rPr>
              <w:t>While there is mention of correction for confounders, there is no specific discussion about the measurement of these variables</w:t>
            </w:r>
            <w:r w:rsidR="004E3533">
              <w:rPr>
                <w:sz w:val="18"/>
                <w:szCs w:val="18"/>
              </w:rPr>
              <w:t xml:space="preserve">, </w:t>
            </w:r>
            <w:r w:rsidR="006C6917">
              <w:rPr>
                <w:sz w:val="18"/>
                <w:szCs w:val="18"/>
              </w:rPr>
              <w:t xml:space="preserve">suggesting a high risk of bias for “Study Attrition” </w:t>
            </w:r>
            <w:r w:rsidR="000324D3">
              <w:rPr>
                <w:sz w:val="18"/>
                <w:szCs w:val="18"/>
              </w:rPr>
              <w:t xml:space="preserve">on the QUIPS. </w:t>
            </w:r>
          </w:p>
          <w:p w14:paraId="63405D76" w14:textId="68184AE8" w:rsidR="0000738B" w:rsidRPr="00580607" w:rsidRDefault="00FE57E0" w:rsidP="00650BB2">
            <w:pPr>
              <w:spacing w:before="120" w:after="120"/>
              <w:rPr>
                <w:sz w:val="18"/>
                <w:szCs w:val="18"/>
              </w:rPr>
            </w:pPr>
            <w:r>
              <w:rPr>
                <w:b/>
                <w:bCs/>
                <w:sz w:val="18"/>
                <w:szCs w:val="18"/>
              </w:rPr>
              <w:t>External Validity</w:t>
            </w:r>
            <w:r w:rsidR="00967F81">
              <w:rPr>
                <w:b/>
                <w:bCs/>
                <w:sz w:val="18"/>
                <w:szCs w:val="18"/>
              </w:rPr>
              <w:t xml:space="preserve"> </w:t>
            </w:r>
            <w:r w:rsidR="00967F81">
              <w:rPr>
                <w:sz w:val="18"/>
                <w:szCs w:val="18"/>
              </w:rPr>
              <w:t xml:space="preserve">– The use of a convenience sample </w:t>
            </w:r>
            <w:r w:rsidR="00AC620E">
              <w:rPr>
                <w:sz w:val="18"/>
                <w:szCs w:val="18"/>
              </w:rPr>
              <w:t xml:space="preserve">in this study limits its external validity. In addition, the fact that this study’s results and analysis is based on </w:t>
            </w:r>
            <w:r w:rsidR="00B63A14">
              <w:rPr>
                <w:sz w:val="18"/>
                <w:szCs w:val="18"/>
              </w:rPr>
              <w:t xml:space="preserve">retrospective falls data may also limit the external validity. </w:t>
            </w:r>
            <w:r w:rsidR="0079128F">
              <w:rPr>
                <w:sz w:val="18"/>
                <w:szCs w:val="18"/>
              </w:rPr>
              <w:t xml:space="preserve">This study’s sample consisted of mostly young stroke survivors with moderate impairments. Thus, the results may not be applicable to older individuals or individuals with greater impairment severity. </w:t>
            </w:r>
          </w:p>
        </w:tc>
      </w:tr>
      <w:tr w:rsidR="0000738B" w:rsidRPr="002F16E1" w14:paraId="1F667E9C" w14:textId="77777777" w:rsidTr="00C34C48">
        <w:tc>
          <w:tcPr>
            <w:tcW w:w="10421" w:type="dxa"/>
            <w:shd w:val="clear" w:color="auto" w:fill="auto"/>
          </w:tcPr>
          <w:p w14:paraId="548A0870" w14:textId="77777777" w:rsidR="0000738B" w:rsidRPr="002F16E1" w:rsidRDefault="0000738B" w:rsidP="00C34C48">
            <w:pPr>
              <w:spacing w:before="120" w:after="120"/>
              <w:jc w:val="both"/>
              <w:rPr>
                <w:b/>
                <w:sz w:val="18"/>
                <w:szCs w:val="18"/>
              </w:rPr>
            </w:pPr>
            <w:r w:rsidRPr="002F16E1">
              <w:rPr>
                <w:b/>
                <w:sz w:val="18"/>
                <w:szCs w:val="18"/>
              </w:rPr>
              <w:lastRenderedPageBreak/>
              <w:t>Interpretation of Results</w:t>
            </w:r>
          </w:p>
          <w:p w14:paraId="4E72A666" w14:textId="77777777" w:rsidR="0000738B" w:rsidRPr="002F16E1" w:rsidRDefault="0000738B" w:rsidP="00C34C48">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BDA78E3" w14:textId="77777777" w:rsidTr="00C34C48">
        <w:trPr>
          <w:trHeight w:val="1365"/>
        </w:trPr>
        <w:tc>
          <w:tcPr>
            <w:tcW w:w="10421" w:type="dxa"/>
            <w:shd w:val="clear" w:color="auto" w:fill="auto"/>
          </w:tcPr>
          <w:p w14:paraId="0395CD0D" w14:textId="24EEFE2F" w:rsidR="00314527" w:rsidRDefault="00496553" w:rsidP="00C34C48">
            <w:pPr>
              <w:spacing w:before="120" w:after="120"/>
              <w:rPr>
                <w:sz w:val="18"/>
                <w:szCs w:val="18"/>
              </w:rPr>
            </w:pPr>
            <w:r>
              <w:rPr>
                <w:sz w:val="18"/>
                <w:szCs w:val="18"/>
              </w:rPr>
              <w:t>Relevant to the clinical question, t</w:t>
            </w:r>
            <w:r w:rsidR="00314527">
              <w:rPr>
                <w:sz w:val="18"/>
                <w:szCs w:val="18"/>
              </w:rPr>
              <w:t xml:space="preserve">he results of this study </w:t>
            </w:r>
            <w:r>
              <w:rPr>
                <w:sz w:val="18"/>
                <w:szCs w:val="18"/>
              </w:rPr>
              <w:t xml:space="preserve">suggest that the TUG does have </w:t>
            </w:r>
            <w:r w:rsidR="002C2726">
              <w:rPr>
                <w:sz w:val="18"/>
                <w:szCs w:val="18"/>
              </w:rPr>
              <w:t xml:space="preserve">significant </w:t>
            </w:r>
            <w:r>
              <w:rPr>
                <w:sz w:val="18"/>
                <w:szCs w:val="18"/>
              </w:rPr>
              <w:t xml:space="preserve">predictive ability to distinguish fallers from non-fallers among individuals post-stroke. </w:t>
            </w:r>
            <w:r w:rsidR="00F51151">
              <w:rPr>
                <w:sz w:val="18"/>
                <w:szCs w:val="18"/>
              </w:rPr>
              <w:t xml:space="preserve">However, one’s TUG score alone is not the only predictive factor of fall risk. This study found significant results indicating </w:t>
            </w:r>
            <w:r w:rsidR="00B57C3A">
              <w:rPr>
                <w:sz w:val="18"/>
                <w:szCs w:val="18"/>
              </w:rPr>
              <w:t xml:space="preserve">time since stroke onset and R-hemisphere stroke lesion are both also significant predictive factors of </w:t>
            </w:r>
            <w:r w:rsidR="004C266D">
              <w:rPr>
                <w:sz w:val="18"/>
                <w:szCs w:val="18"/>
              </w:rPr>
              <w:t xml:space="preserve">falls in this patient population. </w:t>
            </w:r>
          </w:p>
          <w:p w14:paraId="090BD3FB" w14:textId="6AC06F30" w:rsidR="00805F40" w:rsidRDefault="00805F40" w:rsidP="00C34C48">
            <w:pPr>
              <w:spacing w:before="120" w:after="120"/>
              <w:rPr>
                <w:sz w:val="18"/>
                <w:szCs w:val="18"/>
              </w:rPr>
            </w:pPr>
            <w:r>
              <w:rPr>
                <w:sz w:val="18"/>
                <w:szCs w:val="18"/>
              </w:rPr>
              <w:t>However, these results must be considered in light of the strengths and weaknesses of this study</w:t>
            </w:r>
            <w:r w:rsidR="00C1597C">
              <w:rPr>
                <w:sz w:val="18"/>
                <w:szCs w:val="18"/>
              </w:rPr>
              <w:t xml:space="preserve">. As mentioned above, there are gaps in the procedures, recruitment, and attrition in this study, all of which are not appropriately addressed. </w:t>
            </w:r>
            <w:r w:rsidR="008F43BE">
              <w:rPr>
                <w:sz w:val="18"/>
                <w:szCs w:val="18"/>
              </w:rPr>
              <w:t xml:space="preserve">In addition, the retrospective and convenience sampling aspects of this study limit its validity. </w:t>
            </w:r>
            <w:r w:rsidR="00DC63DA">
              <w:rPr>
                <w:sz w:val="18"/>
                <w:szCs w:val="18"/>
              </w:rPr>
              <w:t xml:space="preserve">Conversely, the researchers in this study </w:t>
            </w:r>
            <w:r w:rsidR="00690C74">
              <w:rPr>
                <w:sz w:val="18"/>
                <w:szCs w:val="18"/>
              </w:rPr>
              <w:t xml:space="preserve">appear to have performed very thorough and appropriate statistical analyses of the results </w:t>
            </w:r>
            <w:r w:rsidR="001D1CA3">
              <w:rPr>
                <w:sz w:val="18"/>
                <w:szCs w:val="18"/>
              </w:rPr>
              <w:t xml:space="preserve">(i.e. correcting for confounders) </w:t>
            </w:r>
            <w:r w:rsidR="00690C74">
              <w:rPr>
                <w:sz w:val="18"/>
                <w:szCs w:val="18"/>
              </w:rPr>
              <w:t xml:space="preserve">to determine relevant and significant </w:t>
            </w:r>
            <w:r w:rsidR="001D1CA3">
              <w:rPr>
                <w:sz w:val="18"/>
                <w:szCs w:val="18"/>
              </w:rPr>
              <w:t>conclusions</w:t>
            </w:r>
            <w:r w:rsidR="00690C74">
              <w:rPr>
                <w:sz w:val="18"/>
                <w:szCs w:val="18"/>
              </w:rPr>
              <w:t>.</w:t>
            </w:r>
          </w:p>
          <w:p w14:paraId="3E7C912E" w14:textId="3BFD596F" w:rsidR="0000738B" w:rsidRPr="00580607" w:rsidRDefault="0056131E" w:rsidP="00367329">
            <w:pPr>
              <w:spacing w:before="120" w:after="120"/>
              <w:rPr>
                <w:sz w:val="18"/>
                <w:szCs w:val="18"/>
              </w:rPr>
            </w:pPr>
            <w:r>
              <w:rPr>
                <w:sz w:val="18"/>
                <w:szCs w:val="18"/>
              </w:rPr>
              <w:t xml:space="preserve">Overall, the findings of statistically significant falls predictors are encouraging to apply to this population for further research. In addition, </w:t>
            </w:r>
            <w:r w:rsidR="00D74461">
              <w:rPr>
                <w:sz w:val="18"/>
                <w:szCs w:val="18"/>
              </w:rPr>
              <w:t>the high sensitivity and specificity of the TUG in various situations also app</w:t>
            </w:r>
            <w:r w:rsidR="0060221C">
              <w:rPr>
                <w:sz w:val="18"/>
                <w:szCs w:val="18"/>
              </w:rPr>
              <w:t>ears strong enough to be useful</w:t>
            </w:r>
            <w:r w:rsidR="00A37455">
              <w:rPr>
                <w:sz w:val="18"/>
                <w:szCs w:val="18"/>
              </w:rPr>
              <w:t xml:space="preserve"> in distinguishing </w:t>
            </w:r>
            <w:r w:rsidR="004F68AE">
              <w:rPr>
                <w:sz w:val="18"/>
                <w:szCs w:val="18"/>
              </w:rPr>
              <w:t>between fallers and non-fallers</w:t>
            </w:r>
            <w:r w:rsidR="0060221C">
              <w:rPr>
                <w:sz w:val="18"/>
                <w:szCs w:val="18"/>
              </w:rPr>
              <w:t>. However, the lower ROC values</w:t>
            </w:r>
            <w:r w:rsidR="0066727F">
              <w:rPr>
                <w:sz w:val="18"/>
                <w:szCs w:val="18"/>
              </w:rPr>
              <w:t xml:space="preserve"> surrounding the TUG and the L vs. R hemisphere stroke locations</w:t>
            </w:r>
            <w:r w:rsidR="005B387F">
              <w:rPr>
                <w:sz w:val="18"/>
                <w:szCs w:val="18"/>
              </w:rPr>
              <w:t xml:space="preserve"> </w:t>
            </w:r>
            <w:r w:rsidR="00C471B8">
              <w:rPr>
                <w:sz w:val="18"/>
                <w:szCs w:val="18"/>
              </w:rPr>
              <w:t>indicate a need for further research to determine the true predictive value of the TUG</w:t>
            </w:r>
            <w:r w:rsidR="0066727F">
              <w:rPr>
                <w:sz w:val="18"/>
                <w:szCs w:val="18"/>
              </w:rPr>
              <w:t xml:space="preserve">. </w:t>
            </w:r>
          </w:p>
        </w:tc>
      </w:tr>
      <w:tr w:rsidR="0000738B" w:rsidRPr="002F16E1" w14:paraId="01BE4173" w14:textId="77777777" w:rsidTr="0000738B">
        <w:trPr>
          <w:trHeight w:val="741"/>
        </w:trPr>
        <w:tc>
          <w:tcPr>
            <w:tcW w:w="10421" w:type="dxa"/>
            <w:shd w:val="clear" w:color="auto" w:fill="auto"/>
          </w:tcPr>
          <w:p w14:paraId="175C7AE1" w14:textId="77777777" w:rsidR="0000738B" w:rsidRPr="002F16E1" w:rsidRDefault="0000738B" w:rsidP="00C34C48">
            <w:pPr>
              <w:spacing w:before="120" w:after="120"/>
              <w:jc w:val="both"/>
              <w:rPr>
                <w:b/>
                <w:sz w:val="18"/>
                <w:szCs w:val="18"/>
              </w:rPr>
            </w:pPr>
            <w:r>
              <w:rPr>
                <w:b/>
                <w:sz w:val="18"/>
                <w:szCs w:val="18"/>
              </w:rPr>
              <w:t>Applicability of Study Results</w:t>
            </w:r>
          </w:p>
          <w:p w14:paraId="51E2B81E" w14:textId="77777777" w:rsidR="0000738B" w:rsidRPr="00580607" w:rsidRDefault="00752AAC" w:rsidP="00C34C48">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C143B98" w14:textId="77777777" w:rsidTr="00C34C48">
        <w:trPr>
          <w:trHeight w:val="1594"/>
        </w:trPr>
        <w:tc>
          <w:tcPr>
            <w:tcW w:w="10421" w:type="dxa"/>
            <w:tcBorders>
              <w:bottom w:val="single" w:sz="4" w:space="0" w:color="auto"/>
            </w:tcBorders>
            <w:shd w:val="clear" w:color="auto" w:fill="auto"/>
          </w:tcPr>
          <w:p w14:paraId="2EDFD2B0" w14:textId="113D14E8" w:rsidR="00133732" w:rsidRPr="00907846" w:rsidRDefault="001D5158" w:rsidP="00C34C48">
            <w:pPr>
              <w:spacing w:before="120" w:after="120"/>
              <w:rPr>
                <w:sz w:val="18"/>
                <w:szCs w:val="18"/>
              </w:rPr>
            </w:pPr>
            <w:r w:rsidRPr="00907846">
              <w:rPr>
                <w:sz w:val="18"/>
                <w:szCs w:val="18"/>
              </w:rPr>
              <w:t>This study is highly related to my PICO question</w:t>
            </w:r>
            <w:r w:rsidR="00A57285" w:rsidRPr="00907846">
              <w:rPr>
                <w:sz w:val="18"/>
                <w:szCs w:val="18"/>
              </w:rPr>
              <w:t xml:space="preserve"> in that it addresses the</w:t>
            </w:r>
            <w:r w:rsidR="00D14613">
              <w:rPr>
                <w:sz w:val="18"/>
                <w:szCs w:val="18"/>
              </w:rPr>
              <w:t xml:space="preserve"> question’s</w:t>
            </w:r>
            <w:r w:rsidR="00A57285" w:rsidRPr="00907846">
              <w:rPr>
                <w:sz w:val="18"/>
                <w:szCs w:val="18"/>
              </w:rPr>
              <w:t xml:space="preserve"> population, </w:t>
            </w:r>
            <w:r w:rsidR="00DF2C3C" w:rsidRPr="00907846">
              <w:rPr>
                <w:sz w:val="18"/>
                <w:szCs w:val="18"/>
              </w:rPr>
              <w:t xml:space="preserve">outcome measure, and the outcome. The </w:t>
            </w:r>
            <w:r w:rsidR="00E14D47" w:rsidRPr="00907846">
              <w:rPr>
                <w:sz w:val="18"/>
                <w:szCs w:val="18"/>
              </w:rPr>
              <w:t xml:space="preserve">population in this study includes </w:t>
            </w:r>
            <w:r w:rsidR="00C52DEB" w:rsidRPr="00907846">
              <w:rPr>
                <w:sz w:val="18"/>
                <w:szCs w:val="18"/>
              </w:rPr>
              <w:t>community-residing individuals, an average of 13.5 months post-stroke</w:t>
            </w:r>
            <w:r w:rsidR="006E0E95" w:rsidRPr="00907846">
              <w:rPr>
                <w:sz w:val="18"/>
                <w:szCs w:val="18"/>
              </w:rPr>
              <w:t xml:space="preserve">, 75% of whom were female. </w:t>
            </w:r>
            <w:r w:rsidR="00126B27" w:rsidRPr="00907846">
              <w:rPr>
                <w:sz w:val="18"/>
                <w:szCs w:val="18"/>
              </w:rPr>
              <w:t xml:space="preserve">Like my PICO question, the authors of this study sought to determine fall risk in this population, as well as the ability of the TUG to predict falls. </w:t>
            </w:r>
            <w:r w:rsidR="00692494" w:rsidRPr="00907846">
              <w:rPr>
                <w:sz w:val="18"/>
                <w:szCs w:val="18"/>
              </w:rPr>
              <w:t xml:space="preserve">The average age of participants in this study </w:t>
            </w:r>
            <w:r w:rsidR="00E21266" w:rsidRPr="00907846">
              <w:rPr>
                <w:sz w:val="18"/>
                <w:szCs w:val="18"/>
              </w:rPr>
              <w:t xml:space="preserve">was 55.8, which is close to the age included in my PICO question (60 years old). </w:t>
            </w:r>
            <w:r w:rsidR="00865E39" w:rsidRPr="00907846">
              <w:rPr>
                <w:sz w:val="18"/>
                <w:szCs w:val="18"/>
              </w:rPr>
              <w:t xml:space="preserve">The data included in this study was representative of a larger cohort of adults with post-stroke impairments. </w:t>
            </w:r>
          </w:p>
          <w:p w14:paraId="1A4DEF70" w14:textId="7E1537A3" w:rsidR="00133732" w:rsidRPr="00907846" w:rsidRDefault="00133732" w:rsidP="00C34C48">
            <w:pPr>
              <w:spacing w:before="120" w:after="120"/>
              <w:rPr>
                <w:sz w:val="18"/>
                <w:szCs w:val="18"/>
              </w:rPr>
            </w:pPr>
            <w:r w:rsidRPr="00907846">
              <w:rPr>
                <w:sz w:val="18"/>
                <w:szCs w:val="18"/>
              </w:rPr>
              <w:t xml:space="preserve">Regarding </w:t>
            </w:r>
            <w:r w:rsidR="000C4DE2" w:rsidRPr="00907846">
              <w:rPr>
                <w:sz w:val="18"/>
                <w:szCs w:val="18"/>
              </w:rPr>
              <w:t xml:space="preserve">clinical relevance, the measures in this study are appropriate for patients post-stroke. </w:t>
            </w:r>
            <w:r w:rsidR="0014080F" w:rsidRPr="00907846">
              <w:rPr>
                <w:sz w:val="18"/>
                <w:szCs w:val="18"/>
              </w:rPr>
              <w:t xml:space="preserve">The MBI, NIHSS, and TUG </w:t>
            </w:r>
            <w:r w:rsidR="001C5C5A" w:rsidRPr="00907846">
              <w:rPr>
                <w:sz w:val="18"/>
                <w:szCs w:val="18"/>
              </w:rPr>
              <w:t xml:space="preserve">require less than 10 minutes each to administer or perform and require little equipment, making them feasible in most settings. </w:t>
            </w:r>
            <w:r w:rsidR="002D476A" w:rsidRPr="00907846">
              <w:rPr>
                <w:sz w:val="18"/>
                <w:szCs w:val="18"/>
              </w:rPr>
              <w:t xml:space="preserve">This article demonstrates the ability of the TUG to distinguish “fallers” and “non-fallers” in </w:t>
            </w:r>
            <w:r w:rsidR="00AB23B1" w:rsidRPr="00907846">
              <w:rPr>
                <w:sz w:val="18"/>
                <w:szCs w:val="18"/>
              </w:rPr>
              <w:t xml:space="preserve">patients post-stroke, which </w:t>
            </w:r>
            <w:r w:rsidR="00821DAF" w:rsidRPr="00907846">
              <w:rPr>
                <w:sz w:val="18"/>
                <w:szCs w:val="18"/>
              </w:rPr>
              <w:t xml:space="preserve">is clinically important information that allows a physical therapist to </w:t>
            </w:r>
            <w:r w:rsidR="00AC3596" w:rsidRPr="00907846">
              <w:rPr>
                <w:sz w:val="18"/>
                <w:szCs w:val="18"/>
              </w:rPr>
              <w:t>make c</w:t>
            </w:r>
            <w:r w:rsidR="00E25AD6" w:rsidRPr="00907846">
              <w:rPr>
                <w:sz w:val="18"/>
                <w:szCs w:val="18"/>
              </w:rPr>
              <w:t>l</w:t>
            </w:r>
            <w:r w:rsidR="00AC3596" w:rsidRPr="00907846">
              <w:rPr>
                <w:sz w:val="18"/>
                <w:szCs w:val="18"/>
              </w:rPr>
              <w:t xml:space="preserve">inical judgments about future care and recovery. </w:t>
            </w:r>
            <w:r w:rsidR="00985930" w:rsidRPr="00907846">
              <w:rPr>
                <w:sz w:val="18"/>
                <w:szCs w:val="18"/>
              </w:rPr>
              <w:t xml:space="preserve">While this article mentions the use of other </w:t>
            </w:r>
            <w:r w:rsidR="001A65E5" w:rsidRPr="00907846">
              <w:rPr>
                <w:sz w:val="18"/>
                <w:szCs w:val="18"/>
              </w:rPr>
              <w:t xml:space="preserve">predictors of falls including age, gender, use of assistive devices, and stroke severity, this </w:t>
            </w:r>
            <w:r w:rsidR="008F19E4" w:rsidRPr="00907846">
              <w:rPr>
                <w:sz w:val="18"/>
                <w:szCs w:val="18"/>
              </w:rPr>
              <w:t xml:space="preserve">study did not find them to be significant. </w:t>
            </w:r>
            <w:r w:rsidR="009B3F01" w:rsidRPr="00907846">
              <w:rPr>
                <w:sz w:val="18"/>
                <w:szCs w:val="18"/>
              </w:rPr>
              <w:t xml:space="preserve">Thus, the use of the TUG appears to </w:t>
            </w:r>
            <w:r w:rsidR="00855661" w:rsidRPr="00907846">
              <w:rPr>
                <w:sz w:val="18"/>
                <w:szCs w:val="18"/>
              </w:rPr>
              <w:t xml:space="preserve">be an appropriate and valid measure of </w:t>
            </w:r>
            <w:r w:rsidR="00E31028" w:rsidRPr="00907846">
              <w:rPr>
                <w:sz w:val="18"/>
                <w:szCs w:val="18"/>
              </w:rPr>
              <w:t xml:space="preserve">falls risk in this population. </w:t>
            </w:r>
          </w:p>
          <w:p w14:paraId="017B8E71" w14:textId="3B20DFBA" w:rsidR="00DD640C" w:rsidRPr="00DD640C" w:rsidRDefault="0089396C" w:rsidP="00DD640C">
            <w:pPr>
              <w:spacing w:before="120" w:after="120"/>
              <w:rPr>
                <w:sz w:val="18"/>
                <w:szCs w:val="18"/>
              </w:rPr>
            </w:pPr>
            <w:r w:rsidRPr="00907846">
              <w:rPr>
                <w:sz w:val="18"/>
                <w:szCs w:val="18"/>
              </w:rPr>
              <w:lastRenderedPageBreak/>
              <w:t>While this is not an intervention study, the study still offers valuable</w:t>
            </w:r>
            <w:r w:rsidR="00336A03" w:rsidRPr="00907846">
              <w:rPr>
                <w:sz w:val="18"/>
                <w:szCs w:val="18"/>
              </w:rPr>
              <w:t>, practical</w:t>
            </w:r>
            <w:r w:rsidRPr="00907846">
              <w:rPr>
                <w:sz w:val="18"/>
                <w:szCs w:val="18"/>
              </w:rPr>
              <w:t xml:space="preserve"> outcome measures</w:t>
            </w:r>
            <w:r w:rsidR="00C12A52">
              <w:rPr>
                <w:sz w:val="18"/>
                <w:szCs w:val="18"/>
              </w:rPr>
              <w:t xml:space="preserve"> with clinical utility</w:t>
            </w:r>
            <w:r w:rsidR="00146537" w:rsidRPr="00907846">
              <w:rPr>
                <w:sz w:val="18"/>
                <w:szCs w:val="18"/>
              </w:rPr>
              <w:t xml:space="preserve">. </w:t>
            </w:r>
            <w:r w:rsidR="00336A03" w:rsidRPr="00907846">
              <w:rPr>
                <w:sz w:val="18"/>
                <w:szCs w:val="18"/>
              </w:rPr>
              <w:t xml:space="preserve">This practicality is </w:t>
            </w:r>
            <w:r w:rsidR="00273171" w:rsidRPr="00907846">
              <w:rPr>
                <w:sz w:val="18"/>
                <w:szCs w:val="18"/>
              </w:rPr>
              <w:t xml:space="preserve">likely increased by the safety and </w:t>
            </w:r>
            <w:r w:rsidR="00DE6243" w:rsidRPr="00907846">
              <w:rPr>
                <w:sz w:val="18"/>
                <w:szCs w:val="18"/>
              </w:rPr>
              <w:t xml:space="preserve">beneficence </w:t>
            </w:r>
            <w:r w:rsidR="00BF11B7" w:rsidRPr="00907846">
              <w:rPr>
                <w:sz w:val="18"/>
                <w:szCs w:val="18"/>
              </w:rPr>
              <w:t>for patient</w:t>
            </w:r>
            <w:r w:rsidR="00B457C7" w:rsidRPr="00907846">
              <w:rPr>
                <w:sz w:val="18"/>
                <w:szCs w:val="18"/>
              </w:rPr>
              <w:t xml:space="preserve">s. </w:t>
            </w:r>
            <w:r w:rsidR="006C3FEA" w:rsidRPr="00907846">
              <w:rPr>
                <w:sz w:val="18"/>
                <w:szCs w:val="18"/>
              </w:rPr>
              <w:t xml:space="preserve">There is very little risk for adverse outcome or danger via the use of these measures. </w:t>
            </w:r>
            <w:r w:rsidR="009E3790" w:rsidRPr="00907846">
              <w:rPr>
                <w:sz w:val="18"/>
                <w:szCs w:val="18"/>
              </w:rPr>
              <w:t>In fact, the TUG allows for the use of assistive devices during the test</w:t>
            </w:r>
            <w:r w:rsidR="00520043" w:rsidRPr="00907846">
              <w:rPr>
                <w:sz w:val="18"/>
                <w:szCs w:val="18"/>
              </w:rPr>
              <w:t>, which is a need for many stroke patients</w:t>
            </w:r>
            <w:r w:rsidR="009E3790" w:rsidRPr="00907846">
              <w:rPr>
                <w:sz w:val="18"/>
                <w:szCs w:val="18"/>
              </w:rPr>
              <w:t xml:space="preserve">. </w:t>
            </w:r>
            <w:r w:rsidR="006C3FEA" w:rsidRPr="00907846">
              <w:rPr>
                <w:sz w:val="18"/>
                <w:szCs w:val="18"/>
              </w:rPr>
              <w:t>I</w:t>
            </w:r>
            <w:r w:rsidR="00C047E7" w:rsidRPr="00907846">
              <w:rPr>
                <w:sz w:val="18"/>
                <w:szCs w:val="18"/>
              </w:rPr>
              <w:t>n</w:t>
            </w:r>
            <w:r w:rsidR="006C3FEA" w:rsidRPr="00907846">
              <w:rPr>
                <w:sz w:val="18"/>
                <w:szCs w:val="18"/>
              </w:rPr>
              <w:t xml:space="preserve"> addition, if patients trust their physical therapist and </w:t>
            </w:r>
            <w:r w:rsidR="00C047E7" w:rsidRPr="00907846">
              <w:rPr>
                <w:sz w:val="18"/>
                <w:szCs w:val="18"/>
              </w:rPr>
              <w:t>evidence in the research, these measures are appropriate to use.</w:t>
            </w:r>
          </w:p>
        </w:tc>
      </w:tr>
    </w:tbl>
    <w:p w14:paraId="2F3F3F6A" w14:textId="77777777" w:rsidR="001D4F60" w:rsidRPr="001D4F60" w:rsidRDefault="001D4F60" w:rsidP="001D4F60">
      <w:pPr>
        <w:spacing w:before="240" w:after="240"/>
        <w:rPr>
          <w:b/>
          <w:sz w:val="18"/>
          <w:szCs w:val="18"/>
        </w:rPr>
      </w:pPr>
    </w:p>
    <w:p w14:paraId="1D988664" w14:textId="77777777" w:rsidR="00925B80" w:rsidRDefault="00925B80">
      <w:pPr>
        <w:rPr>
          <w:b/>
          <w:sz w:val="18"/>
          <w:szCs w:val="18"/>
        </w:rPr>
      </w:pPr>
      <w:r>
        <w:rPr>
          <w:b/>
          <w:sz w:val="18"/>
          <w:szCs w:val="18"/>
        </w:rPr>
        <w:br w:type="page"/>
      </w:r>
    </w:p>
    <w:p w14:paraId="28709B01" w14:textId="1162FD35" w:rsidR="00D018FF" w:rsidRDefault="009A38BC" w:rsidP="001E5719">
      <w:pPr>
        <w:spacing w:before="120" w:after="120"/>
        <w:rPr>
          <w:b/>
          <w:sz w:val="18"/>
          <w:szCs w:val="18"/>
        </w:rPr>
      </w:pPr>
      <w:r>
        <w:rPr>
          <w:b/>
          <w:sz w:val="18"/>
          <w:szCs w:val="18"/>
        </w:rPr>
        <w:lastRenderedPageBreak/>
        <w:t xml:space="preserve">SYNTHESIS AND </w:t>
      </w:r>
      <w:r w:rsidR="00B631A9">
        <w:rPr>
          <w:b/>
          <w:sz w:val="18"/>
          <w:szCs w:val="18"/>
        </w:rPr>
        <w:t xml:space="preserve">CLINICAL </w:t>
      </w:r>
      <w:r>
        <w:rPr>
          <w:b/>
          <w:sz w:val="18"/>
          <w:szCs w:val="18"/>
        </w:rPr>
        <w:t>IMPLICATIONS</w:t>
      </w:r>
    </w:p>
    <w:p w14:paraId="02F73282"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651E3913" w14:textId="77777777" w:rsidTr="002F16E1">
        <w:tc>
          <w:tcPr>
            <w:tcW w:w="10421" w:type="dxa"/>
            <w:shd w:val="clear" w:color="auto" w:fill="auto"/>
          </w:tcPr>
          <w:p w14:paraId="5FEEB494" w14:textId="39D30035" w:rsidR="00902046" w:rsidRDefault="004370C0" w:rsidP="00925B80">
            <w:pPr>
              <w:spacing w:before="120" w:after="120"/>
              <w:rPr>
                <w:b/>
                <w:bCs/>
                <w:sz w:val="18"/>
                <w:szCs w:val="18"/>
              </w:rPr>
            </w:pPr>
            <w:r>
              <w:rPr>
                <w:b/>
                <w:bCs/>
                <w:sz w:val="18"/>
                <w:szCs w:val="18"/>
              </w:rPr>
              <w:t>Synthesis of Evidence</w:t>
            </w:r>
          </w:p>
          <w:p w14:paraId="1E940E5E" w14:textId="6C589E11" w:rsidR="008179A7" w:rsidRPr="00F338EB" w:rsidRDefault="00E3504B" w:rsidP="00925B80">
            <w:pPr>
              <w:spacing w:before="120" w:after="120"/>
              <w:rPr>
                <w:sz w:val="18"/>
                <w:szCs w:val="18"/>
              </w:rPr>
            </w:pPr>
            <w:r w:rsidRPr="00F338EB">
              <w:rPr>
                <w:sz w:val="18"/>
                <w:szCs w:val="18"/>
              </w:rPr>
              <w:t>Both of these studies demonstrate findings that support the use of the TUG for predicting falls in individuals post-stroke</w:t>
            </w:r>
            <w:r w:rsidR="007B39BB" w:rsidRPr="00F338EB">
              <w:rPr>
                <w:sz w:val="18"/>
                <w:szCs w:val="18"/>
              </w:rPr>
              <w:t>,</w:t>
            </w:r>
            <w:r w:rsidR="00162035">
              <w:rPr>
                <w:sz w:val="18"/>
                <w:szCs w:val="18"/>
                <w:vertAlign w:val="superscript"/>
              </w:rPr>
              <w:t>1,3</w:t>
            </w:r>
            <w:r w:rsidR="007B39BB" w:rsidRPr="00F338EB">
              <w:rPr>
                <w:sz w:val="18"/>
                <w:szCs w:val="18"/>
              </w:rPr>
              <w:t xml:space="preserve"> however there is no single study that directly addresses the clinical question</w:t>
            </w:r>
            <w:r w:rsidRPr="00F338EB">
              <w:rPr>
                <w:sz w:val="18"/>
                <w:szCs w:val="18"/>
              </w:rPr>
              <w:t xml:space="preserve">. </w:t>
            </w:r>
            <w:r w:rsidR="00AC1184" w:rsidRPr="00F338EB">
              <w:rPr>
                <w:sz w:val="18"/>
                <w:szCs w:val="18"/>
              </w:rPr>
              <w:t xml:space="preserve">While there are certainly other variables and tools that can predict falls as well as or better than the TUG, such as a depth-sensing camera, gait features, or characteristics of the actual stroke, </w:t>
            </w:r>
            <w:r w:rsidR="009E3C92" w:rsidRPr="00F338EB">
              <w:rPr>
                <w:sz w:val="18"/>
                <w:szCs w:val="18"/>
              </w:rPr>
              <w:t>the</w:t>
            </w:r>
            <w:r w:rsidR="0032196F" w:rsidRPr="00F338EB">
              <w:rPr>
                <w:sz w:val="18"/>
                <w:szCs w:val="18"/>
              </w:rPr>
              <w:t xml:space="preserve">re is valid evidence that </w:t>
            </w:r>
            <w:r w:rsidR="0049105F" w:rsidRPr="00F338EB">
              <w:rPr>
                <w:sz w:val="18"/>
                <w:szCs w:val="18"/>
              </w:rPr>
              <w:t xml:space="preserve">the TUG is an appropriate prognostic tool for falls </w:t>
            </w:r>
            <w:r w:rsidR="00A21E55" w:rsidRPr="00F338EB">
              <w:rPr>
                <w:sz w:val="18"/>
                <w:szCs w:val="18"/>
              </w:rPr>
              <w:t>prediction</w:t>
            </w:r>
            <w:r w:rsidR="00E01ED9">
              <w:rPr>
                <w:sz w:val="18"/>
                <w:szCs w:val="18"/>
              </w:rPr>
              <w:t xml:space="preserve"> in the acute and subacute time periods.</w:t>
            </w:r>
          </w:p>
          <w:p w14:paraId="66F49B58" w14:textId="6061A16E" w:rsidR="004370C0" w:rsidRPr="00925B80" w:rsidRDefault="006050BB" w:rsidP="00925B80">
            <w:pPr>
              <w:spacing w:before="120" w:after="120"/>
              <w:rPr>
                <w:sz w:val="18"/>
                <w:szCs w:val="18"/>
              </w:rPr>
            </w:pPr>
            <w:r w:rsidRPr="00F338EB">
              <w:rPr>
                <w:sz w:val="18"/>
                <w:szCs w:val="18"/>
              </w:rPr>
              <w:t>Both of these studies demonstrate fair to good validity</w:t>
            </w:r>
            <w:r w:rsidR="00E01ED9">
              <w:rPr>
                <w:sz w:val="18"/>
                <w:szCs w:val="18"/>
              </w:rPr>
              <w:t>;</w:t>
            </w:r>
            <w:r w:rsidR="008179A7" w:rsidRPr="00F338EB">
              <w:rPr>
                <w:sz w:val="18"/>
                <w:szCs w:val="18"/>
              </w:rPr>
              <w:t xml:space="preserve"> however, their study designs do not demonstrate high levels of evidence. </w:t>
            </w:r>
            <w:r w:rsidR="00003E39" w:rsidRPr="00F338EB">
              <w:rPr>
                <w:sz w:val="18"/>
                <w:szCs w:val="18"/>
              </w:rPr>
              <w:t xml:space="preserve">Quality was decreased by small sample sizes, lack of blinding or concealment, study design, and </w:t>
            </w:r>
            <w:r w:rsidR="006E7DF0" w:rsidRPr="00F338EB">
              <w:rPr>
                <w:sz w:val="18"/>
                <w:szCs w:val="18"/>
              </w:rPr>
              <w:t xml:space="preserve">lack of a control group. </w:t>
            </w:r>
            <w:r w:rsidR="005A50CF" w:rsidRPr="00F338EB">
              <w:rPr>
                <w:sz w:val="18"/>
                <w:szCs w:val="18"/>
              </w:rPr>
              <w:t>These</w:t>
            </w:r>
            <w:r w:rsidR="00466D70" w:rsidRPr="00F338EB">
              <w:rPr>
                <w:sz w:val="18"/>
                <w:szCs w:val="18"/>
              </w:rPr>
              <w:t xml:space="preserve"> w</w:t>
            </w:r>
            <w:r w:rsidR="005A50CF" w:rsidRPr="00F338EB">
              <w:rPr>
                <w:sz w:val="18"/>
                <w:szCs w:val="18"/>
              </w:rPr>
              <w:t>ere</w:t>
            </w:r>
            <w:r w:rsidR="00466D70" w:rsidRPr="00F338EB">
              <w:rPr>
                <w:sz w:val="18"/>
                <w:szCs w:val="18"/>
              </w:rPr>
              <w:t xml:space="preserve"> common theme</w:t>
            </w:r>
            <w:r w:rsidR="005A50CF" w:rsidRPr="00F338EB">
              <w:rPr>
                <w:sz w:val="18"/>
                <w:szCs w:val="18"/>
              </w:rPr>
              <w:t>s</w:t>
            </w:r>
            <w:r w:rsidR="00466D70" w:rsidRPr="00F338EB">
              <w:rPr>
                <w:sz w:val="18"/>
                <w:szCs w:val="18"/>
              </w:rPr>
              <w:t xml:space="preserve"> throughout my search for evidence on this clinical question. Most studies were non-experimental, observational designs which simply cannot offer as high</w:t>
            </w:r>
            <w:r w:rsidR="0083149A" w:rsidRPr="00F338EB">
              <w:rPr>
                <w:sz w:val="18"/>
                <w:szCs w:val="18"/>
              </w:rPr>
              <w:t>-</w:t>
            </w:r>
            <w:r w:rsidR="00466D70" w:rsidRPr="00F338EB">
              <w:rPr>
                <w:sz w:val="18"/>
                <w:szCs w:val="18"/>
              </w:rPr>
              <w:t>quality evidence</w:t>
            </w:r>
            <w:r w:rsidR="00162035">
              <w:rPr>
                <w:sz w:val="18"/>
                <w:szCs w:val="18"/>
              </w:rPr>
              <w:t xml:space="preserve"> as a systematic review or RC</w:t>
            </w:r>
            <w:r w:rsidR="00CB665F">
              <w:rPr>
                <w:sz w:val="18"/>
                <w:szCs w:val="18"/>
              </w:rPr>
              <w:t>T</w:t>
            </w:r>
            <w:r w:rsidR="00466D70" w:rsidRPr="00F338EB">
              <w:rPr>
                <w:sz w:val="18"/>
                <w:szCs w:val="18"/>
              </w:rPr>
              <w:t>.</w:t>
            </w:r>
            <w:r w:rsidR="0083149A" w:rsidRPr="00F338EB">
              <w:rPr>
                <w:sz w:val="18"/>
                <w:szCs w:val="18"/>
              </w:rPr>
              <w:t xml:space="preserve"> </w:t>
            </w:r>
            <w:r w:rsidR="004F186C" w:rsidRPr="00F338EB">
              <w:rPr>
                <w:sz w:val="18"/>
                <w:szCs w:val="18"/>
              </w:rPr>
              <w:t xml:space="preserve">These study designs do not lend themselves well to </w:t>
            </w:r>
            <w:r w:rsidR="00EC3DB6" w:rsidRPr="00F338EB">
              <w:rPr>
                <w:sz w:val="18"/>
                <w:szCs w:val="18"/>
              </w:rPr>
              <w:t>blinding or concealment of information, which can create unwanted bias. Their</w:t>
            </w:r>
            <w:r w:rsidR="0064589D" w:rsidRPr="00F338EB">
              <w:rPr>
                <w:sz w:val="18"/>
                <w:szCs w:val="18"/>
              </w:rPr>
              <w:t xml:space="preserve"> small sample sizes</w:t>
            </w:r>
            <w:r w:rsidR="00EC3DB6" w:rsidRPr="00F338EB">
              <w:rPr>
                <w:sz w:val="18"/>
                <w:szCs w:val="18"/>
              </w:rPr>
              <w:t xml:space="preserve"> also</w:t>
            </w:r>
            <w:r w:rsidR="0064589D" w:rsidRPr="00F338EB">
              <w:rPr>
                <w:sz w:val="18"/>
                <w:szCs w:val="18"/>
              </w:rPr>
              <w:t xml:space="preserve"> reduce the power</w:t>
            </w:r>
            <w:r w:rsidR="005A50CF" w:rsidRPr="00F338EB">
              <w:rPr>
                <w:sz w:val="18"/>
                <w:szCs w:val="18"/>
              </w:rPr>
              <w:t xml:space="preserve"> and </w:t>
            </w:r>
            <w:r w:rsidR="00EC3DB6" w:rsidRPr="00F338EB">
              <w:rPr>
                <w:sz w:val="18"/>
                <w:szCs w:val="18"/>
              </w:rPr>
              <w:t>quality of the studies</w:t>
            </w:r>
            <w:r w:rsidR="0064589D" w:rsidRPr="00F338EB">
              <w:rPr>
                <w:sz w:val="18"/>
                <w:szCs w:val="18"/>
              </w:rPr>
              <w:t xml:space="preserve">. </w:t>
            </w:r>
            <w:r w:rsidR="0083149A" w:rsidRPr="00F338EB">
              <w:rPr>
                <w:sz w:val="18"/>
                <w:szCs w:val="18"/>
              </w:rPr>
              <w:t xml:space="preserve">Thus, the overall evidence regarding the ability of the TUG and other measures to </w:t>
            </w:r>
            <w:r w:rsidR="003E7A7E" w:rsidRPr="00F338EB">
              <w:rPr>
                <w:sz w:val="18"/>
                <w:szCs w:val="18"/>
              </w:rPr>
              <w:t xml:space="preserve">predict falls in patients post-stroke </w:t>
            </w:r>
            <w:r w:rsidR="009003CB" w:rsidRPr="00F338EB">
              <w:rPr>
                <w:sz w:val="18"/>
                <w:szCs w:val="18"/>
              </w:rPr>
              <w:t xml:space="preserve">is limited in </w:t>
            </w:r>
            <w:r w:rsidR="00E01ED9">
              <w:rPr>
                <w:sz w:val="18"/>
                <w:szCs w:val="18"/>
              </w:rPr>
              <w:t xml:space="preserve">both </w:t>
            </w:r>
            <w:r w:rsidR="009003CB" w:rsidRPr="00F338EB">
              <w:rPr>
                <w:sz w:val="18"/>
                <w:szCs w:val="18"/>
              </w:rPr>
              <w:t xml:space="preserve">quality and number. </w:t>
            </w:r>
          </w:p>
          <w:p w14:paraId="62E9A991" w14:textId="57C3CDB9" w:rsidR="004370C0" w:rsidRPr="00925B80" w:rsidRDefault="004370C0" w:rsidP="00925B80">
            <w:pPr>
              <w:spacing w:before="120" w:after="120"/>
              <w:rPr>
                <w:b/>
                <w:bCs/>
                <w:sz w:val="18"/>
                <w:szCs w:val="18"/>
              </w:rPr>
            </w:pPr>
            <w:r w:rsidRPr="00925B80">
              <w:rPr>
                <w:b/>
                <w:bCs/>
                <w:sz w:val="18"/>
                <w:szCs w:val="18"/>
              </w:rPr>
              <w:t>Implications for Clinical Practice</w:t>
            </w:r>
          </w:p>
          <w:p w14:paraId="6E82F655" w14:textId="0A1D8E10" w:rsidR="00925B80" w:rsidRPr="00925B80" w:rsidRDefault="000F4C34" w:rsidP="00925B80">
            <w:pPr>
              <w:spacing w:before="120" w:after="120"/>
              <w:rPr>
                <w:sz w:val="18"/>
                <w:szCs w:val="18"/>
              </w:rPr>
            </w:pPr>
            <w:r w:rsidRPr="00925B80">
              <w:rPr>
                <w:sz w:val="18"/>
                <w:szCs w:val="18"/>
              </w:rPr>
              <w:t xml:space="preserve">As mentioned previously in this CAT, the TUG is both feasible, and clinically relevant in most physical therapy settings. </w:t>
            </w:r>
            <w:r w:rsidR="00E75111" w:rsidRPr="00925B80">
              <w:rPr>
                <w:sz w:val="18"/>
                <w:szCs w:val="18"/>
              </w:rPr>
              <w:t xml:space="preserve">Physical therapists are trained and able to perform the TUG in any setting because of its simplicity and low equipment requirement. </w:t>
            </w:r>
            <w:r w:rsidR="00D72D14">
              <w:rPr>
                <w:sz w:val="18"/>
                <w:szCs w:val="18"/>
              </w:rPr>
              <w:t xml:space="preserve">In fact, administration of the TUG requires less time than </w:t>
            </w:r>
            <w:r w:rsidR="006239DC">
              <w:rPr>
                <w:sz w:val="18"/>
                <w:szCs w:val="18"/>
              </w:rPr>
              <w:t xml:space="preserve">other frequently selected measures </w:t>
            </w:r>
            <w:r w:rsidR="00D72D14">
              <w:rPr>
                <w:sz w:val="18"/>
                <w:szCs w:val="18"/>
              </w:rPr>
              <w:t>such as the Berg Balance scale.</w:t>
            </w:r>
            <w:r w:rsidR="00D72D14">
              <w:rPr>
                <w:sz w:val="18"/>
                <w:szCs w:val="18"/>
                <w:vertAlign w:val="superscript"/>
              </w:rPr>
              <w:t>1</w:t>
            </w:r>
            <w:r w:rsidR="00D72D14">
              <w:rPr>
                <w:sz w:val="18"/>
                <w:szCs w:val="18"/>
              </w:rPr>
              <w:t xml:space="preserve"> </w:t>
            </w:r>
            <w:r w:rsidR="005B024B" w:rsidRPr="00925B80">
              <w:rPr>
                <w:sz w:val="18"/>
                <w:szCs w:val="18"/>
              </w:rPr>
              <w:t xml:space="preserve">There is low risk involved in administering and performing this test, which may increase a patient’s willingness to participate, despite the fear of falling that often accompanies a stroke. </w:t>
            </w:r>
          </w:p>
          <w:p w14:paraId="33202E0C" w14:textId="6C36CC00" w:rsidR="00925B80" w:rsidRPr="00925B80" w:rsidRDefault="00607E6A" w:rsidP="00925B80">
            <w:pPr>
              <w:spacing w:before="120" w:after="120"/>
              <w:rPr>
                <w:sz w:val="18"/>
                <w:szCs w:val="18"/>
              </w:rPr>
            </w:pPr>
            <w:r w:rsidRPr="00925B80">
              <w:rPr>
                <w:sz w:val="18"/>
                <w:szCs w:val="18"/>
              </w:rPr>
              <w:t xml:space="preserve">In addition to the validity and statistical significance of these studies, it is important to consider the </w:t>
            </w:r>
            <w:r w:rsidR="007F2643" w:rsidRPr="00925B80">
              <w:rPr>
                <w:sz w:val="18"/>
                <w:szCs w:val="18"/>
              </w:rPr>
              <w:t xml:space="preserve">clinical expertise and judgment required to use these measures, in addition to the patients’ preferences. </w:t>
            </w:r>
            <w:r w:rsidR="007C1EE8" w:rsidRPr="00925B80">
              <w:rPr>
                <w:sz w:val="18"/>
                <w:szCs w:val="18"/>
              </w:rPr>
              <w:t xml:space="preserve">As mentioned, physical therapists are able to perform the TUG (or other measures mentioned) with their training, education, and clinical expertise. Therapists are also equipped to administer this test safely and with no cost to the patient or the therapist. </w:t>
            </w:r>
            <w:r w:rsidR="00187859" w:rsidRPr="00925B80">
              <w:rPr>
                <w:sz w:val="18"/>
                <w:szCs w:val="18"/>
              </w:rPr>
              <w:t xml:space="preserve">However, </w:t>
            </w:r>
            <w:r w:rsidR="00456F6F" w:rsidRPr="00925B80">
              <w:rPr>
                <w:sz w:val="18"/>
                <w:szCs w:val="18"/>
              </w:rPr>
              <w:t>this is most successful if</w:t>
            </w:r>
            <w:r w:rsidR="00187859" w:rsidRPr="00925B80">
              <w:rPr>
                <w:sz w:val="18"/>
                <w:szCs w:val="18"/>
              </w:rPr>
              <w:t xml:space="preserve"> the patient </w:t>
            </w:r>
            <w:r w:rsidR="00456F6F" w:rsidRPr="00925B80">
              <w:rPr>
                <w:sz w:val="18"/>
                <w:szCs w:val="18"/>
              </w:rPr>
              <w:t>has</w:t>
            </w:r>
            <w:r w:rsidR="00187859" w:rsidRPr="00925B80">
              <w:rPr>
                <w:sz w:val="18"/>
                <w:szCs w:val="18"/>
              </w:rPr>
              <w:t xml:space="preserve"> confidence in the therapist, appreciate</w:t>
            </w:r>
            <w:r w:rsidR="00456F6F" w:rsidRPr="00925B80">
              <w:rPr>
                <w:sz w:val="18"/>
                <w:szCs w:val="18"/>
              </w:rPr>
              <w:t>s</w:t>
            </w:r>
            <w:r w:rsidR="00187859" w:rsidRPr="00925B80">
              <w:rPr>
                <w:sz w:val="18"/>
                <w:szCs w:val="18"/>
              </w:rPr>
              <w:t xml:space="preserve"> and value</w:t>
            </w:r>
            <w:r w:rsidR="00456F6F" w:rsidRPr="00925B80">
              <w:rPr>
                <w:sz w:val="18"/>
                <w:szCs w:val="18"/>
              </w:rPr>
              <w:t>s</w:t>
            </w:r>
            <w:r w:rsidR="00187859" w:rsidRPr="00925B80">
              <w:rPr>
                <w:sz w:val="18"/>
                <w:szCs w:val="18"/>
              </w:rPr>
              <w:t xml:space="preserve"> scientific evidence, and </w:t>
            </w:r>
            <w:r w:rsidR="00456F6F" w:rsidRPr="00925B80">
              <w:rPr>
                <w:sz w:val="18"/>
                <w:szCs w:val="18"/>
              </w:rPr>
              <w:t xml:space="preserve">believes that the benefits outweigh the costs of the assessment. </w:t>
            </w:r>
          </w:p>
          <w:p w14:paraId="664F9E48" w14:textId="0B4F6862" w:rsidR="004370C0" w:rsidRPr="00925B80" w:rsidRDefault="00C8428E" w:rsidP="00925B80">
            <w:pPr>
              <w:spacing w:before="120" w:after="120"/>
              <w:rPr>
                <w:sz w:val="18"/>
                <w:szCs w:val="18"/>
              </w:rPr>
            </w:pPr>
            <w:r w:rsidRPr="00925B80">
              <w:rPr>
                <w:sz w:val="18"/>
                <w:szCs w:val="18"/>
              </w:rPr>
              <w:t>Because of the falls that occurred in these patients at home, while walking, during transfers, and while negotiating stairs</w:t>
            </w:r>
            <w:r w:rsidR="00D83D30" w:rsidRPr="00925B80">
              <w:rPr>
                <w:sz w:val="18"/>
                <w:szCs w:val="18"/>
              </w:rPr>
              <w:t>,</w:t>
            </w:r>
            <w:r w:rsidR="00D83D30" w:rsidRPr="00925B80">
              <w:rPr>
                <w:sz w:val="18"/>
                <w:szCs w:val="18"/>
                <w:vertAlign w:val="superscript"/>
              </w:rPr>
              <w:t>1,3</w:t>
            </w:r>
            <w:r w:rsidR="00D83D30" w:rsidRPr="00925B80">
              <w:rPr>
                <w:sz w:val="18"/>
                <w:szCs w:val="18"/>
              </w:rPr>
              <w:t xml:space="preserve"> </w:t>
            </w:r>
            <w:r w:rsidR="00BF0BC7">
              <w:rPr>
                <w:sz w:val="18"/>
                <w:szCs w:val="18"/>
              </w:rPr>
              <w:t>there is a substantial</w:t>
            </w:r>
            <w:r w:rsidRPr="00925B80">
              <w:rPr>
                <w:sz w:val="18"/>
                <w:szCs w:val="18"/>
              </w:rPr>
              <w:t xml:space="preserve"> need for falls prevention programs for these patients and their caregivers </w:t>
            </w:r>
            <w:r w:rsidR="00BF0BC7">
              <w:rPr>
                <w:sz w:val="18"/>
                <w:szCs w:val="18"/>
              </w:rPr>
              <w:t>to appropriately and effectively</w:t>
            </w:r>
            <w:r w:rsidRPr="00925B80">
              <w:rPr>
                <w:sz w:val="18"/>
                <w:szCs w:val="18"/>
              </w:rPr>
              <w:t xml:space="preserve"> educate them on </w:t>
            </w:r>
            <w:r w:rsidR="00382260" w:rsidRPr="00925B80">
              <w:rPr>
                <w:sz w:val="18"/>
                <w:szCs w:val="18"/>
              </w:rPr>
              <w:t xml:space="preserve">characteristics of </w:t>
            </w:r>
            <w:r w:rsidR="000D38CA" w:rsidRPr="00925B80">
              <w:rPr>
                <w:sz w:val="18"/>
                <w:szCs w:val="18"/>
              </w:rPr>
              <w:t xml:space="preserve">fall risk, </w:t>
            </w:r>
            <w:r w:rsidR="00382260" w:rsidRPr="00925B80">
              <w:rPr>
                <w:sz w:val="18"/>
                <w:szCs w:val="18"/>
              </w:rPr>
              <w:t xml:space="preserve">preventative exercises, home safety, and </w:t>
            </w:r>
            <w:r w:rsidR="00ED145F" w:rsidRPr="00925B80">
              <w:rPr>
                <w:sz w:val="18"/>
                <w:szCs w:val="18"/>
              </w:rPr>
              <w:t xml:space="preserve">other medical </w:t>
            </w:r>
            <w:r w:rsidR="009D363D" w:rsidRPr="00925B80">
              <w:rPr>
                <w:sz w:val="18"/>
                <w:szCs w:val="18"/>
              </w:rPr>
              <w:t>evaluations</w:t>
            </w:r>
            <w:r w:rsidR="00ED145F" w:rsidRPr="00925B80">
              <w:rPr>
                <w:sz w:val="18"/>
                <w:szCs w:val="18"/>
              </w:rPr>
              <w:t xml:space="preserve"> to reduce their risk for falling. </w:t>
            </w:r>
            <w:r w:rsidR="00BF0BC7">
              <w:rPr>
                <w:sz w:val="18"/>
                <w:szCs w:val="18"/>
              </w:rPr>
              <w:t xml:space="preserve"> </w:t>
            </w:r>
          </w:p>
          <w:p w14:paraId="747D3DC9" w14:textId="20C919EF" w:rsidR="004370C0" w:rsidRPr="00925B80" w:rsidRDefault="004370C0" w:rsidP="00925B80">
            <w:pPr>
              <w:spacing w:before="120" w:after="120"/>
              <w:rPr>
                <w:b/>
                <w:bCs/>
                <w:sz w:val="18"/>
                <w:szCs w:val="18"/>
              </w:rPr>
            </w:pPr>
            <w:r w:rsidRPr="00925B80">
              <w:rPr>
                <w:b/>
                <w:bCs/>
                <w:sz w:val="18"/>
                <w:szCs w:val="18"/>
              </w:rPr>
              <w:t>Implications for Future Research</w:t>
            </w:r>
          </w:p>
          <w:p w14:paraId="40F90141" w14:textId="026C1CDF" w:rsidR="001E375B" w:rsidRPr="00925B80" w:rsidRDefault="00C12853" w:rsidP="00925B80">
            <w:pPr>
              <w:spacing w:before="120" w:after="120"/>
              <w:rPr>
                <w:sz w:val="18"/>
                <w:szCs w:val="18"/>
              </w:rPr>
            </w:pPr>
            <w:r w:rsidRPr="00925B80">
              <w:rPr>
                <w:sz w:val="18"/>
                <w:szCs w:val="18"/>
              </w:rPr>
              <w:t xml:space="preserve">There is a great need for future research </w:t>
            </w:r>
            <w:r w:rsidR="00AE2F87" w:rsidRPr="00925B80">
              <w:rPr>
                <w:sz w:val="18"/>
                <w:szCs w:val="18"/>
              </w:rPr>
              <w:t>to reduce falls in chronic stroke patients</w:t>
            </w:r>
            <w:r w:rsidRPr="00925B80">
              <w:rPr>
                <w:sz w:val="18"/>
                <w:szCs w:val="18"/>
              </w:rPr>
              <w:t xml:space="preserve">. </w:t>
            </w:r>
            <w:r w:rsidR="0049306D" w:rsidRPr="00925B80">
              <w:rPr>
                <w:sz w:val="18"/>
                <w:szCs w:val="18"/>
              </w:rPr>
              <w:t xml:space="preserve">Future </w:t>
            </w:r>
            <w:r w:rsidR="00CB665F">
              <w:rPr>
                <w:sz w:val="18"/>
                <w:szCs w:val="18"/>
              </w:rPr>
              <w:t>research</w:t>
            </w:r>
            <w:r w:rsidR="0049306D" w:rsidRPr="00925B80">
              <w:rPr>
                <w:sz w:val="18"/>
                <w:szCs w:val="18"/>
              </w:rPr>
              <w:t xml:space="preserve"> should use </w:t>
            </w:r>
            <w:r w:rsidR="00D74F8A" w:rsidRPr="00925B80">
              <w:rPr>
                <w:sz w:val="18"/>
                <w:szCs w:val="18"/>
              </w:rPr>
              <w:t>study designs that have higher level</w:t>
            </w:r>
            <w:r w:rsidR="00F94C9B">
              <w:rPr>
                <w:sz w:val="18"/>
                <w:szCs w:val="18"/>
              </w:rPr>
              <w:t>s</w:t>
            </w:r>
            <w:r w:rsidR="00D74F8A" w:rsidRPr="00925B80">
              <w:rPr>
                <w:sz w:val="18"/>
                <w:szCs w:val="18"/>
              </w:rPr>
              <w:t xml:space="preserve"> of evidence and quality. While there is a major lack of RCTs and systematic reviews for this clinical question, </w:t>
            </w:r>
            <w:r w:rsidR="009E4416" w:rsidRPr="00925B80">
              <w:rPr>
                <w:sz w:val="18"/>
                <w:szCs w:val="18"/>
              </w:rPr>
              <w:t xml:space="preserve">research may need to start simply with a longitudinal study </w:t>
            </w:r>
            <w:r w:rsidR="00101136" w:rsidRPr="00925B80">
              <w:rPr>
                <w:sz w:val="18"/>
                <w:szCs w:val="18"/>
              </w:rPr>
              <w:t>with patients post-stroke to determine falls-related factors.</w:t>
            </w:r>
            <w:r w:rsidR="00534393" w:rsidRPr="00925B80">
              <w:rPr>
                <w:sz w:val="18"/>
                <w:szCs w:val="18"/>
                <w:vertAlign w:val="superscript"/>
              </w:rPr>
              <w:t>1</w:t>
            </w:r>
            <w:r w:rsidR="002E590F" w:rsidRPr="00925B80">
              <w:rPr>
                <w:sz w:val="18"/>
                <w:szCs w:val="18"/>
              </w:rPr>
              <w:t xml:space="preserve"> The majority of studies that exist regarding the predictive ability of the TUG are cross-sectional studies with small samples and short follow-up periods.</w:t>
            </w:r>
            <w:r w:rsidR="00BB0DE4" w:rsidRPr="00925B80">
              <w:rPr>
                <w:sz w:val="18"/>
                <w:szCs w:val="18"/>
                <w:vertAlign w:val="superscript"/>
              </w:rPr>
              <w:t>1</w:t>
            </w:r>
            <w:r w:rsidR="002E590F" w:rsidRPr="00925B80">
              <w:rPr>
                <w:sz w:val="18"/>
                <w:szCs w:val="18"/>
              </w:rPr>
              <w:t xml:space="preserve"> Future studies </w:t>
            </w:r>
            <w:r w:rsidR="0064301F" w:rsidRPr="00925B80">
              <w:rPr>
                <w:sz w:val="18"/>
                <w:szCs w:val="18"/>
              </w:rPr>
              <w:t xml:space="preserve">should have more standardized, uniform methods including the time after stroke that patients are evaluated </w:t>
            </w:r>
            <w:r w:rsidR="001E58EC" w:rsidRPr="00925B80">
              <w:rPr>
                <w:sz w:val="18"/>
                <w:szCs w:val="18"/>
              </w:rPr>
              <w:t xml:space="preserve">in the study as well as </w:t>
            </w:r>
            <w:r w:rsidR="00B85D63" w:rsidRPr="00925B80">
              <w:rPr>
                <w:sz w:val="18"/>
                <w:szCs w:val="18"/>
              </w:rPr>
              <w:t>the methods for bias-reduction</w:t>
            </w:r>
            <w:r w:rsidR="0064301F" w:rsidRPr="00925B80">
              <w:rPr>
                <w:sz w:val="18"/>
                <w:szCs w:val="18"/>
              </w:rPr>
              <w:t xml:space="preserve"> used in these studies. </w:t>
            </w:r>
            <w:r w:rsidR="00B85D63" w:rsidRPr="00925B80">
              <w:rPr>
                <w:sz w:val="18"/>
                <w:szCs w:val="18"/>
              </w:rPr>
              <w:t>Both studies mention that there is currently no specific TUG cut-off point for falls prediction in the stroke population.</w:t>
            </w:r>
            <w:r w:rsidR="00BB0DE4" w:rsidRPr="00925B80">
              <w:rPr>
                <w:sz w:val="18"/>
                <w:szCs w:val="18"/>
                <w:vertAlign w:val="superscript"/>
              </w:rPr>
              <w:t>1,3</w:t>
            </w:r>
            <w:r w:rsidR="00B85D63" w:rsidRPr="00925B80">
              <w:rPr>
                <w:sz w:val="18"/>
                <w:szCs w:val="18"/>
              </w:rPr>
              <w:t xml:space="preserve"> This would be beneficial to identify in future research</w:t>
            </w:r>
            <w:r w:rsidR="00F94C9B">
              <w:rPr>
                <w:sz w:val="18"/>
                <w:szCs w:val="18"/>
              </w:rPr>
              <w:t xml:space="preserve"> as well</w:t>
            </w:r>
            <w:r w:rsidR="00B85D63" w:rsidRPr="00925B80">
              <w:rPr>
                <w:sz w:val="18"/>
                <w:szCs w:val="18"/>
              </w:rPr>
              <w:t>. If we can find a tool that is able to capture both mobility and balance after a stroke, the development of treatment and falls prevention interventions to reduce the number of stroke-related falls</w:t>
            </w:r>
            <w:r w:rsidR="00F94C9B">
              <w:rPr>
                <w:sz w:val="18"/>
                <w:szCs w:val="18"/>
              </w:rPr>
              <w:t xml:space="preserve"> would be significantly more effective and beneficial for both patients and clinicians</w:t>
            </w:r>
            <w:r w:rsidR="00534393" w:rsidRPr="00925B80">
              <w:rPr>
                <w:sz w:val="18"/>
                <w:szCs w:val="18"/>
              </w:rPr>
              <w:t>.</w:t>
            </w:r>
            <w:r w:rsidR="00534393" w:rsidRPr="00925B80">
              <w:rPr>
                <w:sz w:val="18"/>
                <w:szCs w:val="18"/>
                <w:vertAlign w:val="superscript"/>
              </w:rPr>
              <w:t>1</w:t>
            </w:r>
            <w:r w:rsidR="00B85D63" w:rsidRPr="00925B80">
              <w:rPr>
                <w:sz w:val="18"/>
                <w:szCs w:val="18"/>
              </w:rPr>
              <w:t xml:space="preserve"> </w:t>
            </w:r>
          </w:p>
          <w:p w14:paraId="4E2E667A" w14:textId="7AB3B600" w:rsidR="00E609EF" w:rsidRPr="007D35DE" w:rsidRDefault="00142B2F" w:rsidP="00925B80">
            <w:pPr>
              <w:spacing w:before="120" w:after="120"/>
              <w:rPr>
                <w:sz w:val="18"/>
                <w:szCs w:val="18"/>
              </w:rPr>
            </w:pPr>
            <w:r w:rsidRPr="00925B80">
              <w:rPr>
                <w:sz w:val="18"/>
                <w:szCs w:val="18"/>
              </w:rPr>
              <w:t>This clinical question attempts to compare the TUG to other clinical measures in their ability to predict falls after a stroke. The current evidence about other clinical measures, such as the Berg Balance scale, is mixed and conflicting</w:t>
            </w:r>
            <w:r w:rsidR="00646B02" w:rsidRPr="00925B80">
              <w:rPr>
                <w:sz w:val="18"/>
                <w:szCs w:val="18"/>
              </w:rPr>
              <w:t>.</w:t>
            </w:r>
            <w:r w:rsidR="00646B02" w:rsidRPr="00925B80">
              <w:rPr>
                <w:sz w:val="18"/>
                <w:szCs w:val="18"/>
                <w:vertAlign w:val="superscript"/>
              </w:rPr>
              <w:t>1</w:t>
            </w:r>
            <w:r w:rsidR="00646B02" w:rsidRPr="00925B80">
              <w:rPr>
                <w:sz w:val="18"/>
                <w:szCs w:val="18"/>
              </w:rPr>
              <w:t xml:space="preserve"> </w:t>
            </w:r>
            <w:r w:rsidR="004B536E" w:rsidRPr="00925B80">
              <w:rPr>
                <w:sz w:val="18"/>
                <w:szCs w:val="18"/>
              </w:rPr>
              <w:t>A study by Tilson</w:t>
            </w:r>
            <w:r w:rsidR="00956396" w:rsidRPr="00925B80">
              <w:rPr>
                <w:sz w:val="18"/>
                <w:szCs w:val="18"/>
                <w:vertAlign w:val="superscript"/>
              </w:rPr>
              <w:t>4</w:t>
            </w:r>
            <w:r w:rsidR="004B536E" w:rsidRPr="00925B80">
              <w:rPr>
                <w:sz w:val="18"/>
                <w:szCs w:val="18"/>
              </w:rPr>
              <w:t xml:space="preserve"> compared several screening tools in their ability to prospectively predict falls in patients post-stroke</w:t>
            </w:r>
            <w:r w:rsidR="00956396" w:rsidRPr="00925B80">
              <w:rPr>
                <w:sz w:val="18"/>
                <w:szCs w:val="18"/>
              </w:rPr>
              <w:t>.</w:t>
            </w:r>
            <w:r w:rsidR="00CB665F">
              <w:rPr>
                <w:sz w:val="18"/>
                <w:szCs w:val="18"/>
              </w:rPr>
              <w:t xml:space="preserve"> </w:t>
            </w:r>
            <w:r w:rsidR="004B536E" w:rsidRPr="00925B80">
              <w:rPr>
                <w:sz w:val="18"/>
                <w:szCs w:val="18"/>
              </w:rPr>
              <w:t xml:space="preserve">This study examined </w:t>
            </w:r>
            <w:r w:rsidR="0050303B" w:rsidRPr="00925B80">
              <w:rPr>
                <w:sz w:val="18"/>
                <w:szCs w:val="18"/>
              </w:rPr>
              <w:t>stroke location, stroke type, cognition, FIM scores, gait speed, 6MWT, ABC scale, and participation measures to determine which was the best indicator of fall risk.</w:t>
            </w:r>
            <w:r w:rsidR="00956396" w:rsidRPr="00925B80">
              <w:rPr>
                <w:sz w:val="18"/>
                <w:szCs w:val="18"/>
                <w:vertAlign w:val="superscript"/>
              </w:rPr>
              <w:t>4</w:t>
            </w:r>
            <w:r w:rsidR="0050303B" w:rsidRPr="00925B80">
              <w:rPr>
                <w:sz w:val="18"/>
                <w:szCs w:val="18"/>
              </w:rPr>
              <w:t xml:space="preserve"> While this study found the Berg Balance to be the single best predictor of falls</w:t>
            </w:r>
            <w:r w:rsidR="00956396" w:rsidRPr="00925B80">
              <w:rPr>
                <w:sz w:val="18"/>
                <w:szCs w:val="18"/>
              </w:rPr>
              <w:t>,</w:t>
            </w:r>
            <w:r w:rsidR="00956396" w:rsidRPr="00925B80">
              <w:rPr>
                <w:sz w:val="18"/>
                <w:szCs w:val="18"/>
                <w:vertAlign w:val="superscript"/>
              </w:rPr>
              <w:t>4</w:t>
            </w:r>
            <w:r w:rsidR="0050303B" w:rsidRPr="00925B80">
              <w:rPr>
                <w:sz w:val="18"/>
                <w:szCs w:val="18"/>
              </w:rPr>
              <w:t xml:space="preserve"> othe</w:t>
            </w:r>
            <w:r w:rsidR="00D86921" w:rsidRPr="00925B80">
              <w:rPr>
                <w:sz w:val="18"/>
                <w:szCs w:val="18"/>
              </w:rPr>
              <w:t xml:space="preserve">rs have found other measures more </w:t>
            </w:r>
            <w:r w:rsidR="006C3056" w:rsidRPr="00925B80">
              <w:rPr>
                <w:sz w:val="18"/>
                <w:szCs w:val="18"/>
              </w:rPr>
              <w:t xml:space="preserve">predictive. </w:t>
            </w:r>
            <w:r w:rsidR="002A18BE" w:rsidRPr="00925B80">
              <w:rPr>
                <w:sz w:val="18"/>
                <w:szCs w:val="18"/>
              </w:rPr>
              <w:t xml:space="preserve">A </w:t>
            </w:r>
            <w:r w:rsidR="00EC7A5E" w:rsidRPr="00925B80">
              <w:rPr>
                <w:sz w:val="18"/>
                <w:szCs w:val="18"/>
              </w:rPr>
              <w:t>study</w:t>
            </w:r>
            <w:r w:rsidR="00646B02" w:rsidRPr="00925B80">
              <w:rPr>
                <w:sz w:val="18"/>
                <w:szCs w:val="18"/>
                <w:vertAlign w:val="superscript"/>
              </w:rPr>
              <w:t>1</w:t>
            </w:r>
            <w:r w:rsidR="00646B02" w:rsidRPr="00925B80">
              <w:rPr>
                <w:sz w:val="18"/>
                <w:szCs w:val="18"/>
              </w:rPr>
              <w:t xml:space="preserve"> </w:t>
            </w:r>
            <w:r w:rsidR="00EC7A5E" w:rsidRPr="00925B80">
              <w:rPr>
                <w:sz w:val="18"/>
                <w:szCs w:val="18"/>
              </w:rPr>
              <w:t>found that stroke lesion location affects fall risk, while another study</w:t>
            </w:r>
            <w:r w:rsidR="00956396" w:rsidRPr="00925B80">
              <w:rPr>
                <w:sz w:val="18"/>
                <w:szCs w:val="18"/>
                <w:vertAlign w:val="superscript"/>
              </w:rPr>
              <w:t>4</w:t>
            </w:r>
            <w:r w:rsidR="00EC7A5E" w:rsidRPr="00925B80">
              <w:rPr>
                <w:sz w:val="18"/>
                <w:szCs w:val="18"/>
              </w:rPr>
              <w:t xml:space="preserve"> found no association between these variables. </w:t>
            </w:r>
            <w:r w:rsidR="002A18BE" w:rsidRPr="00925B80">
              <w:rPr>
                <w:sz w:val="18"/>
                <w:szCs w:val="18"/>
              </w:rPr>
              <w:t>Another study found that balance confidence</w:t>
            </w:r>
            <w:r w:rsidR="00C84859">
              <w:rPr>
                <w:sz w:val="18"/>
                <w:szCs w:val="18"/>
              </w:rPr>
              <w:t xml:space="preserve"> was</w:t>
            </w:r>
            <w:r w:rsidR="002A18BE" w:rsidRPr="00925B80">
              <w:rPr>
                <w:sz w:val="18"/>
                <w:szCs w:val="18"/>
              </w:rPr>
              <w:t xml:space="preserve"> the best predictor of falling when compared to the ABC scale and TUG in patients </w:t>
            </w:r>
            <w:r w:rsidR="00DC4C98" w:rsidRPr="00925B80">
              <w:rPr>
                <w:sz w:val="18"/>
                <w:szCs w:val="18"/>
              </w:rPr>
              <w:t xml:space="preserve">with and </w:t>
            </w:r>
            <w:r w:rsidR="002A18BE" w:rsidRPr="00925B80">
              <w:rPr>
                <w:sz w:val="18"/>
                <w:szCs w:val="18"/>
              </w:rPr>
              <w:t>without pathology.</w:t>
            </w:r>
            <w:r w:rsidR="00646B02" w:rsidRPr="00925B80">
              <w:rPr>
                <w:sz w:val="18"/>
                <w:szCs w:val="18"/>
                <w:vertAlign w:val="superscript"/>
              </w:rPr>
              <w:t>5</w:t>
            </w:r>
            <w:r w:rsidR="004B536E" w:rsidRPr="00925B80">
              <w:rPr>
                <w:sz w:val="18"/>
                <w:szCs w:val="18"/>
              </w:rPr>
              <w:t xml:space="preserve"> </w:t>
            </w:r>
            <w:r w:rsidRPr="00925B80">
              <w:rPr>
                <w:sz w:val="18"/>
                <w:szCs w:val="18"/>
              </w:rPr>
              <w:t xml:space="preserve">Future research </w:t>
            </w:r>
            <w:r w:rsidR="00B12172" w:rsidRPr="00925B80">
              <w:rPr>
                <w:sz w:val="18"/>
                <w:szCs w:val="18"/>
              </w:rPr>
              <w:t>is needed to address not only the TUG’s ability to predict falls but other measures as well (i.e. Berg Balance, ABC Scale, etc.)</w:t>
            </w:r>
            <w:r w:rsidR="008B3224" w:rsidRPr="00925B80">
              <w:rPr>
                <w:sz w:val="18"/>
                <w:szCs w:val="18"/>
              </w:rPr>
              <w:t xml:space="preserve"> because of the </w:t>
            </w:r>
            <w:r w:rsidR="004B65F3" w:rsidRPr="00925B80">
              <w:rPr>
                <w:sz w:val="18"/>
                <w:szCs w:val="18"/>
              </w:rPr>
              <w:t xml:space="preserve">current </w:t>
            </w:r>
            <w:r w:rsidR="008B3224" w:rsidRPr="00925B80">
              <w:rPr>
                <w:sz w:val="18"/>
                <w:szCs w:val="18"/>
              </w:rPr>
              <w:t>inconclusive results.</w:t>
            </w:r>
            <w:r w:rsidR="008B3224">
              <w:rPr>
                <w:sz w:val="18"/>
                <w:szCs w:val="18"/>
              </w:rPr>
              <w:t xml:space="preserve"> </w:t>
            </w:r>
          </w:p>
        </w:tc>
      </w:tr>
    </w:tbl>
    <w:p w14:paraId="0268DB0F" w14:textId="5555CEFF" w:rsidR="00E609EF" w:rsidRDefault="00415B87" w:rsidP="001E1518">
      <w:pPr>
        <w:spacing w:before="120"/>
        <w:rPr>
          <w:b/>
          <w:sz w:val="18"/>
          <w:szCs w:val="18"/>
        </w:rPr>
      </w:pPr>
      <w:r w:rsidRPr="00925B80">
        <w:rPr>
          <w:sz w:val="18"/>
          <w:szCs w:val="18"/>
        </w:rPr>
        <w:br w:type="page"/>
      </w:r>
      <w:r w:rsidR="001403EC" w:rsidRPr="00B75AAB">
        <w:rPr>
          <w:b/>
          <w:sz w:val="18"/>
          <w:szCs w:val="18"/>
        </w:rPr>
        <w:lastRenderedPageBreak/>
        <w:t>REFERENCES</w:t>
      </w:r>
    </w:p>
    <w:p w14:paraId="0BA87C89"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F77F6F" w14:paraId="3DB5283E" w14:textId="77777777" w:rsidTr="002F16E1">
        <w:tc>
          <w:tcPr>
            <w:tcW w:w="10421" w:type="dxa"/>
            <w:shd w:val="clear" w:color="auto" w:fill="auto"/>
          </w:tcPr>
          <w:p w14:paraId="160F4F4A" w14:textId="77777777" w:rsidR="003F7539" w:rsidRPr="00351E25" w:rsidRDefault="003F7539"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Pinto E. B. et al. Risk Factors Associated With Falls in Adult Patients After Stroke Living in the Community: Baseline Data From a Stroke Cohort in Brazil, </w:t>
            </w:r>
            <w:r w:rsidRPr="00351E25">
              <w:rPr>
                <w:i/>
                <w:iCs/>
                <w:color w:val="000000" w:themeColor="text1"/>
                <w:sz w:val="18"/>
                <w:szCs w:val="18"/>
                <w:shd w:val="clear" w:color="auto" w:fill="FFFFFF"/>
              </w:rPr>
              <w:t>Topics in Stroke Rehabilitation</w:t>
            </w:r>
            <w:r w:rsidRPr="00351E25">
              <w:rPr>
                <w:color w:val="000000" w:themeColor="text1"/>
                <w:sz w:val="18"/>
                <w:szCs w:val="18"/>
                <w:shd w:val="clear" w:color="auto" w:fill="FFFFFF"/>
              </w:rPr>
              <w:t>, 2014;21(3):220-227</w:t>
            </w:r>
          </w:p>
          <w:p w14:paraId="0CDEEF68" w14:textId="77777777" w:rsidR="003F7539" w:rsidRPr="00351E25" w:rsidRDefault="003F7539" w:rsidP="00351E25">
            <w:pPr>
              <w:pStyle w:val="ListParagraph"/>
              <w:numPr>
                <w:ilvl w:val="0"/>
                <w:numId w:val="16"/>
              </w:numPr>
              <w:spacing w:before="120" w:after="120"/>
              <w:contextualSpacing w:val="0"/>
              <w:rPr>
                <w:color w:val="000000" w:themeColor="text1"/>
                <w:sz w:val="18"/>
                <w:szCs w:val="18"/>
              </w:rPr>
            </w:pPr>
            <w:r w:rsidRPr="00351E25">
              <w:rPr>
                <w:color w:val="000000" w:themeColor="text1"/>
                <w:sz w:val="18"/>
                <w:szCs w:val="18"/>
                <w:shd w:val="clear" w:color="auto" w:fill="FFFFFF"/>
              </w:rPr>
              <w:t>Hafsteinsdóttir TB. Clinimetric properties of the timed up and go test for patients with stroke: A systematic review. </w:t>
            </w:r>
            <w:r w:rsidRPr="00351E25">
              <w:rPr>
                <w:i/>
                <w:iCs/>
                <w:color w:val="000000" w:themeColor="text1"/>
                <w:sz w:val="18"/>
                <w:szCs w:val="18"/>
                <w:shd w:val="clear" w:color="auto" w:fill="FFFFFF"/>
              </w:rPr>
              <w:t>Topics in stroke rehabilitation</w:t>
            </w:r>
            <w:r w:rsidRPr="00351E25">
              <w:rPr>
                <w:color w:val="000000" w:themeColor="text1"/>
                <w:sz w:val="18"/>
                <w:szCs w:val="18"/>
                <w:shd w:val="clear" w:color="auto" w:fill="FFFFFF"/>
              </w:rPr>
              <w:t>. 2014;21(3):197.</w:t>
            </w:r>
          </w:p>
          <w:p w14:paraId="59BE3C15" w14:textId="513C66E8" w:rsidR="001E1518" w:rsidRPr="00351E25" w:rsidRDefault="003F7539"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Bower K, Thilarajah S, Yong-Hao Pua, et al. Dynamic balance and instrumented gait variables are independent predictors of falls following stroke. </w:t>
            </w:r>
            <w:r w:rsidRPr="00351E25">
              <w:rPr>
                <w:i/>
                <w:iCs/>
                <w:color w:val="000000" w:themeColor="text1"/>
                <w:sz w:val="18"/>
                <w:szCs w:val="18"/>
                <w:shd w:val="clear" w:color="auto" w:fill="FFFFFF"/>
              </w:rPr>
              <w:t>Journal of Neuroengineering and Rehabilitation</w:t>
            </w:r>
            <w:r w:rsidRPr="00351E25">
              <w:rPr>
                <w:color w:val="000000" w:themeColor="text1"/>
                <w:sz w:val="18"/>
                <w:szCs w:val="18"/>
                <w:shd w:val="clear" w:color="auto" w:fill="FFFFFF"/>
              </w:rPr>
              <w:t>. 2019;16.</w:t>
            </w:r>
          </w:p>
          <w:p w14:paraId="5142BCA2" w14:textId="77777777" w:rsidR="00351E25" w:rsidRPr="00351E25" w:rsidRDefault="00351E25"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An S. Discriminative and predictive validity of the short-form activities-specific balance confidence scale for predicting fall of stroke survivors. </w:t>
            </w:r>
            <w:r w:rsidRPr="00351E25">
              <w:rPr>
                <w:i/>
                <w:iCs/>
                <w:color w:val="000000" w:themeColor="text1"/>
                <w:sz w:val="18"/>
                <w:szCs w:val="18"/>
                <w:shd w:val="clear" w:color="auto" w:fill="FFFFFF"/>
              </w:rPr>
              <w:t>Journal of physical therapy science</w:t>
            </w:r>
            <w:r w:rsidRPr="00351E25">
              <w:rPr>
                <w:color w:val="000000" w:themeColor="text1"/>
                <w:sz w:val="18"/>
                <w:szCs w:val="18"/>
                <w:shd w:val="clear" w:color="auto" w:fill="FFFFFF"/>
              </w:rPr>
              <w:t xml:space="preserve">. 2017;29(4):716-721. </w:t>
            </w:r>
          </w:p>
          <w:p w14:paraId="084B61E8" w14:textId="77777777" w:rsidR="00351E25" w:rsidRPr="00351E25" w:rsidRDefault="00351E25"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Chan P. P. Reliability and validity of the timed up and go test with a motor task in people with chronic stroke. </w:t>
            </w:r>
            <w:r w:rsidRPr="00351E25">
              <w:rPr>
                <w:i/>
                <w:iCs/>
                <w:color w:val="000000" w:themeColor="text1"/>
                <w:sz w:val="18"/>
                <w:szCs w:val="18"/>
                <w:shd w:val="clear" w:color="auto" w:fill="FFFFFF"/>
              </w:rPr>
              <w:t>Archives of physical medicine and rehabilitation</w:t>
            </w:r>
            <w:r w:rsidRPr="00351E25">
              <w:rPr>
                <w:color w:val="000000" w:themeColor="text1"/>
                <w:sz w:val="18"/>
                <w:szCs w:val="18"/>
                <w:shd w:val="clear" w:color="auto" w:fill="FFFFFF"/>
              </w:rPr>
              <w:t>. 2017;98(11):2213-2220.</w:t>
            </w:r>
          </w:p>
          <w:p w14:paraId="4EF7A698" w14:textId="77777777" w:rsidR="00351E25" w:rsidRPr="00351E25" w:rsidRDefault="00351E25"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Forsberg A. Validity and reliability of the Swedish version of the activities-specific balance confidence scale in people with chronic stroke. </w:t>
            </w:r>
            <w:r w:rsidRPr="00351E25">
              <w:rPr>
                <w:i/>
                <w:iCs/>
                <w:color w:val="000000" w:themeColor="text1"/>
                <w:sz w:val="18"/>
                <w:szCs w:val="18"/>
                <w:shd w:val="clear" w:color="auto" w:fill="FFFFFF"/>
              </w:rPr>
              <w:t>Physiotherapy Canada</w:t>
            </w:r>
            <w:r w:rsidRPr="00351E25">
              <w:rPr>
                <w:color w:val="000000" w:themeColor="text1"/>
                <w:sz w:val="18"/>
                <w:szCs w:val="18"/>
                <w:shd w:val="clear" w:color="auto" w:fill="FFFFFF"/>
              </w:rPr>
              <w:t>. 2013;65(2):141-147.</w:t>
            </w:r>
          </w:p>
          <w:p w14:paraId="0DBF0098" w14:textId="77777777" w:rsidR="00351E25" w:rsidRPr="00351E25" w:rsidRDefault="00351E25"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Salbach N. M. Psychometric evaluation of the original and Canadian French version of the activities-specific balance confidence scale among people with stroke. </w:t>
            </w:r>
            <w:r w:rsidRPr="00351E25">
              <w:rPr>
                <w:i/>
                <w:iCs/>
                <w:color w:val="000000" w:themeColor="text1"/>
                <w:sz w:val="18"/>
                <w:szCs w:val="18"/>
                <w:shd w:val="clear" w:color="auto" w:fill="FFFFFF"/>
              </w:rPr>
              <w:t>Archives of physical medicine and rehabilitation</w:t>
            </w:r>
            <w:r w:rsidRPr="00351E25">
              <w:rPr>
                <w:color w:val="000000" w:themeColor="text1"/>
                <w:sz w:val="18"/>
                <w:szCs w:val="18"/>
                <w:shd w:val="clear" w:color="auto" w:fill="FFFFFF"/>
              </w:rPr>
              <w:t>. 2006;87(12):1597-1604.</w:t>
            </w:r>
          </w:p>
          <w:p w14:paraId="0ACA1D12" w14:textId="77777777" w:rsidR="00351E25" w:rsidRPr="00351E25" w:rsidRDefault="00351E25"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Bower K, Thilarajah S, Yong-Hao Pua, et al. Dynamic balance and instrumented gait variables are independent predictors of falls following stroke. </w:t>
            </w:r>
            <w:r w:rsidRPr="00351E25">
              <w:rPr>
                <w:i/>
                <w:iCs/>
                <w:color w:val="000000" w:themeColor="text1"/>
                <w:sz w:val="18"/>
                <w:szCs w:val="18"/>
                <w:shd w:val="clear" w:color="auto" w:fill="FFFFFF"/>
              </w:rPr>
              <w:t>Journal of Neuroengineering and Rehabilitation</w:t>
            </w:r>
            <w:r w:rsidRPr="00351E25">
              <w:rPr>
                <w:color w:val="000000" w:themeColor="text1"/>
                <w:sz w:val="18"/>
                <w:szCs w:val="18"/>
                <w:shd w:val="clear" w:color="auto" w:fill="FFFFFF"/>
              </w:rPr>
              <w:t>. 2019;16.</w:t>
            </w:r>
          </w:p>
          <w:p w14:paraId="06C9EE6B" w14:textId="77777777" w:rsidR="00351E25" w:rsidRPr="00351E25" w:rsidRDefault="00351E25"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Botner EM. Measurement properties of the activities-specific balance confidence scale among individuals with stroke. </w:t>
            </w:r>
            <w:r w:rsidRPr="00351E25">
              <w:rPr>
                <w:i/>
                <w:iCs/>
                <w:color w:val="000000" w:themeColor="text1"/>
                <w:sz w:val="18"/>
                <w:szCs w:val="18"/>
                <w:shd w:val="clear" w:color="auto" w:fill="FFFFFF"/>
              </w:rPr>
              <w:t>Disability and rehabilitation</w:t>
            </w:r>
            <w:r w:rsidRPr="00351E25">
              <w:rPr>
                <w:color w:val="000000" w:themeColor="text1"/>
                <w:sz w:val="18"/>
                <w:szCs w:val="18"/>
                <w:shd w:val="clear" w:color="auto" w:fill="FFFFFF"/>
              </w:rPr>
              <w:t>. 2005;27(4):156-163.</w:t>
            </w:r>
          </w:p>
          <w:p w14:paraId="1544A947" w14:textId="1BE26584" w:rsidR="000E3D75" w:rsidRPr="00351E25" w:rsidRDefault="00351E25"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Pinto E. B. et al. Risk Factors Associated With Falls in Adult Patients After Stroke Living in the Community: Baseline Data From a Stroke Cohort in Brazil, </w:t>
            </w:r>
            <w:r w:rsidRPr="00351E25">
              <w:rPr>
                <w:i/>
                <w:iCs/>
                <w:color w:val="000000" w:themeColor="text1"/>
                <w:sz w:val="18"/>
                <w:szCs w:val="18"/>
                <w:shd w:val="clear" w:color="auto" w:fill="FFFFFF"/>
              </w:rPr>
              <w:t>Topics in Stroke Rehabilitation</w:t>
            </w:r>
            <w:r w:rsidRPr="00351E25">
              <w:rPr>
                <w:color w:val="000000" w:themeColor="text1"/>
                <w:sz w:val="18"/>
                <w:szCs w:val="18"/>
                <w:shd w:val="clear" w:color="auto" w:fill="FFFFFF"/>
              </w:rPr>
              <w:t>, 2014;21(3):220-227</w:t>
            </w:r>
          </w:p>
          <w:p w14:paraId="7FFD30C6" w14:textId="77777777" w:rsidR="00DC4C98" w:rsidRPr="00351E25" w:rsidRDefault="00956396" w:rsidP="00351E25">
            <w:pPr>
              <w:pStyle w:val="ListParagraph"/>
              <w:numPr>
                <w:ilvl w:val="0"/>
                <w:numId w:val="16"/>
              </w:numPr>
              <w:spacing w:before="120" w:after="120"/>
              <w:contextualSpacing w:val="0"/>
              <w:rPr>
                <w:color w:val="000000" w:themeColor="text1"/>
                <w:sz w:val="18"/>
                <w:szCs w:val="18"/>
                <w:shd w:val="clear" w:color="auto" w:fill="FFFFFF"/>
              </w:rPr>
            </w:pPr>
            <w:r w:rsidRPr="00351E25">
              <w:rPr>
                <w:color w:val="000000" w:themeColor="text1"/>
                <w:sz w:val="18"/>
                <w:szCs w:val="18"/>
                <w:shd w:val="clear" w:color="auto" w:fill="FFFFFF"/>
              </w:rPr>
              <w:t>Tilson JK. Characterizing and identifying risk for falls in the LEAPS study: A randomized clinical trial of interventions to improve walking poststroke. </w:t>
            </w:r>
            <w:r w:rsidRPr="00351E25">
              <w:rPr>
                <w:i/>
                <w:iCs/>
                <w:color w:val="000000" w:themeColor="text1"/>
                <w:sz w:val="18"/>
                <w:szCs w:val="18"/>
                <w:shd w:val="clear" w:color="auto" w:fill="FFFFFF"/>
              </w:rPr>
              <w:t>Stroke (1970)</w:t>
            </w:r>
            <w:r w:rsidRPr="00351E25">
              <w:rPr>
                <w:color w:val="000000" w:themeColor="text1"/>
                <w:sz w:val="18"/>
                <w:szCs w:val="18"/>
                <w:shd w:val="clear" w:color="auto" w:fill="FFFFFF"/>
              </w:rPr>
              <w:t>. 02/2012;43(2):446-452. </w:t>
            </w:r>
          </w:p>
          <w:p w14:paraId="1163D37D" w14:textId="3F292D13" w:rsidR="001E1518" w:rsidRPr="00351E25" w:rsidRDefault="00DC4C98" w:rsidP="00351E25">
            <w:pPr>
              <w:pStyle w:val="ListParagraph"/>
              <w:numPr>
                <w:ilvl w:val="0"/>
                <w:numId w:val="16"/>
              </w:numPr>
              <w:spacing w:before="120" w:after="120"/>
              <w:contextualSpacing w:val="0"/>
              <w:rPr>
                <w:shd w:val="clear" w:color="auto" w:fill="FFFFFF"/>
              </w:rPr>
            </w:pPr>
            <w:r w:rsidRPr="00351E25">
              <w:rPr>
                <w:color w:val="000000" w:themeColor="text1"/>
                <w:sz w:val="18"/>
                <w:szCs w:val="18"/>
                <w:shd w:val="clear" w:color="auto" w:fill="FFFFFF"/>
              </w:rPr>
              <w:t>Landers MR. Balance confidence and fear of falling avoidance behavior are most predictive of falling in older adults: Prospective analysis. </w:t>
            </w:r>
            <w:r w:rsidRPr="00351E25">
              <w:rPr>
                <w:i/>
                <w:iCs/>
                <w:color w:val="000000" w:themeColor="text1"/>
                <w:sz w:val="18"/>
                <w:szCs w:val="18"/>
                <w:shd w:val="clear" w:color="auto" w:fill="FFFFFF"/>
              </w:rPr>
              <w:t>Physical therapy</w:t>
            </w:r>
            <w:r w:rsidRPr="00351E25">
              <w:rPr>
                <w:color w:val="000000" w:themeColor="text1"/>
                <w:sz w:val="18"/>
                <w:szCs w:val="18"/>
                <w:shd w:val="clear" w:color="auto" w:fill="FFFFFF"/>
              </w:rPr>
              <w:t>. 04/2016;96(4):433-442. </w:t>
            </w:r>
          </w:p>
        </w:tc>
      </w:tr>
    </w:tbl>
    <w:p w14:paraId="69D5B773"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4F6"/>
    <w:multiLevelType w:val="hybridMultilevel"/>
    <w:tmpl w:val="19F2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20C5"/>
    <w:multiLevelType w:val="hybridMultilevel"/>
    <w:tmpl w:val="DA1036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67E4432"/>
    <w:multiLevelType w:val="hybridMultilevel"/>
    <w:tmpl w:val="E25C9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51FE"/>
    <w:multiLevelType w:val="hybridMultilevel"/>
    <w:tmpl w:val="D9D0B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17ACC"/>
    <w:multiLevelType w:val="hybridMultilevel"/>
    <w:tmpl w:val="68C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96B21"/>
    <w:multiLevelType w:val="hybridMultilevel"/>
    <w:tmpl w:val="5BDE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A47804"/>
    <w:multiLevelType w:val="hybridMultilevel"/>
    <w:tmpl w:val="0F22EB1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780088"/>
    <w:multiLevelType w:val="hybridMultilevel"/>
    <w:tmpl w:val="036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E6072B"/>
    <w:multiLevelType w:val="hybridMultilevel"/>
    <w:tmpl w:val="CDBC3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FC342E5"/>
    <w:multiLevelType w:val="hybridMultilevel"/>
    <w:tmpl w:val="348AFC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132DC2"/>
    <w:multiLevelType w:val="hybridMultilevel"/>
    <w:tmpl w:val="702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51764A"/>
    <w:multiLevelType w:val="hybridMultilevel"/>
    <w:tmpl w:val="9E8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95710"/>
    <w:multiLevelType w:val="hybridMultilevel"/>
    <w:tmpl w:val="9DF6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7"/>
  </w:num>
  <w:num w:numId="4">
    <w:abstractNumId w:val="13"/>
  </w:num>
  <w:num w:numId="5">
    <w:abstractNumId w:val="21"/>
  </w:num>
  <w:num w:numId="6">
    <w:abstractNumId w:val="17"/>
  </w:num>
  <w:num w:numId="7">
    <w:abstractNumId w:val="6"/>
  </w:num>
  <w:num w:numId="8">
    <w:abstractNumId w:val="15"/>
  </w:num>
  <w:num w:numId="9">
    <w:abstractNumId w:val="24"/>
  </w:num>
  <w:num w:numId="10">
    <w:abstractNumId w:val="19"/>
  </w:num>
  <w:num w:numId="11">
    <w:abstractNumId w:val="12"/>
  </w:num>
  <w:num w:numId="12">
    <w:abstractNumId w:val="18"/>
  </w:num>
  <w:num w:numId="13">
    <w:abstractNumId w:val="1"/>
  </w:num>
  <w:num w:numId="14">
    <w:abstractNumId w:val="8"/>
  </w:num>
  <w:num w:numId="15">
    <w:abstractNumId w:val="2"/>
  </w:num>
  <w:num w:numId="16">
    <w:abstractNumId w:val="5"/>
  </w:num>
  <w:num w:numId="17">
    <w:abstractNumId w:val="14"/>
  </w:num>
  <w:num w:numId="18">
    <w:abstractNumId w:val="20"/>
  </w:num>
  <w:num w:numId="19">
    <w:abstractNumId w:val="22"/>
  </w:num>
  <w:num w:numId="20">
    <w:abstractNumId w:val="11"/>
  </w:num>
  <w:num w:numId="21">
    <w:abstractNumId w:val="3"/>
  </w:num>
  <w:num w:numId="22">
    <w:abstractNumId w:val="23"/>
  </w:num>
  <w:num w:numId="23">
    <w:abstractNumId w:val="4"/>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324B"/>
    <w:rsid w:val="00003A8E"/>
    <w:rsid w:val="00003E39"/>
    <w:rsid w:val="00004349"/>
    <w:rsid w:val="0000579F"/>
    <w:rsid w:val="00005888"/>
    <w:rsid w:val="000067EF"/>
    <w:rsid w:val="00006871"/>
    <w:rsid w:val="00006EC6"/>
    <w:rsid w:val="0000738B"/>
    <w:rsid w:val="0001061D"/>
    <w:rsid w:val="00010837"/>
    <w:rsid w:val="00010AB5"/>
    <w:rsid w:val="000112BB"/>
    <w:rsid w:val="00011B3C"/>
    <w:rsid w:val="0001252E"/>
    <w:rsid w:val="00012DC5"/>
    <w:rsid w:val="000138F5"/>
    <w:rsid w:val="000177D1"/>
    <w:rsid w:val="00017D30"/>
    <w:rsid w:val="0002045C"/>
    <w:rsid w:val="0002168B"/>
    <w:rsid w:val="0002207F"/>
    <w:rsid w:val="000221B2"/>
    <w:rsid w:val="00023519"/>
    <w:rsid w:val="00023A51"/>
    <w:rsid w:val="0002579B"/>
    <w:rsid w:val="00031D6E"/>
    <w:rsid w:val="0003216E"/>
    <w:rsid w:val="000324D3"/>
    <w:rsid w:val="00037AD0"/>
    <w:rsid w:val="000402A8"/>
    <w:rsid w:val="00041510"/>
    <w:rsid w:val="00042166"/>
    <w:rsid w:val="0004443C"/>
    <w:rsid w:val="00045A42"/>
    <w:rsid w:val="00046749"/>
    <w:rsid w:val="00047D2B"/>
    <w:rsid w:val="00050375"/>
    <w:rsid w:val="0005092E"/>
    <w:rsid w:val="00052794"/>
    <w:rsid w:val="00055942"/>
    <w:rsid w:val="00056A44"/>
    <w:rsid w:val="0005752A"/>
    <w:rsid w:val="00057942"/>
    <w:rsid w:val="00065734"/>
    <w:rsid w:val="000712D1"/>
    <w:rsid w:val="000717EF"/>
    <w:rsid w:val="000721FC"/>
    <w:rsid w:val="00073567"/>
    <w:rsid w:val="000742C5"/>
    <w:rsid w:val="000766B4"/>
    <w:rsid w:val="00076922"/>
    <w:rsid w:val="00077862"/>
    <w:rsid w:val="0008127F"/>
    <w:rsid w:val="0008159E"/>
    <w:rsid w:val="00082CFF"/>
    <w:rsid w:val="000834FC"/>
    <w:rsid w:val="00083936"/>
    <w:rsid w:val="000839E0"/>
    <w:rsid w:val="00083C08"/>
    <w:rsid w:val="0008789D"/>
    <w:rsid w:val="00087C25"/>
    <w:rsid w:val="00092945"/>
    <w:rsid w:val="00093A9A"/>
    <w:rsid w:val="00094B7E"/>
    <w:rsid w:val="000955D0"/>
    <w:rsid w:val="00095F7F"/>
    <w:rsid w:val="00097C6C"/>
    <w:rsid w:val="000A14D5"/>
    <w:rsid w:val="000A379C"/>
    <w:rsid w:val="000A3E26"/>
    <w:rsid w:val="000A6B75"/>
    <w:rsid w:val="000A7312"/>
    <w:rsid w:val="000A7541"/>
    <w:rsid w:val="000A7C80"/>
    <w:rsid w:val="000B1FB4"/>
    <w:rsid w:val="000B1FF5"/>
    <w:rsid w:val="000B3B7D"/>
    <w:rsid w:val="000B4919"/>
    <w:rsid w:val="000C1519"/>
    <w:rsid w:val="000C2159"/>
    <w:rsid w:val="000C2603"/>
    <w:rsid w:val="000C29E4"/>
    <w:rsid w:val="000C3181"/>
    <w:rsid w:val="000C3843"/>
    <w:rsid w:val="000C4DE2"/>
    <w:rsid w:val="000C600B"/>
    <w:rsid w:val="000C6C09"/>
    <w:rsid w:val="000D0C3E"/>
    <w:rsid w:val="000D38CA"/>
    <w:rsid w:val="000D40CD"/>
    <w:rsid w:val="000D4244"/>
    <w:rsid w:val="000D5D4B"/>
    <w:rsid w:val="000D6094"/>
    <w:rsid w:val="000D74CA"/>
    <w:rsid w:val="000E101F"/>
    <w:rsid w:val="000E27FF"/>
    <w:rsid w:val="000E3CBA"/>
    <w:rsid w:val="000E3D75"/>
    <w:rsid w:val="000E4E57"/>
    <w:rsid w:val="000E6E99"/>
    <w:rsid w:val="000F128B"/>
    <w:rsid w:val="000F172B"/>
    <w:rsid w:val="000F3690"/>
    <w:rsid w:val="000F44CF"/>
    <w:rsid w:val="000F4C34"/>
    <w:rsid w:val="000F547F"/>
    <w:rsid w:val="000F586A"/>
    <w:rsid w:val="000F6F28"/>
    <w:rsid w:val="000F70AF"/>
    <w:rsid w:val="001002CF"/>
    <w:rsid w:val="00100C8A"/>
    <w:rsid w:val="00101017"/>
    <w:rsid w:val="00101136"/>
    <w:rsid w:val="00101A23"/>
    <w:rsid w:val="0010314E"/>
    <w:rsid w:val="001032DA"/>
    <w:rsid w:val="00103951"/>
    <w:rsid w:val="00103AB9"/>
    <w:rsid w:val="00103F7B"/>
    <w:rsid w:val="001042F8"/>
    <w:rsid w:val="001048E1"/>
    <w:rsid w:val="001056FA"/>
    <w:rsid w:val="001062CC"/>
    <w:rsid w:val="00106645"/>
    <w:rsid w:val="001115DA"/>
    <w:rsid w:val="00111661"/>
    <w:rsid w:val="0011199B"/>
    <w:rsid w:val="001144D1"/>
    <w:rsid w:val="00114F16"/>
    <w:rsid w:val="00115453"/>
    <w:rsid w:val="00115AD1"/>
    <w:rsid w:val="00116FDE"/>
    <w:rsid w:val="00120300"/>
    <w:rsid w:val="0012301D"/>
    <w:rsid w:val="0012388D"/>
    <w:rsid w:val="00125D34"/>
    <w:rsid w:val="00126B27"/>
    <w:rsid w:val="00130520"/>
    <w:rsid w:val="00130B1B"/>
    <w:rsid w:val="001317D9"/>
    <w:rsid w:val="00131894"/>
    <w:rsid w:val="00131B6B"/>
    <w:rsid w:val="00133195"/>
    <w:rsid w:val="00133732"/>
    <w:rsid w:val="00133B88"/>
    <w:rsid w:val="00134E3D"/>
    <w:rsid w:val="0014037A"/>
    <w:rsid w:val="001403EC"/>
    <w:rsid w:val="0014080F"/>
    <w:rsid w:val="001411E9"/>
    <w:rsid w:val="00141836"/>
    <w:rsid w:val="00141A25"/>
    <w:rsid w:val="00142348"/>
    <w:rsid w:val="00142B2F"/>
    <w:rsid w:val="00145AB2"/>
    <w:rsid w:val="00146537"/>
    <w:rsid w:val="0015087A"/>
    <w:rsid w:val="00153926"/>
    <w:rsid w:val="00154A7C"/>
    <w:rsid w:val="00154ED5"/>
    <w:rsid w:val="00155973"/>
    <w:rsid w:val="00162035"/>
    <w:rsid w:val="00162EB3"/>
    <w:rsid w:val="00163BCC"/>
    <w:rsid w:val="00164811"/>
    <w:rsid w:val="00164EB7"/>
    <w:rsid w:val="001652DA"/>
    <w:rsid w:val="001653F7"/>
    <w:rsid w:val="001655BA"/>
    <w:rsid w:val="00166978"/>
    <w:rsid w:val="00166AC5"/>
    <w:rsid w:val="00167202"/>
    <w:rsid w:val="00167B91"/>
    <w:rsid w:val="0017116F"/>
    <w:rsid w:val="00171646"/>
    <w:rsid w:val="00173D93"/>
    <w:rsid w:val="0017543B"/>
    <w:rsid w:val="00175BEE"/>
    <w:rsid w:val="00177571"/>
    <w:rsid w:val="001840D9"/>
    <w:rsid w:val="00184206"/>
    <w:rsid w:val="00184690"/>
    <w:rsid w:val="0018773C"/>
    <w:rsid w:val="00187859"/>
    <w:rsid w:val="00187B03"/>
    <w:rsid w:val="00190BC1"/>
    <w:rsid w:val="00190F47"/>
    <w:rsid w:val="00192877"/>
    <w:rsid w:val="00192961"/>
    <w:rsid w:val="00193AEB"/>
    <w:rsid w:val="00195041"/>
    <w:rsid w:val="00196026"/>
    <w:rsid w:val="001960D2"/>
    <w:rsid w:val="00197307"/>
    <w:rsid w:val="00197BC1"/>
    <w:rsid w:val="001A0E2A"/>
    <w:rsid w:val="001A1E39"/>
    <w:rsid w:val="001A2AF3"/>
    <w:rsid w:val="001A3209"/>
    <w:rsid w:val="001A3A66"/>
    <w:rsid w:val="001A3F2C"/>
    <w:rsid w:val="001A40A0"/>
    <w:rsid w:val="001A4566"/>
    <w:rsid w:val="001A5836"/>
    <w:rsid w:val="001A5EF4"/>
    <w:rsid w:val="001A65E5"/>
    <w:rsid w:val="001A72F4"/>
    <w:rsid w:val="001B3004"/>
    <w:rsid w:val="001B4794"/>
    <w:rsid w:val="001B60A8"/>
    <w:rsid w:val="001B6B9B"/>
    <w:rsid w:val="001C0FCD"/>
    <w:rsid w:val="001C1DD1"/>
    <w:rsid w:val="001C5A94"/>
    <w:rsid w:val="001C5C5A"/>
    <w:rsid w:val="001C6341"/>
    <w:rsid w:val="001C6410"/>
    <w:rsid w:val="001C6424"/>
    <w:rsid w:val="001C6AEF"/>
    <w:rsid w:val="001D02E1"/>
    <w:rsid w:val="001D1CA3"/>
    <w:rsid w:val="001D2A0B"/>
    <w:rsid w:val="001D32DE"/>
    <w:rsid w:val="001D3BA1"/>
    <w:rsid w:val="001D3ED3"/>
    <w:rsid w:val="001D4F60"/>
    <w:rsid w:val="001D5158"/>
    <w:rsid w:val="001D5D4E"/>
    <w:rsid w:val="001D6131"/>
    <w:rsid w:val="001D650B"/>
    <w:rsid w:val="001D65F9"/>
    <w:rsid w:val="001D77BF"/>
    <w:rsid w:val="001D7F73"/>
    <w:rsid w:val="001E0774"/>
    <w:rsid w:val="001E1518"/>
    <w:rsid w:val="001E2169"/>
    <w:rsid w:val="001E2B68"/>
    <w:rsid w:val="001E330B"/>
    <w:rsid w:val="001E375B"/>
    <w:rsid w:val="001E3B72"/>
    <w:rsid w:val="001E5719"/>
    <w:rsid w:val="001E58EC"/>
    <w:rsid w:val="001E63EA"/>
    <w:rsid w:val="001F00D7"/>
    <w:rsid w:val="001F2E11"/>
    <w:rsid w:val="001F41BC"/>
    <w:rsid w:val="001F4C26"/>
    <w:rsid w:val="001F513F"/>
    <w:rsid w:val="001F601D"/>
    <w:rsid w:val="001F6453"/>
    <w:rsid w:val="001F66E1"/>
    <w:rsid w:val="001F77F9"/>
    <w:rsid w:val="001F7D9A"/>
    <w:rsid w:val="001F7DBD"/>
    <w:rsid w:val="00201832"/>
    <w:rsid w:val="00201F3F"/>
    <w:rsid w:val="002032B9"/>
    <w:rsid w:val="002033F2"/>
    <w:rsid w:val="00204494"/>
    <w:rsid w:val="00205544"/>
    <w:rsid w:val="00206663"/>
    <w:rsid w:val="00207963"/>
    <w:rsid w:val="002133BB"/>
    <w:rsid w:val="00213A7E"/>
    <w:rsid w:val="00214812"/>
    <w:rsid w:val="00215B15"/>
    <w:rsid w:val="00216393"/>
    <w:rsid w:val="00216E5B"/>
    <w:rsid w:val="002221CE"/>
    <w:rsid w:val="00222B72"/>
    <w:rsid w:val="0022448A"/>
    <w:rsid w:val="00225FAE"/>
    <w:rsid w:val="00227DA7"/>
    <w:rsid w:val="00232514"/>
    <w:rsid w:val="00232DA9"/>
    <w:rsid w:val="00233705"/>
    <w:rsid w:val="0023388F"/>
    <w:rsid w:val="00235B9C"/>
    <w:rsid w:val="00236785"/>
    <w:rsid w:val="00237E57"/>
    <w:rsid w:val="00240563"/>
    <w:rsid w:val="002414E3"/>
    <w:rsid w:val="002422AA"/>
    <w:rsid w:val="002442B4"/>
    <w:rsid w:val="0024514E"/>
    <w:rsid w:val="0024551C"/>
    <w:rsid w:val="0024586E"/>
    <w:rsid w:val="00247051"/>
    <w:rsid w:val="00250331"/>
    <w:rsid w:val="00253FE5"/>
    <w:rsid w:val="002558DB"/>
    <w:rsid w:val="002568DD"/>
    <w:rsid w:val="00257007"/>
    <w:rsid w:val="002612AE"/>
    <w:rsid w:val="00261952"/>
    <w:rsid w:val="00262185"/>
    <w:rsid w:val="00262FBF"/>
    <w:rsid w:val="00265366"/>
    <w:rsid w:val="00265669"/>
    <w:rsid w:val="00265F1B"/>
    <w:rsid w:val="00270445"/>
    <w:rsid w:val="00271CEF"/>
    <w:rsid w:val="00272886"/>
    <w:rsid w:val="00273171"/>
    <w:rsid w:val="00273CC5"/>
    <w:rsid w:val="0027536A"/>
    <w:rsid w:val="00275D3F"/>
    <w:rsid w:val="00276D67"/>
    <w:rsid w:val="0028056F"/>
    <w:rsid w:val="00281077"/>
    <w:rsid w:val="0028187A"/>
    <w:rsid w:val="00281D41"/>
    <w:rsid w:val="00282449"/>
    <w:rsid w:val="00283EA8"/>
    <w:rsid w:val="00286B8B"/>
    <w:rsid w:val="00287076"/>
    <w:rsid w:val="002875A4"/>
    <w:rsid w:val="0029012B"/>
    <w:rsid w:val="00290479"/>
    <w:rsid w:val="0029268E"/>
    <w:rsid w:val="00292D2D"/>
    <w:rsid w:val="002935A1"/>
    <w:rsid w:val="002937C2"/>
    <w:rsid w:val="00293B41"/>
    <w:rsid w:val="00293CCA"/>
    <w:rsid w:val="00294ACE"/>
    <w:rsid w:val="00294FA0"/>
    <w:rsid w:val="00295315"/>
    <w:rsid w:val="002953F4"/>
    <w:rsid w:val="00295816"/>
    <w:rsid w:val="0029727A"/>
    <w:rsid w:val="002975D0"/>
    <w:rsid w:val="002975F5"/>
    <w:rsid w:val="002977D9"/>
    <w:rsid w:val="00297CC3"/>
    <w:rsid w:val="002A18BE"/>
    <w:rsid w:val="002A1A52"/>
    <w:rsid w:val="002A202E"/>
    <w:rsid w:val="002A2EDA"/>
    <w:rsid w:val="002A6251"/>
    <w:rsid w:val="002A687A"/>
    <w:rsid w:val="002A69E0"/>
    <w:rsid w:val="002B0553"/>
    <w:rsid w:val="002B4759"/>
    <w:rsid w:val="002B6DA7"/>
    <w:rsid w:val="002C1479"/>
    <w:rsid w:val="002C1A9B"/>
    <w:rsid w:val="002C26F1"/>
    <w:rsid w:val="002C2726"/>
    <w:rsid w:val="002C2E88"/>
    <w:rsid w:val="002C530A"/>
    <w:rsid w:val="002C74AC"/>
    <w:rsid w:val="002D139C"/>
    <w:rsid w:val="002D2D3F"/>
    <w:rsid w:val="002D476A"/>
    <w:rsid w:val="002D5C47"/>
    <w:rsid w:val="002D6267"/>
    <w:rsid w:val="002D716A"/>
    <w:rsid w:val="002E10DF"/>
    <w:rsid w:val="002E151C"/>
    <w:rsid w:val="002E1527"/>
    <w:rsid w:val="002E15EB"/>
    <w:rsid w:val="002E1CEC"/>
    <w:rsid w:val="002E255C"/>
    <w:rsid w:val="002E29A7"/>
    <w:rsid w:val="002E3103"/>
    <w:rsid w:val="002E3B46"/>
    <w:rsid w:val="002E590F"/>
    <w:rsid w:val="002E5C33"/>
    <w:rsid w:val="002E5E0F"/>
    <w:rsid w:val="002E602B"/>
    <w:rsid w:val="002E6ECA"/>
    <w:rsid w:val="002E74A6"/>
    <w:rsid w:val="002E7DCE"/>
    <w:rsid w:val="002E7F74"/>
    <w:rsid w:val="002F16E1"/>
    <w:rsid w:val="002F2D96"/>
    <w:rsid w:val="002F4E9C"/>
    <w:rsid w:val="002F58B1"/>
    <w:rsid w:val="002F5D94"/>
    <w:rsid w:val="00300998"/>
    <w:rsid w:val="003013DA"/>
    <w:rsid w:val="003023C2"/>
    <w:rsid w:val="00303378"/>
    <w:rsid w:val="0030577E"/>
    <w:rsid w:val="0030733A"/>
    <w:rsid w:val="00310D4E"/>
    <w:rsid w:val="00311CD1"/>
    <w:rsid w:val="00311ECB"/>
    <w:rsid w:val="00312EF9"/>
    <w:rsid w:val="00313C67"/>
    <w:rsid w:val="00313EC9"/>
    <w:rsid w:val="00314527"/>
    <w:rsid w:val="003152FA"/>
    <w:rsid w:val="00316189"/>
    <w:rsid w:val="003203C3"/>
    <w:rsid w:val="00320A2D"/>
    <w:rsid w:val="0032196F"/>
    <w:rsid w:val="003239F5"/>
    <w:rsid w:val="00324391"/>
    <w:rsid w:val="00326281"/>
    <w:rsid w:val="00332A08"/>
    <w:rsid w:val="0033330C"/>
    <w:rsid w:val="00335AFF"/>
    <w:rsid w:val="00336A03"/>
    <w:rsid w:val="00337D82"/>
    <w:rsid w:val="003400A3"/>
    <w:rsid w:val="00340129"/>
    <w:rsid w:val="0034024E"/>
    <w:rsid w:val="00341925"/>
    <w:rsid w:val="0034269F"/>
    <w:rsid w:val="00344516"/>
    <w:rsid w:val="00346000"/>
    <w:rsid w:val="00346666"/>
    <w:rsid w:val="00346C88"/>
    <w:rsid w:val="003475DE"/>
    <w:rsid w:val="00350995"/>
    <w:rsid w:val="00350B31"/>
    <w:rsid w:val="00351E25"/>
    <w:rsid w:val="00353EEE"/>
    <w:rsid w:val="00355000"/>
    <w:rsid w:val="00355B75"/>
    <w:rsid w:val="00355D55"/>
    <w:rsid w:val="00356799"/>
    <w:rsid w:val="00357EDC"/>
    <w:rsid w:val="00360C6B"/>
    <w:rsid w:val="00363FEB"/>
    <w:rsid w:val="003644B8"/>
    <w:rsid w:val="003644F5"/>
    <w:rsid w:val="003652BF"/>
    <w:rsid w:val="003671EA"/>
    <w:rsid w:val="00367329"/>
    <w:rsid w:val="00371851"/>
    <w:rsid w:val="00371C43"/>
    <w:rsid w:val="0037547B"/>
    <w:rsid w:val="003761D1"/>
    <w:rsid w:val="003800E9"/>
    <w:rsid w:val="00380B69"/>
    <w:rsid w:val="00382260"/>
    <w:rsid w:val="00382E88"/>
    <w:rsid w:val="00383E3A"/>
    <w:rsid w:val="00385073"/>
    <w:rsid w:val="0038646C"/>
    <w:rsid w:val="0038771C"/>
    <w:rsid w:val="00395164"/>
    <w:rsid w:val="0039586E"/>
    <w:rsid w:val="00396AAF"/>
    <w:rsid w:val="00396D7E"/>
    <w:rsid w:val="00397022"/>
    <w:rsid w:val="003A0BC3"/>
    <w:rsid w:val="003A281C"/>
    <w:rsid w:val="003A363D"/>
    <w:rsid w:val="003A4699"/>
    <w:rsid w:val="003A5708"/>
    <w:rsid w:val="003A61D3"/>
    <w:rsid w:val="003A6741"/>
    <w:rsid w:val="003B049D"/>
    <w:rsid w:val="003B17CE"/>
    <w:rsid w:val="003B2324"/>
    <w:rsid w:val="003B2F05"/>
    <w:rsid w:val="003B391A"/>
    <w:rsid w:val="003B5C0D"/>
    <w:rsid w:val="003B5E02"/>
    <w:rsid w:val="003B7595"/>
    <w:rsid w:val="003B7E24"/>
    <w:rsid w:val="003C10ED"/>
    <w:rsid w:val="003C203E"/>
    <w:rsid w:val="003C3F01"/>
    <w:rsid w:val="003C4065"/>
    <w:rsid w:val="003C42D7"/>
    <w:rsid w:val="003C46D9"/>
    <w:rsid w:val="003C54B6"/>
    <w:rsid w:val="003C57B1"/>
    <w:rsid w:val="003C6902"/>
    <w:rsid w:val="003C6E60"/>
    <w:rsid w:val="003C729C"/>
    <w:rsid w:val="003C7655"/>
    <w:rsid w:val="003D2082"/>
    <w:rsid w:val="003D20FD"/>
    <w:rsid w:val="003D48E0"/>
    <w:rsid w:val="003D701F"/>
    <w:rsid w:val="003E1378"/>
    <w:rsid w:val="003E3CBF"/>
    <w:rsid w:val="003E5AD0"/>
    <w:rsid w:val="003E7A7E"/>
    <w:rsid w:val="003F0700"/>
    <w:rsid w:val="003F1003"/>
    <w:rsid w:val="003F17CF"/>
    <w:rsid w:val="003F2E81"/>
    <w:rsid w:val="003F32ED"/>
    <w:rsid w:val="003F4192"/>
    <w:rsid w:val="003F7309"/>
    <w:rsid w:val="003F7539"/>
    <w:rsid w:val="00400AAD"/>
    <w:rsid w:val="00400D14"/>
    <w:rsid w:val="004020B7"/>
    <w:rsid w:val="00403DDA"/>
    <w:rsid w:val="00407BFD"/>
    <w:rsid w:val="0041187B"/>
    <w:rsid w:val="004124A6"/>
    <w:rsid w:val="00412D20"/>
    <w:rsid w:val="00414860"/>
    <w:rsid w:val="00415469"/>
    <w:rsid w:val="004159A5"/>
    <w:rsid w:val="00415B87"/>
    <w:rsid w:val="00415D1B"/>
    <w:rsid w:val="00417CF9"/>
    <w:rsid w:val="00420225"/>
    <w:rsid w:val="0042604D"/>
    <w:rsid w:val="00426A2E"/>
    <w:rsid w:val="00427134"/>
    <w:rsid w:val="00430083"/>
    <w:rsid w:val="00430880"/>
    <w:rsid w:val="00431D6E"/>
    <w:rsid w:val="004341FB"/>
    <w:rsid w:val="004345C5"/>
    <w:rsid w:val="004370C0"/>
    <w:rsid w:val="00437310"/>
    <w:rsid w:val="00437839"/>
    <w:rsid w:val="004446C8"/>
    <w:rsid w:val="004451BE"/>
    <w:rsid w:val="00445F9E"/>
    <w:rsid w:val="004467A5"/>
    <w:rsid w:val="00446E02"/>
    <w:rsid w:val="0045001D"/>
    <w:rsid w:val="00452D82"/>
    <w:rsid w:val="00454003"/>
    <w:rsid w:val="0045534B"/>
    <w:rsid w:val="00456F6F"/>
    <w:rsid w:val="0045764D"/>
    <w:rsid w:val="004611D3"/>
    <w:rsid w:val="00462360"/>
    <w:rsid w:val="0046261F"/>
    <w:rsid w:val="004631B4"/>
    <w:rsid w:val="00466453"/>
    <w:rsid w:val="00466D70"/>
    <w:rsid w:val="0047092A"/>
    <w:rsid w:val="0047138B"/>
    <w:rsid w:val="00472923"/>
    <w:rsid w:val="004772A8"/>
    <w:rsid w:val="00483B4E"/>
    <w:rsid w:val="00484048"/>
    <w:rsid w:val="00490D44"/>
    <w:rsid w:val="0049105F"/>
    <w:rsid w:val="00491565"/>
    <w:rsid w:val="00491BAD"/>
    <w:rsid w:val="004927E7"/>
    <w:rsid w:val="00492B03"/>
    <w:rsid w:val="0049306D"/>
    <w:rsid w:val="00493539"/>
    <w:rsid w:val="00493E5D"/>
    <w:rsid w:val="00496553"/>
    <w:rsid w:val="00496D0F"/>
    <w:rsid w:val="00497408"/>
    <w:rsid w:val="00497DB9"/>
    <w:rsid w:val="004A0119"/>
    <w:rsid w:val="004A0EE3"/>
    <w:rsid w:val="004A1418"/>
    <w:rsid w:val="004A1B19"/>
    <w:rsid w:val="004A1FEE"/>
    <w:rsid w:val="004A2BFD"/>
    <w:rsid w:val="004A4CB8"/>
    <w:rsid w:val="004A6614"/>
    <w:rsid w:val="004B2ACD"/>
    <w:rsid w:val="004B38DD"/>
    <w:rsid w:val="004B3CB2"/>
    <w:rsid w:val="004B536E"/>
    <w:rsid w:val="004B65F3"/>
    <w:rsid w:val="004B6ABC"/>
    <w:rsid w:val="004B7835"/>
    <w:rsid w:val="004B7D98"/>
    <w:rsid w:val="004C00DC"/>
    <w:rsid w:val="004C1459"/>
    <w:rsid w:val="004C266D"/>
    <w:rsid w:val="004C4274"/>
    <w:rsid w:val="004C4E33"/>
    <w:rsid w:val="004C56E8"/>
    <w:rsid w:val="004D0057"/>
    <w:rsid w:val="004D04EF"/>
    <w:rsid w:val="004D0877"/>
    <w:rsid w:val="004D2548"/>
    <w:rsid w:val="004D2674"/>
    <w:rsid w:val="004D2F4F"/>
    <w:rsid w:val="004D5086"/>
    <w:rsid w:val="004D6FD8"/>
    <w:rsid w:val="004E323D"/>
    <w:rsid w:val="004E3533"/>
    <w:rsid w:val="004E3B8F"/>
    <w:rsid w:val="004E5E95"/>
    <w:rsid w:val="004E7381"/>
    <w:rsid w:val="004F05E4"/>
    <w:rsid w:val="004F186C"/>
    <w:rsid w:val="004F197E"/>
    <w:rsid w:val="004F3BDC"/>
    <w:rsid w:val="004F3BF3"/>
    <w:rsid w:val="004F59CB"/>
    <w:rsid w:val="004F629A"/>
    <w:rsid w:val="004F6695"/>
    <w:rsid w:val="004F68AE"/>
    <w:rsid w:val="004F7128"/>
    <w:rsid w:val="005006DE"/>
    <w:rsid w:val="00501E41"/>
    <w:rsid w:val="00502F32"/>
    <w:rsid w:val="0050303B"/>
    <w:rsid w:val="00503D25"/>
    <w:rsid w:val="00505797"/>
    <w:rsid w:val="005058E0"/>
    <w:rsid w:val="00507C55"/>
    <w:rsid w:val="00507EC3"/>
    <w:rsid w:val="00510475"/>
    <w:rsid w:val="0051132F"/>
    <w:rsid w:val="00512F86"/>
    <w:rsid w:val="00516B29"/>
    <w:rsid w:val="0051728D"/>
    <w:rsid w:val="005173D1"/>
    <w:rsid w:val="00520043"/>
    <w:rsid w:val="005206A8"/>
    <w:rsid w:val="005211E8"/>
    <w:rsid w:val="00523C56"/>
    <w:rsid w:val="00523D84"/>
    <w:rsid w:val="00524069"/>
    <w:rsid w:val="00525D9F"/>
    <w:rsid w:val="005263ED"/>
    <w:rsid w:val="00530E5E"/>
    <w:rsid w:val="00531927"/>
    <w:rsid w:val="00531D85"/>
    <w:rsid w:val="00532D7D"/>
    <w:rsid w:val="00534393"/>
    <w:rsid w:val="005357A7"/>
    <w:rsid w:val="0053617F"/>
    <w:rsid w:val="005376D0"/>
    <w:rsid w:val="0054196A"/>
    <w:rsid w:val="005431FE"/>
    <w:rsid w:val="00543D14"/>
    <w:rsid w:val="005458B8"/>
    <w:rsid w:val="00551865"/>
    <w:rsid w:val="0055221F"/>
    <w:rsid w:val="005528C9"/>
    <w:rsid w:val="00552BD9"/>
    <w:rsid w:val="00554BEC"/>
    <w:rsid w:val="00554FFC"/>
    <w:rsid w:val="00560C22"/>
    <w:rsid w:val="00560CEA"/>
    <w:rsid w:val="0056131E"/>
    <w:rsid w:val="00561619"/>
    <w:rsid w:val="005652C8"/>
    <w:rsid w:val="00571478"/>
    <w:rsid w:val="00572A4D"/>
    <w:rsid w:val="00573CEB"/>
    <w:rsid w:val="00573F32"/>
    <w:rsid w:val="00574922"/>
    <w:rsid w:val="00576B74"/>
    <w:rsid w:val="00577881"/>
    <w:rsid w:val="0058087B"/>
    <w:rsid w:val="00581137"/>
    <w:rsid w:val="00584C37"/>
    <w:rsid w:val="005856A1"/>
    <w:rsid w:val="00586070"/>
    <w:rsid w:val="0058747F"/>
    <w:rsid w:val="00592AF2"/>
    <w:rsid w:val="00592E30"/>
    <w:rsid w:val="00593157"/>
    <w:rsid w:val="005931D3"/>
    <w:rsid w:val="00594203"/>
    <w:rsid w:val="00594CEA"/>
    <w:rsid w:val="00594DDB"/>
    <w:rsid w:val="00597245"/>
    <w:rsid w:val="005A05ED"/>
    <w:rsid w:val="005A1289"/>
    <w:rsid w:val="005A148C"/>
    <w:rsid w:val="005A279F"/>
    <w:rsid w:val="005A3AD4"/>
    <w:rsid w:val="005A40D7"/>
    <w:rsid w:val="005A425F"/>
    <w:rsid w:val="005A4F99"/>
    <w:rsid w:val="005A50CF"/>
    <w:rsid w:val="005A5622"/>
    <w:rsid w:val="005A6C2B"/>
    <w:rsid w:val="005A7D98"/>
    <w:rsid w:val="005A7DA9"/>
    <w:rsid w:val="005B024B"/>
    <w:rsid w:val="005B0B57"/>
    <w:rsid w:val="005B387F"/>
    <w:rsid w:val="005B46FA"/>
    <w:rsid w:val="005B7AE2"/>
    <w:rsid w:val="005C0F36"/>
    <w:rsid w:val="005C34BB"/>
    <w:rsid w:val="005C4F74"/>
    <w:rsid w:val="005C54CC"/>
    <w:rsid w:val="005C57BD"/>
    <w:rsid w:val="005C5962"/>
    <w:rsid w:val="005C6870"/>
    <w:rsid w:val="005D3213"/>
    <w:rsid w:val="005D46C9"/>
    <w:rsid w:val="005E116A"/>
    <w:rsid w:val="005E2447"/>
    <w:rsid w:val="005E4224"/>
    <w:rsid w:val="005E4EEC"/>
    <w:rsid w:val="005E59F8"/>
    <w:rsid w:val="005F13A8"/>
    <w:rsid w:val="005F37F7"/>
    <w:rsid w:val="005F3F96"/>
    <w:rsid w:val="005F56BB"/>
    <w:rsid w:val="005F591A"/>
    <w:rsid w:val="005F6EA4"/>
    <w:rsid w:val="005F736D"/>
    <w:rsid w:val="005F7821"/>
    <w:rsid w:val="00600583"/>
    <w:rsid w:val="00600865"/>
    <w:rsid w:val="00600D9E"/>
    <w:rsid w:val="00600DC9"/>
    <w:rsid w:val="006021A6"/>
    <w:rsid w:val="0060221C"/>
    <w:rsid w:val="00603B62"/>
    <w:rsid w:val="006050BB"/>
    <w:rsid w:val="00605138"/>
    <w:rsid w:val="00607017"/>
    <w:rsid w:val="0060740C"/>
    <w:rsid w:val="00607E6A"/>
    <w:rsid w:val="00610462"/>
    <w:rsid w:val="006143DB"/>
    <w:rsid w:val="00615AF7"/>
    <w:rsid w:val="0062078D"/>
    <w:rsid w:val="00622327"/>
    <w:rsid w:val="006239DC"/>
    <w:rsid w:val="00623DE9"/>
    <w:rsid w:val="00624813"/>
    <w:rsid w:val="00624D85"/>
    <w:rsid w:val="00626C07"/>
    <w:rsid w:val="00627825"/>
    <w:rsid w:val="00627BCF"/>
    <w:rsid w:val="00632748"/>
    <w:rsid w:val="00632817"/>
    <w:rsid w:val="006336BA"/>
    <w:rsid w:val="00633A6F"/>
    <w:rsid w:val="0063498E"/>
    <w:rsid w:val="00637684"/>
    <w:rsid w:val="0064051A"/>
    <w:rsid w:val="0064140A"/>
    <w:rsid w:val="006422B9"/>
    <w:rsid w:val="0064237B"/>
    <w:rsid w:val="006423AF"/>
    <w:rsid w:val="0064301F"/>
    <w:rsid w:val="00643F26"/>
    <w:rsid w:val="0064403E"/>
    <w:rsid w:val="00644AF2"/>
    <w:rsid w:val="0064589D"/>
    <w:rsid w:val="00646B02"/>
    <w:rsid w:val="0064721A"/>
    <w:rsid w:val="00650BB2"/>
    <w:rsid w:val="00650D2D"/>
    <w:rsid w:val="00652A73"/>
    <w:rsid w:val="00656740"/>
    <w:rsid w:val="00656990"/>
    <w:rsid w:val="00657AF2"/>
    <w:rsid w:val="006605E2"/>
    <w:rsid w:val="00663C3A"/>
    <w:rsid w:val="00664D79"/>
    <w:rsid w:val="0066596F"/>
    <w:rsid w:val="006666A3"/>
    <w:rsid w:val="0066727F"/>
    <w:rsid w:val="00671B5C"/>
    <w:rsid w:val="00673CA3"/>
    <w:rsid w:val="0067718A"/>
    <w:rsid w:val="00681012"/>
    <w:rsid w:val="006874D1"/>
    <w:rsid w:val="0069054F"/>
    <w:rsid w:val="0069090B"/>
    <w:rsid w:val="00690C1E"/>
    <w:rsid w:val="00690C74"/>
    <w:rsid w:val="00691143"/>
    <w:rsid w:val="00692494"/>
    <w:rsid w:val="006948DD"/>
    <w:rsid w:val="00696BC1"/>
    <w:rsid w:val="00696C5C"/>
    <w:rsid w:val="006A0ACF"/>
    <w:rsid w:val="006A30BE"/>
    <w:rsid w:val="006B13E7"/>
    <w:rsid w:val="006B3C62"/>
    <w:rsid w:val="006B5AD7"/>
    <w:rsid w:val="006B6E0E"/>
    <w:rsid w:val="006C1013"/>
    <w:rsid w:val="006C2AD2"/>
    <w:rsid w:val="006C2DA3"/>
    <w:rsid w:val="006C3056"/>
    <w:rsid w:val="006C3192"/>
    <w:rsid w:val="006C3FEA"/>
    <w:rsid w:val="006C580C"/>
    <w:rsid w:val="006C6917"/>
    <w:rsid w:val="006D027B"/>
    <w:rsid w:val="006D07D7"/>
    <w:rsid w:val="006D1D23"/>
    <w:rsid w:val="006D202F"/>
    <w:rsid w:val="006D2329"/>
    <w:rsid w:val="006D2434"/>
    <w:rsid w:val="006D38A1"/>
    <w:rsid w:val="006D5AA7"/>
    <w:rsid w:val="006D6F71"/>
    <w:rsid w:val="006E0E95"/>
    <w:rsid w:val="006E15CA"/>
    <w:rsid w:val="006E243F"/>
    <w:rsid w:val="006E2CB3"/>
    <w:rsid w:val="006E3399"/>
    <w:rsid w:val="006E4370"/>
    <w:rsid w:val="006E4433"/>
    <w:rsid w:val="006E4EC8"/>
    <w:rsid w:val="006E5A23"/>
    <w:rsid w:val="006E60DB"/>
    <w:rsid w:val="006E68E0"/>
    <w:rsid w:val="006E7DF0"/>
    <w:rsid w:val="006F0BEB"/>
    <w:rsid w:val="006F20AD"/>
    <w:rsid w:val="006F369E"/>
    <w:rsid w:val="006F4DB9"/>
    <w:rsid w:val="006F5010"/>
    <w:rsid w:val="006F5586"/>
    <w:rsid w:val="0070068D"/>
    <w:rsid w:val="00701934"/>
    <w:rsid w:val="0070655F"/>
    <w:rsid w:val="00706E69"/>
    <w:rsid w:val="007072A3"/>
    <w:rsid w:val="00707BAC"/>
    <w:rsid w:val="00707E35"/>
    <w:rsid w:val="0071035C"/>
    <w:rsid w:val="00710584"/>
    <w:rsid w:val="0071219B"/>
    <w:rsid w:val="00714A14"/>
    <w:rsid w:val="00714A87"/>
    <w:rsid w:val="00716094"/>
    <w:rsid w:val="0072033A"/>
    <w:rsid w:val="00730C6A"/>
    <w:rsid w:val="007347B2"/>
    <w:rsid w:val="00735D22"/>
    <w:rsid w:val="007365C9"/>
    <w:rsid w:val="007401CE"/>
    <w:rsid w:val="007402F6"/>
    <w:rsid w:val="00743727"/>
    <w:rsid w:val="007444A6"/>
    <w:rsid w:val="0074589E"/>
    <w:rsid w:val="00752252"/>
    <w:rsid w:val="00752AAC"/>
    <w:rsid w:val="007534F1"/>
    <w:rsid w:val="007551A5"/>
    <w:rsid w:val="007559A6"/>
    <w:rsid w:val="007579E5"/>
    <w:rsid w:val="0076459C"/>
    <w:rsid w:val="00764607"/>
    <w:rsid w:val="007653BF"/>
    <w:rsid w:val="00765CAB"/>
    <w:rsid w:val="007663F8"/>
    <w:rsid w:val="007708D3"/>
    <w:rsid w:val="0077316A"/>
    <w:rsid w:val="007734AF"/>
    <w:rsid w:val="00776AE4"/>
    <w:rsid w:val="00776C58"/>
    <w:rsid w:val="00777E3F"/>
    <w:rsid w:val="00780624"/>
    <w:rsid w:val="00780AFB"/>
    <w:rsid w:val="00781ED1"/>
    <w:rsid w:val="00781F7A"/>
    <w:rsid w:val="00782922"/>
    <w:rsid w:val="00782A78"/>
    <w:rsid w:val="00783D2E"/>
    <w:rsid w:val="00783D5D"/>
    <w:rsid w:val="00783DD0"/>
    <w:rsid w:val="00784E8D"/>
    <w:rsid w:val="007854F3"/>
    <w:rsid w:val="00785551"/>
    <w:rsid w:val="00786238"/>
    <w:rsid w:val="00787012"/>
    <w:rsid w:val="00787853"/>
    <w:rsid w:val="0079128F"/>
    <w:rsid w:val="00791304"/>
    <w:rsid w:val="00791602"/>
    <w:rsid w:val="007942EB"/>
    <w:rsid w:val="007969E7"/>
    <w:rsid w:val="00797818"/>
    <w:rsid w:val="007A18FC"/>
    <w:rsid w:val="007A23EC"/>
    <w:rsid w:val="007A4601"/>
    <w:rsid w:val="007A4C25"/>
    <w:rsid w:val="007A4DFF"/>
    <w:rsid w:val="007A66F5"/>
    <w:rsid w:val="007A7454"/>
    <w:rsid w:val="007A77C9"/>
    <w:rsid w:val="007A7C05"/>
    <w:rsid w:val="007A7FB1"/>
    <w:rsid w:val="007B2D91"/>
    <w:rsid w:val="007B39BB"/>
    <w:rsid w:val="007B40C8"/>
    <w:rsid w:val="007B42DA"/>
    <w:rsid w:val="007B78BC"/>
    <w:rsid w:val="007C1EE8"/>
    <w:rsid w:val="007C5669"/>
    <w:rsid w:val="007C69B2"/>
    <w:rsid w:val="007D02BD"/>
    <w:rsid w:val="007D23DF"/>
    <w:rsid w:val="007D35DE"/>
    <w:rsid w:val="007D5500"/>
    <w:rsid w:val="007D6820"/>
    <w:rsid w:val="007E1344"/>
    <w:rsid w:val="007E1D53"/>
    <w:rsid w:val="007E30A4"/>
    <w:rsid w:val="007E393D"/>
    <w:rsid w:val="007E43D4"/>
    <w:rsid w:val="007E5125"/>
    <w:rsid w:val="007E7145"/>
    <w:rsid w:val="007F2643"/>
    <w:rsid w:val="007F26B9"/>
    <w:rsid w:val="007F3123"/>
    <w:rsid w:val="007F3729"/>
    <w:rsid w:val="007F5867"/>
    <w:rsid w:val="00801C55"/>
    <w:rsid w:val="00803C0C"/>
    <w:rsid w:val="00805C6B"/>
    <w:rsid w:val="00805F40"/>
    <w:rsid w:val="0080718E"/>
    <w:rsid w:val="008105A4"/>
    <w:rsid w:val="00810FE9"/>
    <w:rsid w:val="00812C9E"/>
    <w:rsid w:val="00813824"/>
    <w:rsid w:val="00814136"/>
    <w:rsid w:val="008142A1"/>
    <w:rsid w:val="0081442B"/>
    <w:rsid w:val="00816058"/>
    <w:rsid w:val="00816EB2"/>
    <w:rsid w:val="008178F8"/>
    <w:rsid w:val="008179A7"/>
    <w:rsid w:val="00821DAF"/>
    <w:rsid w:val="008240D6"/>
    <w:rsid w:val="008262FD"/>
    <w:rsid w:val="0082781D"/>
    <w:rsid w:val="0083149A"/>
    <w:rsid w:val="008314B9"/>
    <w:rsid w:val="00831903"/>
    <w:rsid w:val="00831DAB"/>
    <w:rsid w:val="0083330D"/>
    <w:rsid w:val="0083332F"/>
    <w:rsid w:val="00833AEA"/>
    <w:rsid w:val="008347F8"/>
    <w:rsid w:val="00834CE4"/>
    <w:rsid w:val="00837348"/>
    <w:rsid w:val="008378BD"/>
    <w:rsid w:val="0084192D"/>
    <w:rsid w:val="00843002"/>
    <w:rsid w:val="00847429"/>
    <w:rsid w:val="008523E0"/>
    <w:rsid w:val="00854862"/>
    <w:rsid w:val="00855661"/>
    <w:rsid w:val="00856A23"/>
    <w:rsid w:val="00856AF4"/>
    <w:rsid w:val="00856EBE"/>
    <w:rsid w:val="00857E07"/>
    <w:rsid w:val="00860B8F"/>
    <w:rsid w:val="00861F3F"/>
    <w:rsid w:val="00862CF2"/>
    <w:rsid w:val="00863A62"/>
    <w:rsid w:val="0086536D"/>
    <w:rsid w:val="00865E39"/>
    <w:rsid w:val="0086757B"/>
    <w:rsid w:val="00870099"/>
    <w:rsid w:val="008700CD"/>
    <w:rsid w:val="00871E63"/>
    <w:rsid w:val="008724B6"/>
    <w:rsid w:val="00872D60"/>
    <w:rsid w:val="0087505C"/>
    <w:rsid w:val="008753FB"/>
    <w:rsid w:val="00876942"/>
    <w:rsid w:val="00877CFB"/>
    <w:rsid w:val="00880A94"/>
    <w:rsid w:val="00880FA3"/>
    <w:rsid w:val="00883B17"/>
    <w:rsid w:val="0088540C"/>
    <w:rsid w:val="0088631D"/>
    <w:rsid w:val="00890D8B"/>
    <w:rsid w:val="00892617"/>
    <w:rsid w:val="00892938"/>
    <w:rsid w:val="008935D0"/>
    <w:rsid w:val="008937AB"/>
    <w:rsid w:val="0089396C"/>
    <w:rsid w:val="00894177"/>
    <w:rsid w:val="00896951"/>
    <w:rsid w:val="008975FD"/>
    <w:rsid w:val="00897A44"/>
    <w:rsid w:val="00897D09"/>
    <w:rsid w:val="008A02AF"/>
    <w:rsid w:val="008A1A14"/>
    <w:rsid w:val="008A2ACB"/>
    <w:rsid w:val="008A35AF"/>
    <w:rsid w:val="008A4BFD"/>
    <w:rsid w:val="008A4F8E"/>
    <w:rsid w:val="008A69D4"/>
    <w:rsid w:val="008A7220"/>
    <w:rsid w:val="008B031E"/>
    <w:rsid w:val="008B298C"/>
    <w:rsid w:val="008B2CDE"/>
    <w:rsid w:val="008B3224"/>
    <w:rsid w:val="008B3F5E"/>
    <w:rsid w:val="008B43B0"/>
    <w:rsid w:val="008B5180"/>
    <w:rsid w:val="008B626C"/>
    <w:rsid w:val="008C35E5"/>
    <w:rsid w:val="008C61F3"/>
    <w:rsid w:val="008C6D9D"/>
    <w:rsid w:val="008D00F2"/>
    <w:rsid w:val="008D1E76"/>
    <w:rsid w:val="008D2E06"/>
    <w:rsid w:val="008D2E1E"/>
    <w:rsid w:val="008D3703"/>
    <w:rsid w:val="008D47D4"/>
    <w:rsid w:val="008D5FA9"/>
    <w:rsid w:val="008D6BE9"/>
    <w:rsid w:val="008D6F08"/>
    <w:rsid w:val="008D6FBE"/>
    <w:rsid w:val="008D7A41"/>
    <w:rsid w:val="008E062C"/>
    <w:rsid w:val="008E1901"/>
    <w:rsid w:val="008E1C36"/>
    <w:rsid w:val="008E3F64"/>
    <w:rsid w:val="008E548C"/>
    <w:rsid w:val="008E5E81"/>
    <w:rsid w:val="008E5E9B"/>
    <w:rsid w:val="008E7E99"/>
    <w:rsid w:val="008F01AB"/>
    <w:rsid w:val="008F088D"/>
    <w:rsid w:val="008F09F0"/>
    <w:rsid w:val="008F0B97"/>
    <w:rsid w:val="008F19E4"/>
    <w:rsid w:val="008F3DDD"/>
    <w:rsid w:val="008F43BE"/>
    <w:rsid w:val="008F4E7C"/>
    <w:rsid w:val="008F6942"/>
    <w:rsid w:val="008F72E2"/>
    <w:rsid w:val="009003CB"/>
    <w:rsid w:val="00901059"/>
    <w:rsid w:val="00902046"/>
    <w:rsid w:val="00902460"/>
    <w:rsid w:val="00905A35"/>
    <w:rsid w:val="00907102"/>
    <w:rsid w:val="00907825"/>
    <w:rsid w:val="00907846"/>
    <w:rsid w:val="00907C2B"/>
    <w:rsid w:val="00910288"/>
    <w:rsid w:val="0091047F"/>
    <w:rsid w:val="009108E0"/>
    <w:rsid w:val="00913BE3"/>
    <w:rsid w:val="0091798F"/>
    <w:rsid w:val="00917F0B"/>
    <w:rsid w:val="0092037C"/>
    <w:rsid w:val="00922A4D"/>
    <w:rsid w:val="00925B80"/>
    <w:rsid w:val="00927EEC"/>
    <w:rsid w:val="00932121"/>
    <w:rsid w:val="00933B88"/>
    <w:rsid w:val="00935F46"/>
    <w:rsid w:val="009364E2"/>
    <w:rsid w:val="00936A8A"/>
    <w:rsid w:val="00937261"/>
    <w:rsid w:val="00942D8A"/>
    <w:rsid w:val="00942F21"/>
    <w:rsid w:val="00942FBD"/>
    <w:rsid w:val="00945BC1"/>
    <w:rsid w:val="009460F5"/>
    <w:rsid w:val="00947DBB"/>
    <w:rsid w:val="009508D6"/>
    <w:rsid w:val="00951B0F"/>
    <w:rsid w:val="0095448D"/>
    <w:rsid w:val="00954C3A"/>
    <w:rsid w:val="00956396"/>
    <w:rsid w:val="00960CE0"/>
    <w:rsid w:val="00962674"/>
    <w:rsid w:val="00963D18"/>
    <w:rsid w:val="009650B1"/>
    <w:rsid w:val="00965236"/>
    <w:rsid w:val="00966892"/>
    <w:rsid w:val="009677A3"/>
    <w:rsid w:val="00967F81"/>
    <w:rsid w:val="00972B73"/>
    <w:rsid w:val="00973B70"/>
    <w:rsid w:val="00973E03"/>
    <w:rsid w:val="009755E7"/>
    <w:rsid w:val="0097595E"/>
    <w:rsid w:val="00975C96"/>
    <w:rsid w:val="00976010"/>
    <w:rsid w:val="00977498"/>
    <w:rsid w:val="00980C11"/>
    <w:rsid w:val="009822B4"/>
    <w:rsid w:val="0098288A"/>
    <w:rsid w:val="00982B41"/>
    <w:rsid w:val="0098344E"/>
    <w:rsid w:val="00984B51"/>
    <w:rsid w:val="00985930"/>
    <w:rsid w:val="0098600F"/>
    <w:rsid w:val="00986141"/>
    <w:rsid w:val="00986AD9"/>
    <w:rsid w:val="0098745A"/>
    <w:rsid w:val="0099018F"/>
    <w:rsid w:val="00990F42"/>
    <w:rsid w:val="00991668"/>
    <w:rsid w:val="00991C30"/>
    <w:rsid w:val="00994A4C"/>
    <w:rsid w:val="00997BE9"/>
    <w:rsid w:val="009A001F"/>
    <w:rsid w:val="009A0156"/>
    <w:rsid w:val="009A0559"/>
    <w:rsid w:val="009A0E82"/>
    <w:rsid w:val="009A12C8"/>
    <w:rsid w:val="009A25A5"/>
    <w:rsid w:val="009A38BC"/>
    <w:rsid w:val="009A403A"/>
    <w:rsid w:val="009A47A8"/>
    <w:rsid w:val="009A494E"/>
    <w:rsid w:val="009A4B9F"/>
    <w:rsid w:val="009A54C0"/>
    <w:rsid w:val="009A67F3"/>
    <w:rsid w:val="009A6B36"/>
    <w:rsid w:val="009A767D"/>
    <w:rsid w:val="009A786E"/>
    <w:rsid w:val="009A7AB8"/>
    <w:rsid w:val="009B3493"/>
    <w:rsid w:val="009B3F01"/>
    <w:rsid w:val="009B452C"/>
    <w:rsid w:val="009B49AD"/>
    <w:rsid w:val="009B571A"/>
    <w:rsid w:val="009B6AFC"/>
    <w:rsid w:val="009B707E"/>
    <w:rsid w:val="009C183B"/>
    <w:rsid w:val="009C4E3F"/>
    <w:rsid w:val="009C63F8"/>
    <w:rsid w:val="009C6E7B"/>
    <w:rsid w:val="009C73A2"/>
    <w:rsid w:val="009D1827"/>
    <w:rsid w:val="009D19FF"/>
    <w:rsid w:val="009D2A10"/>
    <w:rsid w:val="009D363D"/>
    <w:rsid w:val="009D4E81"/>
    <w:rsid w:val="009D697F"/>
    <w:rsid w:val="009E0A8C"/>
    <w:rsid w:val="009E0C9F"/>
    <w:rsid w:val="009E28CC"/>
    <w:rsid w:val="009E3323"/>
    <w:rsid w:val="009E3790"/>
    <w:rsid w:val="009E380F"/>
    <w:rsid w:val="009E3C92"/>
    <w:rsid w:val="009E4416"/>
    <w:rsid w:val="009F4ED6"/>
    <w:rsid w:val="009F6E87"/>
    <w:rsid w:val="00A02E80"/>
    <w:rsid w:val="00A05BE6"/>
    <w:rsid w:val="00A067EC"/>
    <w:rsid w:val="00A072C8"/>
    <w:rsid w:val="00A07396"/>
    <w:rsid w:val="00A10628"/>
    <w:rsid w:val="00A1120A"/>
    <w:rsid w:val="00A1320B"/>
    <w:rsid w:val="00A13924"/>
    <w:rsid w:val="00A15CD1"/>
    <w:rsid w:val="00A16ED8"/>
    <w:rsid w:val="00A17FA8"/>
    <w:rsid w:val="00A21339"/>
    <w:rsid w:val="00A21E55"/>
    <w:rsid w:val="00A22537"/>
    <w:rsid w:val="00A24770"/>
    <w:rsid w:val="00A25148"/>
    <w:rsid w:val="00A276A5"/>
    <w:rsid w:val="00A276B4"/>
    <w:rsid w:val="00A27DB6"/>
    <w:rsid w:val="00A30701"/>
    <w:rsid w:val="00A30A4E"/>
    <w:rsid w:val="00A32A68"/>
    <w:rsid w:val="00A35D1F"/>
    <w:rsid w:val="00A37455"/>
    <w:rsid w:val="00A3784B"/>
    <w:rsid w:val="00A4097C"/>
    <w:rsid w:val="00A40BD4"/>
    <w:rsid w:val="00A41623"/>
    <w:rsid w:val="00A429BF"/>
    <w:rsid w:val="00A44302"/>
    <w:rsid w:val="00A4495B"/>
    <w:rsid w:val="00A461F8"/>
    <w:rsid w:val="00A504D0"/>
    <w:rsid w:val="00A52F86"/>
    <w:rsid w:val="00A55EDA"/>
    <w:rsid w:val="00A57069"/>
    <w:rsid w:val="00A57285"/>
    <w:rsid w:val="00A60270"/>
    <w:rsid w:val="00A64661"/>
    <w:rsid w:val="00A6517D"/>
    <w:rsid w:val="00A65E21"/>
    <w:rsid w:val="00A66184"/>
    <w:rsid w:val="00A661B5"/>
    <w:rsid w:val="00A66A42"/>
    <w:rsid w:val="00A66BEC"/>
    <w:rsid w:val="00A67342"/>
    <w:rsid w:val="00A7238F"/>
    <w:rsid w:val="00A729B0"/>
    <w:rsid w:val="00A73BD3"/>
    <w:rsid w:val="00A745A0"/>
    <w:rsid w:val="00A74A12"/>
    <w:rsid w:val="00A74B91"/>
    <w:rsid w:val="00A75963"/>
    <w:rsid w:val="00A81864"/>
    <w:rsid w:val="00A81CAE"/>
    <w:rsid w:val="00A81E19"/>
    <w:rsid w:val="00A832A0"/>
    <w:rsid w:val="00A83DE6"/>
    <w:rsid w:val="00A8554C"/>
    <w:rsid w:val="00A85A4F"/>
    <w:rsid w:val="00A90226"/>
    <w:rsid w:val="00A92C30"/>
    <w:rsid w:val="00A97DBB"/>
    <w:rsid w:val="00AA0C95"/>
    <w:rsid w:val="00AA12A4"/>
    <w:rsid w:val="00AA36D5"/>
    <w:rsid w:val="00AA3E5C"/>
    <w:rsid w:val="00AA4DEF"/>
    <w:rsid w:val="00AA4EC0"/>
    <w:rsid w:val="00AA60B2"/>
    <w:rsid w:val="00AB0AF1"/>
    <w:rsid w:val="00AB23B1"/>
    <w:rsid w:val="00AB4BC6"/>
    <w:rsid w:val="00AB6399"/>
    <w:rsid w:val="00AB73A2"/>
    <w:rsid w:val="00AC1184"/>
    <w:rsid w:val="00AC1A3C"/>
    <w:rsid w:val="00AC3596"/>
    <w:rsid w:val="00AC409B"/>
    <w:rsid w:val="00AC5054"/>
    <w:rsid w:val="00AC60B4"/>
    <w:rsid w:val="00AC620E"/>
    <w:rsid w:val="00AD0293"/>
    <w:rsid w:val="00AD0562"/>
    <w:rsid w:val="00AD19E0"/>
    <w:rsid w:val="00AD1BC8"/>
    <w:rsid w:val="00AD2A7D"/>
    <w:rsid w:val="00AD39FF"/>
    <w:rsid w:val="00AD416D"/>
    <w:rsid w:val="00AD598C"/>
    <w:rsid w:val="00AD737D"/>
    <w:rsid w:val="00AE0421"/>
    <w:rsid w:val="00AE1D52"/>
    <w:rsid w:val="00AE1DE5"/>
    <w:rsid w:val="00AE2F87"/>
    <w:rsid w:val="00AE35E2"/>
    <w:rsid w:val="00AE4080"/>
    <w:rsid w:val="00AE593D"/>
    <w:rsid w:val="00AE60E5"/>
    <w:rsid w:val="00AE6412"/>
    <w:rsid w:val="00AF06F7"/>
    <w:rsid w:val="00AF0EA1"/>
    <w:rsid w:val="00AF1174"/>
    <w:rsid w:val="00AF1CD8"/>
    <w:rsid w:val="00AF239E"/>
    <w:rsid w:val="00AF3534"/>
    <w:rsid w:val="00AF7A06"/>
    <w:rsid w:val="00B00A6A"/>
    <w:rsid w:val="00B02090"/>
    <w:rsid w:val="00B021D4"/>
    <w:rsid w:val="00B029D0"/>
    <w:rsid w:val="00B04346"/>
    <w:rsid w:val="00B04CB7"/>
    <w:rsid w:val="00B058E2"/>
    <w:rsid w:val="00B0723A"/>
    <w:rsid w:val="00B07861"/>
    <w:rsid w:val="00B10F4A"/>
    <w:rsid w:val="00B11111"/>
    <w:rsid w:val="00B12172"/>
    <w:rsid w:val="00B12680"/>
    <w:rsid w:val="00B131BA"/>
    <w:rsid w:val="00B144FB"/>
    <w:rsid w:val="00B14987"/>
    <w:rsid w:val="00B14A86"/>
    <w:rsid w:val="00B15403"/>
    <w:rsid w:val="00B21EDC"/>
    <w:rsid w:val="00B224B6"/>
    <w:rsid w:val="00B226F7"/>
    <w:rsid w:val="00B22B7F"/>
    <w:rsid w:val="00B23394"/>
    <w:rsid w:val="00B25657"/>
    <w:rsid w:val="00B25AD7"/>
    <w:rsid w:val="00B27567"/>
    <w:rsid w:val="00B27F83"/>
    <w:rsid w:val="00B307C6"/>
    <w:rsid w:val="00B31D37"/>
    <w:rsid w:val="00B31DC3"/>
    <w:rsid w:val="00B3286B"/>
    <w:rsid w:val="00B3771F"/>
    <w:rsid w:val="00B37BDE"/>
    <w:rsid w:val="00B400DD"/>
    <w:rsid w:val="00B40974"/>
    <w:rsid w:val="00B457C7"/>
    <w:rsid w:val="00B463C1"/>
    <w:rsid w:val="00B4688E"/>
    <w:rsid w:val="00B47B22"/>
    <w:rsid w:val="00B51318"/>
    <w:rsid w:val="00B51D40"/>
    <w:rsid w:val="00B51F26"/>
    <w:rsid w:val="00B526F2"/>
    <w:rsid w:val="00B53425"/>
    <w:rsid w:val="00B53B49"/>
    <w:rsid w:val="00B54435"/>
    <w:rsid w:val="00B567C8"/>
    <w:rsid w:val="00B57C3A"/>
    <w:rsid w:val="00B57FA9"/>
    <w:rsid w:val="00B60682"/>
    <w:rsid w:val="00B60828"/>
    <w:rsid w:val="00B616AA"/>
    <w:rsid w:val="00B61D01"/>
    <w:rsid w:val="00B631A9"/>
    <w:rsid w:val="00B634AB"/>
    <w:rsid w:val="00B63A14"/>
    <w:rsid w:val="00B6446B"/>
    <w:rsid w:val="00B64715"/>
    <w:rsid w:val="00B64A00"/>
    <w:rsid w:val="00B65705"/>
    <w:rsid w:val="00B70AC5"/>
    <w:rsid w:val="00B75AAB"/>
    <w:rsid w:val="00B75C6A"/>
    <w:rsid w:val="00B764F1"/>
    <w:rsid w:val="00B80C15"/>
    <w:rsid w:val="00B81C20"/>
    <w:rsid w:val="00B8496C"/>
    <w:rsid w:val="00B85D63"/>
    <w:rsid w:val="00B9103D"/>
    <w:rsid w:val="00B930F3"/>
    <w:rsid w:val="00B96C90"/>
    <w:rsid w:val="00B9731F"/>
    <w:rsid w:val="00BA0623"/>
    <w:rsid w:val="00BA374E"/>
    <w:rsid w:val="00BA37B7"/>
    <w:rsid w:val="00BA3C17"/>
    <w:rsid w:val="00BA5A85"/>
    <w:rsid w:val="00BA6344"/>
    <w:rsid w:val="00BA768A"/>
    <w:rsid w:val="00BB07F7"/>
    <w:rsid w:val="00BB0DE4"/>
    <w:rsid w:val="00BB17FB"/>
    <w:rsid w:val="00BB1CD6"/>
    <w:rsid w:val="00BB29F0"/>
    <w:rsid w:val="00BB4D27"/>
    <w:rsid w:val="00BB6FED"/>
    <w:rsid w:val="00BC32EE"/>
    <w:rsid w:val="00BC43C4"/>
    <w:rsid w:val="00BC4591"/>
    <w:rsid w:val="00BC4A06"/>
    <w:rsid w:val="00BC4A7B"/>
    <w:rsid w:val="00BC4CCE"/>
    <w:rsid w:val="00BC5842"/>
    <w:rsid w:val="00BC588D"/>
    <w:rsid w:val="00BC6C11"/>
    <w:rsid w:val="00BD0CF9"/>
    <w:rsid w:val="00BD2BB0"/>
    <w:rsid w:val="00BD2D8E"/>
    <w:rsid w:val="00BD4E06"/>
    <w:rsid w:val="00BD583A"/>
    <w:rsid w:val="00BD66B1"/>
    <w:rsid w:val="00BD6978"/>
    <w:rsid w:val="00BD6E44"/>
    <w:rsid w:val="00BE025C"/>
    <w:rsid w:val="00BE12A6"/>
    <w:rsid w:val="00BE2B15"/>
    <w:rsid w:val="00BE3052"/>
    <w:rsid w:val="00BE3D3A"/>
    <w:rsid w:val="00BE43FF"/>
    <w:rsid w:val="00BE5198"/>
    <w:rsid w:val="00BE7E62"/>
    <w:rsid w:val="00BF0BA4"/>
    <w:rsid w:val="00BF0BC7"/>
    <w:rsid w:val="00BF11B7"/>
    <w:rsid w:val="00BF1CC7"/>
    <w:rsid w:val="00BF33FA"/>
    <w:rsid w:val="00BF34FC"/>
    <w:rsid w:val="00BF3656"/>
    <w:rsid w:val="00BF46B6"/>
    <w:rsid w:val="00BF55F1"/>
    <w:rsid w:val="00BF66DB"/>
    <w:rsid w:val="00BF7C80"/>
    <w:rsid w:val="00BF7CDA"/>
    <w:rsid w:val="00C02CC5"/>
    <w:rsid w:val="00C047E7"/>
    <w:rsid w:val="00C05D7D"/>
    <w:rsid w:val="00C10D33"/>
    <w:rsid w:val="00C114D2"/>
    <w:rsid w:val="00C12853"/>
    <w:rsid w:val="00C12A52"/>
    <w:rsid w:val="00C13717"/>
    <w:rsid w:val="00C137FD"/>
    <w:rsid w:val="00C13CC4"/>
    <w:rsid w:val="00C1571A"/>
    <w:rsid w:val="00C1597C"/>
    <w:rsid w:val="00C200FF"/>
    <w:rsid w:val="00C21DBF"/>
    <w:rsid w:val="00C22C59"/>
    <w:rsid w:val="00C271C8"/>
    <w:rsid w:val="00C323F7"/>
    <w:rsid w:val="00C342AF"/>
    <w:rsid w:val="00C34C48"/>
    <w:rsid w:val="00C35028"/>
    <w:rsid w:val="00C3675A"/>
    <w:rsid w:val="00C370B9"/>
    <w:rsid w:val="00C373BA"/>
    <w:rsid w:val="00C3742B"/>
    <w:rsid w:val="00C4157C"/>
    <w:rsid w:val="00C42D9D"/>
    <w:rsid w:val="00C4593E"/>
    <w:rsid w:val="00C45B0B"/>
    <w:rsid w:val="00C45B4F"/>
    <w:rsid w:val="00C471B8"/>
    <w:rsid w:val="00C47279"/>
    <w:rsid w:val="00C47FC5"/>
    <w:rsid w:val="00C5146C"/>
    <w:rsid w:val="00C521C2"/>
    <w:rsid w:val="00C52DEB"/>
    <w:rsid w:val="00C5478A"/>
    <w:rsid w:val="00C549B7"/>
    <w:rsid w:val="00C55383"/>
    <w:rsid w:val="00C56E84"/>
    <w:rsid w:val="00C60599"/>
    <w:rsid w:val="00C608F6"/>
    <w:rsid w:val="00C60B15"/>
    <w:rsid w:val="00C60F93"/>
    <w:rsid w:val="00C626E6"/>
    <w:rsid w:val="00C64E38"/>
    <w:rsid w:val="00C70165"/>
    <w:rsid w:val="00C716D8"/>
    <w:rsid w:val="00C71BC2"/>
    <w:rsid w:val="00C76224"/>
    <w:rsid w:val="00C804A8"/>
    <w:rsid w:val="00C8101A"/>
    <w:rsid w:val="00C819B9"/>
    <w:rsid w:val="00C82501"/>
    <w:rsid w:val="00C827D8"/>
    <w:rsid w:val="00C8428E"/>
    <w:rsid w:val="00C84859"/>
    <w:rsid w:val="00C90941"/>
    <w:rsid w:val="00C90CFC"/>
    <w:rsid w:val="00C92FC0"/>
    <w:rsid w:val="00C93350"/>
    <w:rsid w:val="00C95454"/>
    <w:rsid w:val="00C95538"/>
    <w:rsid w:val="00CA19A8"/>
    <w:rsid w:val="00CA5482"/>
    <w:rsid w:val="00CA67D5"/>
    <w:rsid w:val="00CA754D"/>
    <w:rsid w:val="00CA78BC"/>
    <w:rsid w:val="00CA7E9A"/>
    <w:rsid w:val="00CB26ED"/>
    <w:rsid w:val="00CB2E2D"/>
    <w:rsid w:val="00CB3866"/>
    <w:rsid w:val="00CB4043"/>
    <w:rsid w:val="00CB4086"/>
    <w:rsid w:val="00CB4200"/>
    <w:rsid w:val="00CB62B3"/>
    <w:rsid w:val="00CB665F"/>
    <w:rsid w:val="00CC09A5"/>
    <w:rsid w:val="00CC2A86"/>
    <w:rsid w:val="00CC3631"/>
    <w:rsid w:val="00CC3ABD"/>
    <w:rsid w:val="00CC4060"/>
    <w:rsid w:val="00CC7420"/>
    <w:rsid w:val="00CD0141"/>
    <w:rsid w:val="00CD01E9"/>
    <w:rsid w:val="00CD088B"/>
    <w:rsid w:val="00CD09A5"/>
    <w:rsid w:val="00CD13A4"/>
    <w:rsid w:val="00CD1434"/>
    <w:rsid w:val="00CD1E4F"/>
    <w:rsid w:val="00CD53FE"/>
    <w:rsid w:val="00CD6EF0"/>
    <w:rsid w:val="00CD793A"/>
    <w:rsid w:val="00CE1F4F"/>
    <w:rsid w:val="00CE2504"/>
    <w:rsid w:val="00CE5F2F"/>
    <w:rsid w:val="00CE723E"/>
    <w:rsid w:val="00CE771C"/>
    <w:rsid w:val="00CF0D51"/>
    <w:rsid w:val="00CF1675"/>
    <w:rsid w:val="00CF1999"/>
    <w:rsid w:val="00CF4946"/>
    <w:rsid w:val="00CF7618"/>
    <w:rsid w:val="00D003ED"/>
    <w:rsid w:val="00D018FF"/>
    <w:rsid w:val="00D01946"/>
    <w:rsid w:val="00D02DE8"/>
    <w:rsid w:val="00D0486E"/>
    <w:rsid w:val="00D0488A"/>
    <w:rsid w:val="00D05D86"/>
    <w:rsid w:val="00D07B0A"/>
    <w:rsid w:val="00D12E9D"/>
    <w:rsid w:val="00D14613"/>
    <w:rsid w:val="00D15597"/>
    <w:rsid w:val="00D161BF"/>
    <w:rsid w:val="00D20958"/>
    <w:rsid w:val="00D21BA6"/>
    <w:rsid w:val="00D21D78"/>
    <w:rsid w:val="00D21D99"/>
    <w:rsid w:val="00D23A5D"/>
    <w:rsid w:val="00D2763D"/>
    <w:rsid w:val="00D30B77"/>
    <w:rsid w:val="00D30C9D"/>
    <w:rsid w:val="00D30CEC"/>
    <w:rsid w:val="00D30F0C"/>
    <w:rsid w:val="00D3156F"/>
    <w:rsid w:val="00D31A86"/>
    <w:rsid w:val="00D348D7"/>
    <w:rsid w:val="00D352AA"/>
    <w:rsid w:val="00D35EC9"/>
    <w:rsid w:val="00D36730"/>
    <w:rsid w:val="00D36F6D"/>
    <w:rsid w:val="00D37EE2"/>
    <w:rsid w:val="00D4287C"/>
    <w:rsid w:val="00D42F92"/>
    <w:rsid w:val="00D472CD"/>
    <w:rsid w:val="00D5036F"/>
    <w:rsid w:val="00D50DDA"/>
    <w:rsid w:val="00D51680"/>
    <w:rsid w:val="00D51729"/>
    <w:rsid w:val="00D51883"/>
    <w:rsid w:val="00D51F7F"/>
    <w:rsid w:val="00D5219B"/>
    <w:rsid w:val="00D52CE3"/>
    <w:rsid w:val="00D53A26"/>
    <w:rsid w:val="00D62948"/>
    <w:rsid w:val="00D62B72"/>
    <w:rsid w:val="00D63362"/>
    <w:rsid w:val="00D6523F"/>
    <w:rsid w:val="00D66665"/>
    <w:rsid w:val="00D670AD"/>
    <w:rsid w:val="00D67174"/>
    <w:rsid w:val="00D67A5F"/>
    <w:rsid w:val="00D70084"/>
    <w:rsid w:val="00D70926"/>
    <w:rsid w:val="00D72900"/>
    <w:rsid w:val="00D72D14"/>
    <w:rsid w:val="00D74461"/>
    <w:rsid w:val="00D7476A"/>
    <w:rsid w:val="00D74C33"/>
    <w:rsid w:val="00D74F8A"/>
    <w:rsid w:val="00D75DCB"/>
    <w:rsid w:val="00D75FDD"/>
    <w:rsid w:val="00D76272"/>
    <w:rsid w:val="00D76F56"/>
    <w:rsid w:val="00D772E8"/>
    <w:rsid w:val="00D80921"/>
    <w:rsid w:val="00D81F5E"/>
    <w:rsid w:val="00D83B9C"/>
    <w:rsid w:val="00D83D30"/>
    <w:rsid w:val="00D85D3C"/>
    <w:rsid w:val="00D8681B"/>
    <w:rsid w:val="00D86921"/>
    <w:rsid w:val="00D8775C"/>
    <w:rsid w:val="00D87889"/>
    <w:rsid w:val="00D91D6A"/>
    <w:rsid w:val="00D94142"/>
    <w:rsid w:val="00D94909"/>
    <w:rsid w:val="00D96F09"/>
    <w:rsid w:val="00D9778C"/>
    <w:rsid w:val="00DA06B9"/>
    <w:rsid w:val="00DA0A53"/>
    <w:rsid w:val="00DA4404"/>
    <w:rsid w:val="00DA72DF"/>
    <w:rsid w:val="00DA7C3B"/>
    <w:rsid w:val="00DB1859"/>
    <w:rsid w:val="00DB24CC"/>
    <w:rsid w:val="00DB2787"/>
    <w:rsid w:val="00DB5D35"/>
    <w:rsid w:val="00DB6D18"/>
    <w:rsid w:val="00DC288D"/>
    <w:rsid w:val="00DC45EB"/>
    <w:rsid w:val="00DC4861"/>
    <w:rsid w:val="00DC4C98"/>
    <w:rsid w:val="00DC63DA"/>
    <w:rsid w:val="00DC6B1E"/>
    <w:rsid w:val="00DD3145"/>
    <w:rsid w:val="00DD34E5"/>
    <w:rsid w:val="00DD408C"/>
    <w:rsid w:val="00DD4803"/>
    <w:rsid w:val="00DD4D72"/>
    <w:rsid w:val="00DD55B3"/>
    <w:rsid w:val="00DD5CD9"/>
    <w:rsid w:val="00DD640C"/>
    <w:rsid w:val="00DD67AD"/>
    <w:rsid w:val="00DD681A"/>
    <w:rsid w:val="00DD6B9E"/>
    <w:rsid w:val="00DE3AFB"/>
    <w:rsid w:val="00DE6243"/>
    <w:rsid w:val="00DE6D44"/>
    <w:rsid w:val="00DE71E7"/>
    <w:rsid w:val="00DE7AA1"/>
    <w:rsid w:val="00DF1CAF"/>
    <w:rsid w:val="00DF2C3C"/>
    <w:rsid w:val="00DF3C87"/>
    <w:rsid w:val="00DF436E"/>
    <w:rsid w:val="00DF55C6"/>
    <w:rsid w:val="00DF5870"/>
    <w:rsid w:val="00DF7D7C"/>
    <w:rsid w:val="00E01C8D"/>
    <w:rsid w:val="00E01ED9"/>
    <w:rsid w:val="00E01F34"/>
    <w:rsid w:val="00E027B0"/>
    <w:rsid w:val="00E02DE1"/>
    <w:rsid w:val="00E04645"/>
    <w:rsid w:val="00E061D7"/>
    <w:rsid w:val="00E0786A"/>
    <w:rsid w:val="00E12F45"/>
    <w:rsid w:val="00E1368C"/>
    <w:rsid w:val="00E13C87"/>
    <w:rsid w:val="00E14D47"/>
    <w:rsid w:val="00E1571D"/>
    <w:rsid w:val="00E15D7D"/>
    <w:rsid w:val="00E15E18"/>
    <w:rsid w:val="00E15E2D"/>
    <w:rsid w:val="00E167F0"/>
    <w:rsid w:val="00E17370"/>
    <w:rsid w:val="00E17AC2"/>
    <w:rsid w:val="00E21266"/>
    <w:rsid w:val="00E238A2"/>
    <w:rsid w:val="00E240D3"/>
    <w:rsid w:val="00E24368"/>
    <w:rsid w:val="00E24B6D"/>
    <w:rsid w:val="00E24D14"/>
    <w:rsid w:val="00E25AD6"/>
    <w:rsid w:val="00E2755A"/>
    <w:rsid w:val="00E300A8"/>
    <w:rsid w:val="00E30987"/>
    <w:rsid w:val="00E30F56"/>
    <w:rsid w:val="00E31028"/>
    <w:rsid w:val="00E31CFB"/>
    <w:rsid w:val="00E32A4D"/>
    <w:rsid w:val="00E33E5E"/>
    <w:rsid w:val="00E348DC"/>
    <w:rsid w:val="00E3504B"/>
    <w:rsid w:val="00E36094"/>
    <w:rsid w:val="00E367F5"/>
    <w:rsid w:val="00E369FD"/>
    <w:rsid w:val="00E36C3D"/>
    <w:rsid w:val="00E40FC9"/>
    <w:rsid w:val="00E4167E"/>
    <w:rsid w:val="00E41AB3"/>
    <w:rsid w:val="00E43B25"/>
    <w:rsid w:val="00E4453A"/>
    <w:rsid w:val="00E449B7"/>
    <w:rsid w:val="00E45289"/>
    <w:rsid w:val="00E460CE"/>
    <w:rsid w:val="00E47E5A"/>
    <w:rsid w:val="00E51873"/>
    <w:rsid w:val="00E532B7"/>
    <w:rsid w:val="00E53AF0"/>
    <w:rsid w:val="00E55D73"/>
    <w:rsid w:val="00E609EF"/>
    <w:rsid w:val="00E62136"/>
    <w:rsid w:val="00E64315"/>
    <w:rsid w:val="00E645DA"/>
    <w:rsid w:val="00E67659"/>
    <w:rsid w:val="00E72E9B"/>
    <w:rsid w:val="00E73B9A"/>
    <w:rsid w:val="00E73E74"/>
    <w:rsid w:val="00E75111"/>
    <w:rsid w:val="00E75C14"/>
    <w:rsid w:val="00E76A86"/>
    <w:rsid w:val="00E8022B"/>
    <w:rsid w:val="00E824AA"/>
    <w:rsid w:val="00E833F9"/>
    <w:rsid w:val="00E85349"/>
    <w:rsid w:val="00E85E39"/>
    <w:rsid w:val="00E903DC"/>
    <w:rsid w:val="00E90A01"/>
    <w:rsid w:val="00E933AD"/>
    <w:rsid w:val="00E946A4"/>
    <w:rsid w:val="00E96435"/>
    <w:rsid w:val="00E9769F"/>
    <w:rsid w:val="00E97C11"/>
    <w:rsid w:val="00EA23D5"/>
    <w:rsid w:val="00EA2886"/>
    <w:rsid w:val="00EA2CDB"/>
    <w:rsid w:val="00EA308D"/>
    <w:rsid w:val="00EA333E"/>
    <w:rsid w:val="00EA3E8D"/>
    <w:rsid w:val="00EA4C94"/>
    <w:rsid w:val="00EA4E97"/>
    <w:rsid w:val="00EB0E3C"/>
    <w:rsid w:val="00EB1C8A"/>
    <w:rsid w:val="00EB2068"/>
    <w:rsid w:val="00EB2216"/>
    <w:rsid w:val="00EB330C"/>
    <w:rsid w:val="00EB3960"/>
    <w:rsid w:val="00EB43F2"/>
    <w:rsid w:val="00EB4B31"/>
    <w:rsid w:val="00EC0902"/>
    <w:rsid w:val="00EC0B57"/>
    <w:rsid w:val="00EC3DB6"/>
    <w:rsid w:val="00EC3DED"/>
    <w:rsid w:val="00EC4109"/>
    <w:rsid w:val="00EC4707"/>
    <w:rsid w:val="00EC553F"/>
    <w:rsid w:val="00EC57AA"/>
    <w:rsid w:val="00EC7A5E"/>
    <w:rsid w:val="00EC7D97"/>
    <w:rsid w:val="00ED145F"/>
    <w:rsid w:val="00ED28DA"/>
    <w:rsid w:val="00ED329B"/>
    <w:rsid w:val="00ED4C91"/>
    <w:rsid w:val="00ED520F"/>
    <w:rsid w:val="00ED75DA"/>
    <w:rsid w:val="00ED7D41"/>
    <w:rsid w:val="00EE07F8"/>
    <w:rsid w:val="00EE53A3"/>
    <w:rsid w:val="00EE73D8"/>
    <w:rsid w:val="00EF0CF7"/>
    <w:rsid w:val="00EF282B"/>
    <w:rsid w:val="00EF3C9F"/>
    <w:rsid w:val="00EF541F"/>
    <w:rsid w:val="00EF55F9"/>
    <w:rsid w:val="00EF5D57"/>
    <w:rsid w:val="00F01308"/>
    <w:rsid w:val="00F01B37"/>
    <w:rsid w:val="00F01DFF"/>
    <w:rsid w:val="00F035FA"/>
    <w:rsid w:val="00F0390B"/>
    <w:rsid w:val="00F04245"/>
    <w:rsid w:val="00F10815"/>
    <w:rsid w:val="00F1096B"/>
    <w:rsid w:val="00F141CE"/>
    <w:rsid w:val="00F142BB"/>
    <w:rsid w:val="00F1497C"/>
    <w:rsid w:val="00F15E8C"/>
    <w:rsid w:val="00F20932"/>
    <w:rsid w:val="00F23470"/>
    <w:rsid w:val="00F2348E"/>
    <w:rsid w:val="00F24655"/>
    <w:rsid w:val="00F24700"/>
    <w:rsid w:val="00F24E0F"/>
    <w:rsid w:val="00F30280"/>
    <w:rsid w:val="00F305F6"/>
    <w:rsid w:val="00F30ECE"/>
    <w:rsid w:val="00F338EB"/>
    <w:rsid w:val="00F33B75"/>
    <w:rsid w:val="00F342FA"/>
    <w:rsid w:val="00F355FD"/>
    <w:rsid w:val="00F36422"/>
    <w:rsid w:val="00F368D8"/>
    <w:rsid w:val="00F36C4B"/>
    <w:rsid w:val="00F4215F"/>
    <w:rsid w:val="00F42E5A"/>
    <w:rsid w:val="00F461C0"/>
    <w:rsid w:val="00F46C77"/>
    <w:rsid w:val="00F51151"/>
    <w:rsid w:val="00F54AD5"/>
    <w:rsid w:val="00F55DF4"/>
    <w:rsid w:val="00F56023"/>
    <w:rsid w:val="00F56725"/>
    <w:rsid w:val="00F573AE"/>
    <w:rsid w:val="00F57B64"/>
    <w:rsid w:val="00F57BCC"/>
    <w:rsid w:val="00F60CBD"/>
    <w:rsid w:val="00F63690"/>
    <w:rsid w:val="00F64290"/>
    <w:rsid w:val="00F642F9"/>
    <w:rsid w:val="00F64F1F"/>
    <w:rsid w:val="00F665A5"/>
    <w:rsid w:val="00F668DC"/>
    <w:rsid w:val="00F71D5C"/>
    <w:rsid w:val="00F74AF7"/>
    <w:rsid w:val="00F75BB4"/>
    <w:rsid w:val="00F75F75"/>
    <w:rsid w:val="00F764C1"/>
    <w:rsid w:val="00F7750C"/>
    <w:rsid w:val="00F77F6F"/>
    <w:rsid w:val="00F81A74"/>
    <w:rsid w:val="00F81BE7"/>
    <w:rsid w:val="00F825BB"/>
    <w:rsid w:val="00F83AD4"/>
    <w:rsid w:val="00F8547C"/>
    <w:rsid w:val="00F858B7"/>
    <w:rsid w:val="00F87769"/>
    <w:rsid w:val="00F907F5"/>
    <w:rsid w:val="00F91316"/>
    <w:rsid w:val="00F91751"/>
    <w:rsid w:val="00F94C9B"/>
    <w:rsid w:val="00F95105"/>
    <w:rsid w:val="00F971DC"/>
    <w:rsid w:val="00FA146D"/>
    <w:rsid w:val="00FA31BE"/>
    <w:rsid w:val="00FA40D6"/>
    <w:rsid w:val="00FA433B"/>
    <w:rsid w:val="00FA4B4B"/>
    <w:rsid w:val="00FA5C73"/>
    <w:rsid w:val="00FA7D49"/>
    <w:rsid w:val="00FB02F6"/>
    <w:rsid w:val="00FB485B"/>
    <w:rsid w:val="00FB591C"/>
    <w:rsid w:val="00FB63B2"/>
    <w:rsid w:val="00FB6D1E"/>
    <w:rsid w:val="00FC0808"/>
    <w:rsid w:val="00FC176E"/>
    <w:rsid w:val="00FC35EE"/>
    <w:rsid w:val="00FC39B8"/>
    <w:rsid w:val="00FC3EAD"/>
    <w:rsid w:val="00FC5AF2"/>
    <w:rsid w:val="00FC7364"/>
    <w:rsid w:val="00FC7D4D"/>
    <w:rsid w:val="00FD1E48"/>
    <w:rsid w:val="00FD22E7"/>
    <w:rsid w:val="00FD2898"/>
    <w:rsid w:val="00FD2BB9"/>
    <w:rsid w:val="00FD3548"/>
    <w:rsid w:val="00FD3846"/>
    <w:rsid w:val="00FD4F41"/>
    <w:rsid w:val="00FD50FC"/>
    <w:rsid w:val="00FD6250"/>
    <w:rsid w:val="00FD6880"/>
    <w:rsid w:val="00FE090A"/>
    <w:rsid w:val="00FE0EFA"/>
    <w:rsid w:val="00FE2239"/>
    <w:rsid w:val="00FE241F"/>
    <w:rsid w:val="00FE2483"/>
    <w:rsid w:val="00FE26C6"/>
    <w:rsid w:val="00FE57E0"/>
    <w:rsid w:val="00FE6CBE"/>
    <w:rsid w:val="00FE7D95"/>
    <w:rsid w:val="00FF1E0D"/>
    <w:rsid w:val="00FF4336"/>
    <w:rsid w:val="00FF4626"/>
    <w:rsid w:val="00FF550E"/>
    <w:rsid w:val="00FF6C1C"/>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1C2B6"/>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560CEA"/>
    <w:pPr>
      <w:ind w:left="720"/>
      <w:contextualSpacing/>
    </w:pPr>
  </w:style>
  <w:style w:type="paragraph" w:styleId="NormalWeb">
    <w:name w:val="Normal (Web)"/>
    <w:basedOn w:val="Normal"/>
    <w:uiPriority w:val="99"/>
    <w:semiHidden/>
    <w:unhideWhenUsed/>
    <w:rsid w:val="00CF1675"/>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6735">
      <w:bodyDiv w:val="1"/>
      <w:marLeft w:val="0"/>
      <w:marRight w:val="0"/>
      <w:marTop w:val="0"/>
      <w:marBottom w:val="0"/>
      <w:divBdr>
        <w:top w:val="none" w:sz="0" w:space="0" w:color="auto"/>
        <w:left w:val="none" w:sz="0" w:space="0" w:color="auto"/>
        <w:bottom w:val="none" w:sz="0" w:space="0" w:color="auto"/>
        <w:right w:val="none" w:sz="0" w:space="0" w:color="auto"/>
      </w:divBdr>
      <w:divsChild>
        <w:div w:id="271866193">
          <w:marLeft w:val="0"/>
          <w:marRight w:val="0"/>
          <w:marTop w:val="0"/>
          <w:marBottom w:val="0"/>
          <w:divBdr>
            <w:top w:val="none" w:sz="0" w:space="0" w:color="auto"/>
            <w:left w:val="none" w:sz="0" w:space="0" w:color="auto"/>
            <w:bottom w:val="none" w:sz="0" w:space="0" w:color="auto"/>
            <w:right w:val="none" w:sz="0" w:space="0" w:color="auto"/>
          </w:divBdr>
          <w:divsChild>
            <w:div w:id="1824203155">
              <w:marLeft w:val="0"/>
              <w:marRight w:val="0"/>
              <w:marTop w:val="0"/>
              <w:marBottom w:val="0"/>
              <w:divBdr>
                <w:top w:val="none" w:sz="0" w:space="0" w:color="auto"/>
                <w:left w:val="none" w:sz="0" w:space="0" w:color="auto"/>
                <w:bottom w:val="none" w:sz="0" w:space="0" w:color="auto"/>
                <w:right w:val="none" w:sz="0" w:space="0" w:color="auto"/>
              </w:divBdr>
              <w:divsChild>
                <w:div w:id="16114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3660">
      <w:bodyDiv w:val="1"/>
      <w:marLeft w:val="0"/>
      <w:marRight w:val="0"/>
      <w:marTop w:val="0"/>
      <w:marBottom w:val="0"/>
      <w:divBdr>
        <w:top w:val="none" w:sz="0" w:space="0" w:color="auto"/>
        <w:left w:val="none" w:sz="0" w:space="0" w:color="auto"/>
        <w:bottom w:val="none" w:sz="0" w:space="0" w:color="auto"/>
        <w:right w:val="none" w:sz="0" w:space="0" w:color="auto"/>
      </w:divBdr>
    </w:div>
    <w:div w:id="635909507">
      <w:bodyDiv w:val="1"/>
      <w:marLeft w:val="0"/>
      <w:marRight w:val="0"/>
      <w:marTop w:val="0"/>
      <w:marBottom w:val="0"/>
      <w:divBdr>
        <w:top w:val="none" w:sz="0" w:space="0" w:color="auto"/>
        <w:left w:val="none" w:sz="0" w:space="0" w:color="auto"/>
        <w:bottom w:val="none" w:sz="0" w:space="0" w:color="auto"/>
        <w:right w:val="none" w:sz="0" w:space="0" w:color="auto"/>
      </w:divBdr>
      <w:divsChild>
        <w:div w:id="1908879865">
          <w:marLeft w:val="0"/>
          <w:marRight w:val="0"/>
          <w:marTop w:val="0"/>
          <w:marBottom w:val="0"/>
          <w:divBdr>
            <w:top w:val="none" w:sz="0" w:space="0" w:color="auto"/>
            <w:left w:val="none" w:sz="0" w:space="0" w:color="auto"/>
            <w:bottom w:val="none" w:sz="0" w:space="0" w:color="auto"/>
            <w:right w:val="none" w:sz="0" w:space="0" w:color="auto"/>
          </w:divBdr>
          <w:divsChild>
            <w:div w:id="406877982">
              <w:marLeft w:val="0"/>
              <w:marRight w:val="0"/>
              <w:marTop w:val="0"/>
              <w:marBottom w:val="0"/>
              <w:divBdr>
                <w:top w:val="none" w:sz="0" w:space="0" w:color="auto"/>
                <w:left w:val="none" w:sz="0" w:space="0" w:color="auto"/>
                <w:bottom w:val="none" w:sz="0" w:space="0" w:color="auto"/>
                <w:right w:val="none" w:sz="0" w:space="0" w:color="auto"/>
              </w:divBdr>
              <w:divsChild>
                <w:div w:id="994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5048">
      <w:bodyDiv w:val="1"/>
      <w:marLeft w:val="0"/>
      <w:marRight w:val="0"/>
      <w:marTop w:val="0"/>
      <w:marBottom w:val="0"/>
      <w:divBdr>
        <w:top w:val="none" w:sz="0" w:space="0" w:color="auto"/>
        <w:left w:val="none" w:sz="0" w:space="0" w:color="auto"/>
        <w:bottom w:val="none" w:sz="0" w:space="0" w:color="auto"/>
        <w:right w:val="none" w:sz="0" w:space="0" w:color="auto"/>
      </w:divBdr>
      <w:divsChild>
        <w:div w:id="596982870">
          <w:marLeft w:val="0"/>
          <w:marRight w:val="0"/>
          <w:marTop w:val="0"/>
          <w:marBottom w:val="0"/>
          <w:divBdr>
            <w:top w:val="none" w:sz="0" w:space="0" w:color="auto"/>
            <w:left w:val="none" w:sz="0" w:space="0" w:color="auto"/>
            <w:bottom w:val="none" w:sz="0" w:space="0" w:color="auto"/>
            <w:right w:val="none" w:sz="0" w:space="0" w:color="auto"/>
          </w:divBdr>
          <w:divsChild>
            <w:div w:id="505831428">
              <w:marLeft w:val="0"/>
              <w:marRight w:val="0"/>
              <w:marTop w:val="0"/>
              <w:marBottom w:val="0"/>
              <w:divBdr>
                <w:top w:val="none" w:sz="0" w:space="0" w:color="auto"/>
                <w:left w:val="none" w:sz="0" w:space="0" w:color="auto"/>
                <w:bottom w:val="none" w:sz="0" w:space="0" w:color="auto"/>
                <w:right w:val="none" w:sz="0" w:space="0" w:color="auto"/>
              </w:divBdr>
              <w:divsChild>
                <w:div w:id="1945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256">
      <w:bodyDiv w:val="1"/>
      <w:marLeft w:val="0"/>
      <w:marRight w:val="0"/>
      <w:marTop w:val="0"/>
      <w:marBottom w:val="0"/>
      <w:divBdr>
        <w:top w:val="none" w:sz="0" w:space="0" w:color="auto"/>
        <w:left w:val="none" w:sz="0" w:space="0" w:color="auto"/>
        <w:bottom w:val="none" w:sz="0" w:space="0" w:color="auto"/>
        <w:right w:val="none" w:sz="0" w:space="0" w:color="auto"/>
      </w:divBdr>
    </w:div>
    <w:div w:id="1587693005">
      <w:bodyDiv w:val="1"/>
      <w:marLeft w:val="0"/>
      <w:marRight w:val="0"/>
      <w:marTop w:val="0"/>
      <w:marBottom w:val="0"/>
      <w:divBdr>
        <w:top w:val="none" w:sz="0" w:space="0" w:color="auto"/>
        <w:left w:val="none" w:sz="0" w:space="0" w:color="auto"/>
        <w:bottom w:val="none" w:sz="0" w:space="0" w:color="auto"/>
        <w:right w:val="none" w:sz="0" w:space="0" w:color="auto"/>
      </w:divBdr>
      <w:divsChild>
        <w:div w:id="2026783307">
          <w:marLeft w:val="0"/>
          <w:marRight w:val="0"/>
          <w:marTop w:val="0"/>
          <w:marBottom w:val="0"/>
          <w:divBdr>
            <w:top w:val="none" w:sz="0" w:space="0" w:color="auto"/>
            <w:left w:val="none" w:sz="0" w:space="0" w:color="auto"/>
            <w:bottom w:val="none" w:sz="0" w:space="0" w:color="auto"/>
            <w:right w:val="none" w:sz="0" w:space="0" w:color="auto"/>
          </w:divBdr>
          <w:divsChild>
            <w:div w:id="1787429321">
              <w:marLeft w:val="0"/>
              <w:marRight w:val="0"/>
              <w:marTop w:val="0"/>
              <w:marBottom w:val="0"/>
              <w:divBdr>
                <w:top w:val="none" w:sz="0" w:space="0" w:color="auto"/>
                <w:left w:val="none" w:sz="0" w:space="0" w:color="auto"/>
                <w:bottom w:val="none" w:sz="0" w:space="0" w:color="auto"/>
                <w:right w:val="none" w:sz="0" w:space="0" w:color="auto"/>
              </w:divBdr>
              <w:divsChild>
                <w:div w:id="490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5T15:41:03.781"/>
    </inkml:context>
    <inkml:brush xml:id="br0">
      <inkml:brushProperty name="width" value="0.05" units="cm"/>
      <inkml:brushProperty name="height" value="0.05" units="cm"/>
      <inkml:brushProperty name="color" value="#E71224"/>
    </inkml:brush>
  </inkml:definitions>
  <inkml:trace contextRef="#ctx0" brushRef="#br0">535 24 24575,'-7'0'0,"2"0"0,0 0 0,1 0 0,-2 0 0,2 0 0,-2 0 0,-1 0 0,1 0 0,-1 0 0,-2 0 0,3 0 0,-3 0 0,1 0 0,-1 0 0,-1 0 0,1 0 0,0 0 0,0 0 0,-16 2 0,1 1 0,-3 2 0,4-2 0,13 1 0,-3-3 0,4 3 0,0-4 0,-1 4 0,3-2 0,-1 1 0,4 0 0,-5 0 0,5-1 0,-5 2 0,2-2 0,0 2 0,-1 1 0,1-1 0,-2 1 0,-1-1 0,1 1 0,0 1 0,0 0 0,-1 0 0,1 1 0,2-2 0,-1 1 0,3 0 0,-4-1 0,4 2 0,-5 1 0,5-3 0,-2 6 0,4-7 0,1 2 0,0-2 0,0 0 0,2-1 0,0 1 0,-2 0 0,2 2 0,-4 4 0,1 0 0,-2 5 0,0-1 0,0-1 0,-1 3 0,1-6 0,0 5 0,2-7 0,-1 4 0,3-8 0,-1 2 0,2-2 0,0 0 0,0 2 0,0 1 0,0 2 0,0 0 0,0 3 0,0 2 0,2-1 0,1 3 0,2-6 0,0 5 0,-2-5 0,1 3 0,-1-4 0,2 0 0,-1 0 0,3-2 0,0 2 0,0-2 0,2 2 0,-2 1 0,2-1 0,3-2 0,-2 2 0,6-1 0,-3 3 0,8 0 0,-4-2 0,8 3 0,-8-6 0,10 5 0,-8-5 0,5 2 0,-8-2 0,1-3 0,-4 1 0,3-3 0,-3 1 0,0-2 0,3 0 0,-3 2 0,0-1 0,3 1 0,-6-2 0,2 0 0,1 0 0,-3 0 0,6 0 0,-7 0 0,7 0 0,1 0 0,1 0 0,2 0 0,1 0 0,-3 0 0,6 0 0,-6 0 0,2 0 0,-3 0 0,-1 0 0,1-2 0,-1-1 0,-3-2 0,3-1 0,-2-3 0,0 3 0,-1-2 0,-4 1 0,0 0 0,1 0 0,0-5 0,2 3 0,-1-4 0,2 0 0,-3 3 0,-2-3 0,0 4 0,-3 0 0,2-4 0,0 3 0,-1-2 0,1-1 0,-3 3 0,2-6 0,-2 6 0,-1 0 0,-1 2 0,-2 3 0,2-1 0,-1 2 0,0-2 0,-1-1 0,0-2 0,0-3 0,0 2 0,0-6 0,0-2 0,0 4 0,-5-13 0,2 12 0,-5-6 0,3 6 0,2 1 0,-4-2 0,3-1 0,-4 4 0,3-3 0,0 6 0,0-2 0,-1 2 0,0 1 0,0 0 0,-1 2 0,2-2 0,-4 2 0,4 0 0,-3-2 0,1 5 0,-2-5 0,0 4 0,-1-2 0,1 0 0,0 2 0,0-2 0,-1 3 0,1-1 0,0 3 0,-1-2 0,4 3 0,-3-3 0,5 3 0,-5-3 0,2 4 0,-2-2 0,0 0 0,-1 1 0,1-1 0,0 2 0,0-2 0,-1 2 0,1-3 0,2 3 0,-1 0 0,1 0 0,-2 0 0,-1 0 0,4 0 0,-3 0 0,2 0 0,-2 0 0,0 0 0,2 0 0,-2 0 0,2 0 0,1 0 0,-1 0 0,1 0 0,-2 0 0,0 0 0,-2 0 0,3 0 0,1 0 0,-3 0 0,2 0 0,-2 0 0,0 2 0,2-1 0,1 1 0,2-2 0,0 0 0,0 0 0,2 1 0,1 1 0,1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18</Pages>
  <Words>9308</Words>
  <Characters>53060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Fontela, Kristen</cp:lastModifiedBy>
  <cp:revision>1515</cp:revision>
  <dcterms:created xsi:type="dcterms:W3CDTF">2019-10-30T19:06:00Z</dcterms:created>
  <dcterms:modified xsi:type="dcterms:W3CDTF">2019-12-03T21:43:00Z</dcterms:modified>
</cp:coreProperties>
</file>