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9B" w:rsidRPr="00CF09D0" w:rsidRDefault="002D1BBE" w:rsidP="002D1BBE">
      <w:pPr>
        <w:rPr>
          <w:rFonts w:ascii="Arial" w:eastAsia="Times New Roman" w:hAnsi="Arial" w:cs="Arial"/>
          <w:b/>
          <w:bCs/>
          <w:color w:val="3A3838"/>
        </w:rPr>
      </w:pPr>
      <w:bookmarkStart w:id="0" w:name="_GoBack"/>
      <w:bookmarkEnd w:id="0"/>
      <w:r w:rsidRPr="00CF09D0">
        <w:rPr>
          <w:rStyle w:val="Heading1Char"/>
          <w:rFonts w:ascii="Arial" w:eastAsiaTheme="minorHAnsi" w:hAnsi="Arial" w:cs="Arial"/>
        </w:rPr>
        <w:t>Population:</w:t>
      </w:r>
      <w:r w:rsidRPr="00CF09D0">
        <w:rPr>
          <w:rFonts w:ascii="Arial" w:eastAsia="Times New Roman" w:hAnsi="Arial" w:cs="Arial"/>
          <w:b/>
          <w:bCs/>
          <w:color w:val="3A3838"/>
        </w:rPr>
        <w:t xml:space="preserve"> </w:t>
      </w:r>
    </w:p>
    <w:p w:rsidR="002D1BBE" w:rsidRPr="00CF09D0" w:rsidRDefault="002D1BBE" w:rsidP="0055579B">
      <w:pPr>
        <w:ind w:firstLine="540"/>
        <w:rPr>
          <w:rFonts w:ascii="Arial" w:eastAsia="Times New Roman" w:hAnsi="Arial" w:cs="Arial"/>
          <w:color w:val="3A3838"/>
        </w:rPr>
      </w:pPr>
      <w:r w:rsidRPr="00CF09D0">
        <w:rPr>
          <w:rFonts w:ascii="Arial" w:eastAsia="Times New Roman" w:hAnsi="Arial" w:cs="Arial"/>
          <w:color w:val="3A3838"/>
        </w:rPr>
        <w:t>Geriatric patients, specifically those with history of stroke</w:t>
      </w:r>
    </w:p>
    <w:p w:rsidR="0055579B" w:rsidRPr="00CF09D0" w:rsidRDefault="0055579B" w:rsidP="0055579B">
      <w:pPr>
        <w:ind w:firstLine="540"/>
        <w:rPr>
          <w:rFonts w:ascii="Arial" w:eastAsia="Times New Roman" w:hAnsi="Arial" w:cs="Arial"/>
          <w:color w:val="3A3838"/>
        </w:rPr>
      </w:pPr>
    </w:p>
    <w:p w:rsidR="00BC615D" w:rsidRPr="00CF09D0" w:rsidRDefault="002D1BBE" w:rsidP="002D1BBE">
      <w:pPr>
        <w:ind w:left="540"/>
        <w:rPr>
          <w:rFonts w:ascii="Arial" w:eastAsia="Times New Roman" w:hAnsi="Arial" w:cs="Arial"/>
          <w:color w:val="3A3838"/>
        </w:rPr>
      </w:pPr>
      <w:r w:rsidRPr="00CF09D0">
        <w:rPr>
          <w:rStyle w:val="Heading2Char"/>
          <w:rFonts w:ascii="Arial" w:eastAsiaTheme="minorHAnsi" w:hAnsi="Arial" w:cs="Arial"/>
        </w:rPr>
        <w:t>WHY</w:t>
      </w:r>
      <w:r w:rsidRPr="00CF09D0">
        <w:rPr>
          <w:rFonts w:ascii="Arial" w:eastAsia="Times New Roman" w:hAnsi="Arial" w:cs="Arial"/>
          <w:b/>
          <w:bCs/>
          <w:color w:val="3A3838"/>
        </w:rPr>
        <w:t xml:space="preserve">: </w:t>
      </w:r>
      <w:r w:rsidR="004C724D" w:rsidRPr="00CF09D0">
        <w:rPr>
          <w:rFonts w:ascii="Arial" w:eastAsia="Times New Roman" w:hAnsi="Arial" w:cs="Arial"/>
          <w:bCs/>
          <w:color w:val="3A3838"/>
        </w:rPr>
        <w:t xml:space="preserve">As patients age, their bodies </w:t>
      </w:r>
      <w:r w:rsidR="008628DB">
        <w:rPr>
          <w:rFonts w:ascii="Arial" w:eastAsia="Times New Roman" w:hAnsi="Arial" w:cs="Arial"/>
          <w:bCs/>
          <w:color w:val="3A3838"/>
        </w:rPr>
        <w:t>are naturally</w:t>
      </w:r>
      <w:r w:rsidR="004C724D" w:rsidRPr="00CF09D0">
        <w:rPr>
          <w:rFonts w:ascii="Arial" w:eastAsia="Times New Roman" w:hAnsi="Arial" w:cs="Arial"/>
          <w:bCs/>
          <w:color w:val="3A3838"/>
        </w:rPr>
        <w:t xml:space="preserve"> in a generalized state of decline that often results in a variety of health conditions resulting from impairments across multiple systems</w:t>
      </w:r>
      <w:r w:rsidR="002F1E65" w:rsidRPr="00CF09D0">
        <w:rPr>
          <w:rFonts w:ascii="Arial" w:eastAsia="Times New Roman" w:hAnsi="Arial" w:cs="Arial"/>
          <w:bCs/>
          <w:color w:val="3A3838"/>
        </w:rPr>
        <w:t>.</w:t>
      </w:r>
      <w:r w:rsidR="004C724D" w:rsidRPr="00CF09D0">
        <w:rPr>
          <w:rFonts w:ascii="Arial" w:eastAsia="Times New Roman" w:hAnsi="Arial" w:cs="Arial"/>
          <w:bCs/>
          <w:color w:val="3A3838"/>
        </w:rPr>
        <w:fldChar w:fldCharType="begin"/>
      </w:r>
      <w:r w:rsidR="00EB6899">
        <w:rPr>
          <w:rFonts w:ascii="Arial" w:eastAsia="Times New Roman" w:hAnsi="Arial" w:cs="Arial"/>
          <w:bCs/>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004C724D" w:rsidRPr="00CF09D0">
        <w:rPr>
          <w:rFonts w:ascii="Arial" w:eastAsia="Times New Roman" w:hAnsi="Arial" w:cs="Arial"/>
          <w:bCs/>
          <w:color w:val="3A3838"/>
        </w:rPr>
        <w:fldChar w:fldCharType="separate"/>
      </w:r>
      <w:r w:rsidR="00EB6899" w:rsidRPr="00EB6899">
        <w:rPr>
          <w:rFonts w:ascii="Arial" w:eastAsia="Times New Roman" w:hAnsi="Arial" w:cs="Arial"/>
          <w:bCs/>
          <w:noProof/>
          <w:color w:val="3A3838"/>
          <w:vertAlign w:val="superscript"/>
        </w:rPr>
        <w:t>1</w:t>
      </w:r>
      <w:r w:rsidR="004C724D" w:rsidRPr="00CF09D0">
        <w:rPr>
          <w:rFonts w:ascii="Arial" w:eastAsia="Times New Roman" w:hAnsi="Arial" w:cs="Arial"/>
          <w:bCs/>
          <w:color w:val="3A3838"/>
        </w:rPr>
        <w:fldChar w:fldCharType="end"/>
      </w:r>
      <w:r w:rsidR="002F1E65" w:rsidRPr="00CF09D0">
        <w:rPr>
          <w:rFonts w:ascii="Arial" w:eastAsia="Times New Roman" w:hAnsi="Arial" w:cs="Arial"/>
          <w:bCs/>
          <w:color w:val="3A3838"/>
        </w:rPr>
        <w:t xml:space="preserve"> </w:t>
      </w:r>
      <w:r w:rsidR="004C724D" w:rsidRPr="00CF09D0">
        <w:rPr>
          <w:rFonts w:ascii="Arial" w:eastAsia="Times New Roman" w:hAnsi="Arial" w:cs="Arial"/>
          <w:bCs/>
          <w:color w:val="3A3838"/>
        </w:rPr>
        <w:t>Common areas of concern are: multiple comorbidities, cognitive impairment, frailty, disability, malnutrition, impaired homeostasis, chronic inflammation, and sarcopenia, all of which have been found to have significant impacts on QoL and survival rates of elderly populations.</w:t>
      </w:r>
      <w:r w:rsidR="004C724D" w:rsidRPr="00CF09D0">
        <w:rPr>
          <w:rFonts w:ascii="Arial" w:eastAsia="Times New Roman" w:hAnsi="Arial" w:cs="Arial"/>
          <w:bCs/>
          <w:color w:val="3A3838"/>
        </w:rPr>
        <w:fldChar w:fldCharType="begin"/>
      </w:r>
      <w:r w:rsidR="00EB6899">
        <w:rPr>
          <w:rFonts w:ascii="Arial" w:eastAsia="Times New Roman" w:hAnsi="Arial" w:cs="Arial"/>
          <w:bCs/>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survival.","type":"article-journal","volume":"60"},{"DOI":"10.1001/jamanetworkopen.2019.8398","First":false,"Last":false,"PMCID":"PMC6681553","PMID":"31373653","author":[{"family":"Ofori-Asenso","given":"Richard"},{"family":"Chin","given":"Ken L"},{"family":"Mazidi","given":"Mohsen"},{"family":"Zomer","given":"Ella"},{"family":"Ilomaki","given":"Jenni"},{"family":"Zullo","given":"Andrew R"},{"family":"Gasevic","given":"Danijela"},{"family":"Ademi","given":"Zanfina"},{"family":"Korhonen","given":"Maarit J"},{"family":"LoGiudice","given":"Dina"},{"family":"Bell","given":"J Simon"},{"family":"Liew","given":"Danny"}],"authorYearDisplayFormat":false,"citation-label":"7467389","container-title":"JAMA Network Open","container-title-short":"JAMA Netw. Open","id":"7467389","invisible":false,"issue":"8","issued":{"date-parts":[["2019","8","2"]]},"journalAbbreviation":"JAMA Netw. Open","page":"e198398","suppress-author":false,"title":"Global Incidence of Frailty and Prefrailty Among Community-Dwelling Older Adults: A Systematic Review and Meta-analysis.","type":"article-journal","volume":"2"}]</w:instrText>
      </w:r>
      <w:r w:rsidR="004C724D" w:rsidRPr="00CF09D0">
        <w:rPr>
          <w:rFonts w:ascii="Arial" w:eastAsia="Times New Roman" w:hAnsi="Arial" w:cs="Arial"/>
          <w:bCs/>
          <w:color w:val="3A3838"/>
        </w:rPr>
        <w:fldChar w:fldCharType="separate"/>
      </w:r>
      <w:r w:rsidR="00EB6899" w:rsidRPr="00EB6899">
        <w:rPr>
          <w:rFonts w:ascii="Arial" w:eastAsia="Times New Roman" w:hAnsi="Arial" w:cs="Arial"/>
          <w:bCs/>
          <w:noProof/>
          <w:color w:val="3A3838"/>
          <w:vertAlign w:val="superscript"/>
        </w:rPr>
        <w:t>1,2</w:t>
      </w:r>
      <w:r w:rsidR="004C724D" w:rsidRPr="00CF09D0">
        <w:rPr>
          <w:rFonts w:ascii="Arial" w:eastAsia="Times New Roman" w:hAnsi="Arial" w:cs="Arial"/>
          <w:bCs/>
          <w:color w:val="3A3838"/>
        </w:rPr>
        <w:fldChar w:fldCharType="end"/>
      </w:r>
      <w:r w:rsidR="004C724D" w:rsidRPr="00CF09D0">
        <w:rPr>
          <w:rFonts w:ascii="Arial" w:eastAsia="Times New Roman" w:hAnsi="Arial" w:cs="Arial"/>
          <w:bCs/>
          <w:color w:val="3A3838"/>
        </w:rPr>
        <w:t xml:space="preserve"> </w:t>
      </w:r>
      <w:r w:rsidR="00BC615D" w:rsidRPr="00CF09D0">
        <w:rPr>
          <w:rFonts w:ascii="Arial" w:eastAsia="Times New Roman" w:hAnsi="Arial" w:cs="Arial"/>
          <w:bCs/>
          <w:color w:val="3A3838"/>
        </w:rPr>
        <w:t>In addition to</w:t>
      </w:r>
      <w:r w:rsidR="00BC615D" w:rsidRPr="00CF09D0">
        <w:rPr>
          <w:rFonts w:ascii="Arial" w:eastAsia="Times New Roman" w:hAnsi="Arial" w:cs="Arial"/>
          <w:b/>
          <w:bCs/>
          <w:color w:val="3A3838"/>
        </w:rPr>
        <w:t xml:space="preserve"> </w:t>
      </w:r>
      <w:r w:rsidR="00BC615D" w:rsidRPr="00CF09D0">
        <w:rPr>
          <w:rFonts w:ascii="Arial" w:eastAsia="Times New Roman" w:hAnsi="Arial" w:cs="Arial"/>
          <w:color w:val="3A3838"/>
        </w:rPr>
        <w:t>the inherent health risks and state of decline that is present in aging patients, patients with a history of chronic stroke are at an increased risk of additional complications such as D</w:t>
      </w:r>
      <w:r w:rsidR="002F1E65" w:rsidRPr="00CF09D0">
        <w:rPr>
          <w:rFonts w:ascii="Arial" w:eastAsia="Times New Roman" w:hAnsi="Arial" w:cs="Arial"/>
          <w:color w:val="3A3838"/>
        </w:rPr>
        <w:t xml:space="preserve">eep </w:t>
      </w:r>
      <w:r w:rsidR="00BC615D" w:rsidRPr="00CF09D0">
        <w:rPr>
          <w:rFonts w:ascii="Arial" w:eastAsia="Times New Roman" w:hAnsi="Arial" w:cs="Arial"/>
          <w:color w:val="3A3838"/>
        </w:rPr>
        <w:t>V</w:t>
      </w:r>
      <w:r w:rsidR="002F1E65" w:rsidRPr="00CF09D0">
        <w:rPr>
          <w:rFonts w:ascii="Arial" w:eastAsia="Times New Roman" w:hAnsi="Arial" w:cs="Arial"/>
          <w:color w:val="3A3838"/>
        </w:rPr>
        <w:t xml:space="preserve">ein </w:t>
      </w:r>
      <w:r w:rsidR="00BC615D" w:rsidRPr="00CF09D0">
        <w:rPr>
          <w:rFonts w:ascii="Arial" w:eastAsia="Times New Roman" w:hAnsi="Arial" w:cs="Arial"/>
          <w:color w:val="3A3838"/>
        </w:rPr>
        <w:t>T</w:t>
      </w:r>
      <w:r w:rsidR="002F1E65" w:rsidRPr="00CF09D0">
        <w:rPr>
          <w:rFonts w:ascii="Arial" w:eastAsia="Times New Roman" w:hAnsi="Arial" w:cs="Arial"/>
          <w:color w:val="3A3838"/>
        </w:rPr>
        <w:t>hrombosis (DVT)</w:t>
      </w:r>
      <w:r w:rsidR="00BC615D" w:rsidRPr="00CF09D0">
        <w:rPr>
          <w:rFonts w:ascii="Arial" w:eastAsia="Times New Roman" w:hAnsi="Arial" w:cs="Arial"/>
          <w:color w:val="3A3838"/>
        </w:rPr>
        <w:t>, P</w:t>
      </w:r>
      <w:r w:rsidR="002F1E65" w:rsidRPr="00CF09D0">
        <w:rPr>
          <w:rFonts w:ascii="Arial" w:eastAsia="Times New Roman" w:hAnsi="Arial" w:cs="Arial"/>
          <w:color w:val="3A3838"/>
        </w:rPr>
        <w:t xml:space="preserve">ulmonary </w:t>
      </w:r>
      <w:r w:rsidR="00BC615D" w:rsidRPr="00CF09D0">
        <w:rPr>
          <w:rFonts w:ascii="Arial" w:eastAsia="Times New Roman" w:hAnsi="Arial" w:cs="Arial"/>
          <w:color w:val="3A3838"/>
        </w:rPr>
        <w:t>E</w:t>
      </w:r>
      <w:r w:rsidR="002F1E65" w:rsidRPr="00CF09D0">
        <w:rPr>
          <w:rFonts w:ascii="Arial" w:eastAsia="Times New Roman" w:hAnsi="Arial" w:cs="Arial"/>
          <w:color w:val="3A3838"/>
        </w:rPr>
        <w:t>mbolism (PE)</w:t>
      </w:r>
      <w:r w:rsidR="00BC615D" w:rsidRPr="00CF09D0">
        <w:rPr>
          <w:rFonts w:ascii="Arial" w:eastAsia="Times New Roman" w:hAnsi="Arial" w:cs="Arial"/>
          <w:color w:val="3A3838"/>
        </w:rPr>
        <w:t xml:space="preserve">, sedentary lifestyles/physical inactivity, cognitive impairments, </w:t>
      </w:r>
      <w:r w:rsidR="002F1E65" w:rsidRPr="00CF09D0">
        <w:rPr>
          <w:rFonts w:ascii="Arial" w:eastAsia="Times New Roman" w:hAnsi="Arial" w:cs="Arial"/>
          <w:color w:val="3A3838"/>
        </w:rPr>
        <w:t xml:space="preserve">reduced quality of life (QoL), and </w:t>
      </w:r>
      <w:r w:rsidR="003D7CEE" w:rsidRPr="00CF09D0">
        <w:rPr>
          <w:rFonts w:ascii="Arial" w:eastAsia="Times New Roman" w:hAnsi="Arial" w:cs="Arial"/>
          <w:color w:val="3A3838"/>
        </w:rPr>
        <w:t xml:space="preserve">mood changes such as </w:t>
      </w:r>
      <w:r w:rsidR="002F1E65" w:rsidRPr="00CF09D0">
        <w:rPr>
          <w:rFonts w:ascii="Arial" w:eastAsia="Times New Roman" w:hAnsi="Arial" w:cs="Arial"/>
          <w:color w:val="3A3838"/>
        </w:rPr>
        <w:t>depression.</w:t>
      </w:r>
      <w:r w:rsidR="002F1E65"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F1000_CSL_CITATION&lt;~#@#~&gt;[{"DOI":"10.1080/09638280500052930","First":false,"Last":false,"PMID":"16298927","abstract":"&lt;strong&gt;PURPOSE:&lt;/strong&gt; Deep vein thrombosis (DVT) is a well-known complication of stroke and frequently develops in acute stroke patients. Immobility in stroke patients increases the risk of DVT and pulmonary embolism (PE). The incidence of DVT in non-ambulatory stroke patients is more frequent than the incidence in ambulatory stroke patients. We report a case of DVT and PE in an ambulatory chronic stroke patient.&lt;br&gt;&lt;br&gt;&lt;strong&gt;METHOD:&lt;/strong&gt; Initial physical examination showed heat and swelling of hemiplegic leg. The patient was only able to ambulate with the assist of a monocane and a plastic leaf spring orthosis due to ankle dorsiflexor weakness. The patient was treated with anticoagulation and inferior vena cava filter placement.&lt;br&gt;&lt;br&gt;&lt;strong&gt;RESULTS:&lt;/strong&gt; After long-term anticoagulation, follow-up studies revealed satisfactory resolution of DVT and PE.&lt;br&gt;&lt;br&gt;&lt;strong&gt;CONCLUSIONS:&lt;/strong&gt; We present a case of DVT and PE which developed during the chronic stage of stroke, 2 years from the onset of stroke, and review the cause of DVT.","author":[{"family":"Lee","given":"Sam-Gyu"},{"family":"Kim","given":"Jae-Hyung"},{"family":"Choi","given":"In-Sung"},{"family":"Kim","given":"Jae-Gyu"}],"authorYearDisplayFormat":false,"citation-label":"7471406","container-title":"Disability and rehabilitation","container-title-short":"Disabil. Rehabil.","id":"7471406","invisible":false,"issue":"20","issued":{"date-parts":[["2005","10","30"]]},"journalAbbreviation":"Disabil. Rehabil.","page":"1253-1259","suppress-author":false,"title":"Deep vein thrombosis and pulmonary embolism in an ambulatory chronic stroke patient.","type":"article-journal","volume":"27"},{"DOI":"10.1159/000478851","First":false,"Last":false,"PMCID":"PMC5624240","PMID":"29033974","abstract":"&lt;strong&gt;BACKGROUND:&lt;/strong&gt;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Self-Reports.","type":"article-journal","volume":"7"},{"DOI":"10.1586/14737175.7.10.1417","First":false,"Last":false,"PMCID":"PMC3196659","PMID":"17939776","abstract":"Stroke is a leading cause of long-term disability. Impairments resulting from stroke lead to persistent difficulties with walking and, subsequently, improved walking ability is one of the highest priorities for people living with a stroke. In addition, walking ability has important health implications in providing protective effects against secondary complications common after a stroke such as heart disease or osteoporosis. This paper systematically reviews common gait training strategies (neurodevelopmental techniques, muscle strengthening, treadmill training and intensive mobility exercises) to improve walking ability. The results (descriptive summaries as well as pooled effect sizes) from randomized controlled trials are presented and implications for optimal gait training strategies are discussed. Novel and emerging gait training strategies are highlighted and research directions proposed to enable the optimal recovery and maintenance of walking ability.","author":[{"family":"Eng","given":"Janice J"},{"family":"Tang","given":"Pei-Fang"}],"authorYearDisplayFormat":false,"citation-label":"2096484","container-title":"Expert Review of Neurotherapeutics","container-title-short":"Expert Rev. Neurother.","id":"2096484","invisible":false,"issue":"10","issued":{"date-parts":[["2007","10"]]},"journalAbbreviation":"Expert Rev. Neurother.","page":"1417-1436","suppress-author":false,"title":"Gait training strategies to optimize walking ability in people with stroke: a synthesis of the evidence.","type":"article-journal","volume":"7"},{"DOI":"10.1080/096382899297684","First":false,"Last":false,"PMID":"10381238","abstract":"&lt;strong&gt;PURPOSE:&lt;/strong&gt;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w:instrText>
      </w:r>
      <w:r w:rsidR="002F1E65"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3–6</w:t>
      </w:r>
      <w:r w:rsidR="002F1E65" w:rsidRPr="00CF09D0">
        <w:rPr>
          <w:rFonts w:ascii="Arial" w:eastAsia="Times New Roman" w:hAnsi="Arial" w:cs="Arial"/>
          <w:color w:val="3A3838"/>
        </w:rPr>
        <w:fldChar w:fldCharType="end"/>
      </w:r>
      <w:r w:rsidR="00B47BB0" w:rsidRPr="00CF09D0">
        <w:rPr>
          <w:rFonts w:ascii="Arial" w:eastAsia="Times New Roman" w:hAnsi="Arial" w:cs="Arial"/>
          <w:color w:val="3A3838"/>
        </w:rPr>
        <w:t xml:space="preserve"> Pa</w:t>
      </w:r>
      <w:r w:rsidR="00647D01" w:rsidRPr="00CF09D0">
        <w:rPr>
          <w:rFonts w:ascii="Arial" w:eastAsia="Times New Roman" w:hAnsi="Arial" w:cs="Arial"/>
          <w:color w:val="3A3838"/>
        </w:rPr>
        <w:t xml:space="preserve">tients with chronic stroke consistently have impaired mobility (85% have impaired gait velocity at 3 months and limited walking endurance after 1 year) resulting reduced mobility even </w:t>
      </w:r>
      <w:r w:rsidR="00941627">
        <w:rPr>
          <w:rFonts w:ascii="Arial" w:eastAsia="Times New Roman" w:hAnsi="Arial" w:cs="Arial"/>
          <w:color w:val="3A3838"/>
        </w:rPr>
        <w:t xml:space="preserve">when </w:t>
      </w:r>
      <w:r w:rsidR="00647D01" w:rsidRPr="00CF09D0">
        <w:rPr>
          <w:rFonts w:ascii="Arial" w:eastAsia="Times New Roman" w:hAnsi="Arial" w:cs="Arial"/>
          <w:color w:val="3A3838"/>
        </w:rPr>
        <w:t>compared to sedentary adults.</w:t>
      </w:r>
      <w:r w:rsidR="00647D01"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stroke.","type":"article-journal","volume":"21"},{"DOI":"10.1586/14737175.7.10.1417","First":false,"Last":false,"PMCID":"PMC3196659","PMID":"17939776","abstract":"Stroke is a leading cause of long-term disability. Impairments resulting from stroke lead to persistent difficulties with walking and, subsequently, improved walking ability is one of the highest priorities for people living with a stroke. In addition, walking ability has important health implications in providing protective effects against secondary complications common after a stroke such as heart disease or osteoporosis. This paper systematically reviews common gait training strategies (neurodevelopmental techniques, muscle strengthening, treadmill training and intensive mobility exercises) to improve walking ability. The results (descriptive summaries as well as pooled effect sizes) from randomized controlled trials are presented and implications for optimal gait training strategies are discussed. Novel and emerging gait training strategies are highlighted and research directions proposed to enable the optimal recovery and maintenance of walking ability.","author":[{"family":"Eng","given":"Janice J"},{"family":"Tang","given":"Pei-Fang"}],"authorYearDisplayFormat":false,"citation-label":"2096484","container-title":"Expert Review of Neurotherapeutics","container-title-short":"Expert Rev. Neurother.","id":"2096484","invisible":false,"issue":"10","issued":{"date-parts":[["2007","10"]]},"journalAbbreviation":"Expert Rev. Neurother.","page":"1417-1436","suppress-author":false,"title":"Gait training strategies to optimize walking ability in people with stroke: a synthesis of the evidence.","type":"article-journal","volume":"7"}]</w:instrText>
      </w:r>
      <w:r w:rsidR="00647D01"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5,6</w:t>
      </w:r>
      <w:r w:rsidR="00647D01" w:rsidRPr="00CF09D0">
        <w:rPr>
          <w:rFonts w:ascii="Arial" w:eastAsia="Times New Roman" w:hAnsi="Arial" w:cs="Arial"/>
          <w:color w:val="3A3838"/>
        </w:rPr>
        <w:fldChar w:fldCharType="end"/>
      </w:r>
      <w:r w:rsidR="00647D01" w:rsidRPr="00CF09D0">
        <w:rPr>
          <w:rFonts w:ascii="Arial" w:eastAsia="Times New Roman" w:hAnsi="Arial" w:cs="Arial"/>
          <w:color w:val="3A3838"/>
        </w:rPr>
        <w:t xml:space="preserve"> These mobility limitations amplify the impact of cognitive issues and decline in general wellness that can be seen in typical geriatric patients without a history of </w:t>
      </w:r>
      <w:r w:rsidR="004C724D" w:rsidRPr="00CF09D0">
        <w:rPr>
          <w:rFonts w:ascii="Arial" w:eastAsia="Times New Roman" w:hAnsi="Arial" w:cs="Arial"/>
          <w:color w:val="3A3838"/>
        </w:rPr>
        <w:t>stroke, making them especially important to screen, assess, and intervene in order to reduce risk of further complications as much as possible.</w:t>
      </w:r>
      <w:r w:rsidR="004C724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004C724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4</w:t>
      </w:r>
      <w:r w:rsidR="004C724D" w:rsidRPr="00CF09D0">
        <w:rPr>
          <w:rFonts w:ascii="Arial" w:eastAsia="Times New Roman" w:hAnsi="Arial" w:cs="Arial"/>
          <w:color w:val="3A3838"/>
        </w:rPr>
        <w:fldChar w:fldCharType="end"/>
      </w:r>
    </w:p>
    <w:p w:rsidR="002D1BBE" w:rsidRPr="00CF09D0" w:rsidRDefault="002D1BBE" w:rsidP="00411B88">
      <w:pPr>
        <w:rPr>
          <w:rFonts w:ascii="Arial" w:eastAsia="Times New Roman" w:hAnsi="Arial" w:cs="Arial"/>
          <w:color w:val="3A3838"/>
        </w:rPr>
      </w:pPr>
      <w:r w:rsidRPr="00CF09D0">
        <w:rPr>
          <w:rFonts w:ascii="Arial" w:eastAsia="Times New Roman" w:hAnsi="Arial" w:cs="Arial"/>
          <w:color w:val="3A3838"/>
        </w:rPr>
        <w:t> </w:t>
      </w:r>
    </w:p>
    <w:p w:rsidR="002D1BBE" w:rsidRPr="00CF09D0" w:rsidRDefault="002D1BBE" w:rsidP="0055579B">
      <w:pPr>
        <w:pStyle w:val="Heading1"/>
        <w:rPr>
          <w:rFonts w:ascii="Arial" w:hAnsi="Arial" w:cs="Arial"/>
        </w:rPr>
      </w:pPr>
      <w:r w:rsidRPr="00CF09D0">
        <w:rPr>
          <w:rFonts w:ascii="Arial" w:hAnsi="Arial" w:cs="Arial"/>
        </w:rPr>
        <w:t xml:space="preserve">Annual exam: </w:t>
      </w:r>
    </w:p>
    <w:p w:rsidR="006910EF" w:rsidRPr="00CF09D0" w:rsidRDefault="006910EF" w:rsidP="006910EF">
      <w:pPr>
        <w:rPr>
          <w:rFonts w:ascii="Arial" w:eastAsia="Times New Roman" w:hAnsi="Arial" w:cs="Arial"/>
          <w:color w:val="3A3838"/>
          <w:u w:val="single"/>
        </w:rPr>
      </w:pPr>
    </w:p>
    <w:p w:rsidR="002D1BBE" w:rsidRPr="00CF09D0" w:rsidRDefault="002D1BBE" w:rsidP="006910EF">
      <w:pPr>
        <w:rPr>
          <w:rFonts w:ascii="Arial" w:eastAsia="Times New Roman" w:hAnsi="Arial" w:cs="Arial"/>
          <w:color w:val="3A3838"/>
        </w:rPr>
      </w:pPr>
      <w:r w:rsidRPr="00CF09D0">
        <w:rPr>
          <w:rStyle w:val="Heading2Char"/>
          <w:rFonts w:ascii="Arial" w:eastAsiaTheme="minorHAnsi" w:hAnsi="Arial" w:cs="Arial"/>
        </w:rPr>
        <w:t>Outcome Measures in Waiting Room:</w:t>
      </w:r>
      <w:r w:rsidR="00A464AA" w:rsidRPr="00CF09D0">
        <w:rPr>
          <w:rFonts w:ascii="Arial" w:eastAsia="Times New Roman" w:hAnsi="Arial" w:cs="Arial"/>
          <w:color w:val="3A3838"/>
        </w:rPr>
        <w:t xml:space="preserve"> These are all patient-self report that can be filled out </w:t>
      </w:r>
      <w:r w:rsidR="004558CF" w:rsidRPr="00CF09D0">
        <w:rPr>
          <w:rFonts w:ascii="Arial" w:eastAsia="Times New Roman" w:hAnsi="Arial" w:cs="Arial"/>
          <w:color w:val="3A3838"/>
        </w:rPr>
        <w:t xml:space="preserve">while the patients wait and then scored either by receptionist (if trained) or by therapist at beginning of visit. </w:t>
      </w:r>
    </w:p>
    <w:tbl>
      <w:tblPr>
        <w:tblStyle w:val="TableGrid"/>
        <w:tblW w:w="9270" w:type="dxa"/>
        <w:tblInd w:w="535" w:type="dxa"/>
        <w:tblLook w:val="04A0" w:firstRow="1" w:lastRow="0" w:firstColumn="1" w:lastColumn="0" w:noHBand="0" w:noVBand="1"/>
      </w:tblPr>
      <w:tblGrid>
        <w:gridCol w:w="1830"/>
        <w:gridCol w:w="2243"/>
        <w:gridCol w:w="2064"/>
        <w:gridCol w:w="3133"/>
      </w:tblGrid>
      <w:tr w:rsidR="00EB6899" w:rsidRPr="00CF09D0" w:rsidTr="00DE1EF8">
        <w:tc>
          <w:tcPr>
            <w:tcW w:w="1800" w:type="dxa"/>
          </w:tcPr>
          <w:p w:rsidR="00411B88" w:rsidRPr="00CF09D0" w:rsidRDefault="00411B88" w:rsidP="00411B88">
            <w:pPr>
              <w:textAlignment w:val="center"/>
              <w:rPr>
                <w:rFonts w:ascii="Arial" w:eastAsia="Times New Roman" w:hAnsi="Arial" w:cs="Arial"/>
                <w:color w:val="3A3838"/>
              </w:rPr>
            </w:pPr>
          </w:p>
        </w:tc>
        <w:tc>
          <w:tcPr>
            <w:tcW w:w="2250" w:type="dxa"/>
          </w:tcPr>
          <w:p w:rsidR="00411B88" w:rsidRPr="00CF09D0" w:rsidRDefault="00411B88" w:rsidP="00411B88">
            <w:pPr>
              <w:textAlignment w:val="center"/>
              <w:rPr>
                <w:rFonts w:ascii="Arial" w:eastAsia="Times New Roman" w:hAnsi="Arial" w:cs="Arial"/>
                <w:color w:val="3A3838"/>
              </w:rPr>
            </w:pPr>
            <w:r w:rsidRPr="00CF09D0">
              <w:rPr>
                <w:rFonts w:ascii="Arial" w:eastAsia="Times New Roman" w:hAnsi="Arial" w:cs="Arial"/>
                <w:color w:val="3A3838"/>
              </w:rPr>
              <w:t>Test Of:</w:t>
            </w:r>
          </w:p>
        </w:tc>
        <w:tc>
          <w:tcPr>
            <w:tcW w:w="2070" w:type="dxa"/>
          </w:tcPr>
          <w:p w:rsidR="00411B88" w:rsidRPr="00CF09D0" w:rsidRDefault="00411B88" w:rsidP="00411B88">
            <w:pPr>
              <w:textAlignment w:val="center"/>
              <w:rPr>
                <w:rFonts w:ascii="Arial" w:eastAsia="Times New Roman" w:hAnsi="Arial" w:cs="Arial"/>
                <w:color w:val="3A3838"/>
              </w:rPr>
            </w:pPr>
            <w:r w:rsidRPr="00CF09D0">
              <w:rPr>
                <w:rFonts w:ascii="Arial" w:eastAsia="Times New Roman" w:hAnsi="Arial" w:cs="Arial"/>
                <w:color w:val="3A3838"/>
              </w:rPr>
              <w:t>Positive Finding:</w:t>
            </w:r>
          </w:p>
        </w:tc>
        <w:tc>
          <w:tcPr>
            <w:tcW w:w="3150" w:type="dxa"/>
          </w:tcPr>
          <w:p w:rsidR="00411B88" w:rsidRPr="00CF09D0" w:rsidRDefault="00411B88" w:rsidP="00411B88">
            <w:pPr>
              <w:textAlignment w:val="center"/>
              <w:rPr>
                <w:rFonts w:ascii="Arial" w:eastAsia="Times New Roman" w:hAnsi="Arial" w:cs="Arial"/>
                <w:color w:val="3A3838"/>
              </w:rPr>
            </w:pPr>
            <w:r w:rsidRPr="00CF09D0">
              <w:rPr>
                <w:rFonts w:ascii="Arial" w:eastAsia="Times New Roman" w:hAnsi="Arial" w:cs="Arial"/>
                <w:color w:val="3A3838"/>
              </w:rPr>
              <w:t>Clinical Reasoning</w:t>
            </w:r>
          </w:p>
        </w:tc>
      </w:tr>
      <w:tr w:rsidR="00EB6899" w:rsidRPr="00CF09D0" w:rsidTr="00DE1EF8">
        <w:tc>
          <w:tcPr>
            <w:tcW w:w="1800" w:type="dxa"/>
          </w:tcPr>
          <w:p w:rsidR="00411B88" w:rsidRPr="00CF09D0" w:rsidRDefault="00411B88" w:rsidP="00411B88">
            <w:pPr>
              <w:textAlignment w:val="center"/>
              <w:rPr>
                <w:rFonts w:ascii="Arial" w:eastAsia="Times New Roman" w:hAnsi="Arial" w:cs="Arial"/>
                <w:b/>
                <w:color w:val="3A3838"/>
              </w:rPr>
            </w:pPr>
            <w:r w:rsidRPr="00CF09D0">
              <w:rPr>
                <w:rFonts w:ascii="Arial" w:eastAsia="Times New Roman" w:hAnsi="Arial" w:cs="Arial"/>
                <w:b/>
                <w:color w:val="3A3838"/>
              </w:rPr>
              <w:t>Mini-Nutritional Short-Form</w:t>
            </w:r>
            <w:r w:rsidR="0043411B" w:rsidRPr="00CF09D0">
              <w:rPr>
                <w:rFonts w:ascii="Arial" w:eastAsia="Times New Roman" w:hAnsi="Arial" w:cs="Arial"/>
                <w:b/>
                <w:color w:val="3A3838"/>
              </w:rPr>
              <w:fldChar w:fldCharType="begin"/>
            </w:r>
            <w:r w:rsidR="00EB6899">
              <w:rPr>
                <w:rFonts w:ascii="Arial" w:eastAsia="Times New Roman" w:hAnsi="Arial" w:cs="Arial"/>
                <w:b/>
                <w:color w:val="3A3838"/>
              </w:rPr>
              <w:instrText>ADDIN F1000_CSL_CITATION&lt;~#@#~&gt;[{"First":false,"Last":false,"PMID":"19812868","abstract":"&lt;strong&gt;OBJECTIVE:&lt;/strong&gt; To validate a revision of the Mini Nutritional Assessment short-form (MNA(R)-SF) against the full MNA, a standard tool for nutritional evaluation.&lt;br&gt;&lt;br&gt;&lt;strong&gt;METHODS:&lt;/strong&gt; A literature search identified studies that used the MNA for nutritional screening in geriatric patients. The contacted authors submitted original datasets that were merged into a single database. Various combinations of the questions on the current MNA-SF were tested using this database through combination analysis and ROC based derivation of classification thresholds.&lt;br&gt;&lt;br&gt;&lt;strong&gt;RESULTS:&lt;/strong&gt; Twenty-seven datasets (n=6257 participants) were initially processed from which twelve were used in the current analysis on a sample of 2032 study participants (mean age 82.3y) with complete information on all MNA items. The original MNA-SF was a combination of six questions from the full MNA. A revised MNA-SF included calf circumference (CC) substituted for BMI performed equally well. A revised three-category scoring classification for this revised MNA-SF, using BMI and/or CC, had good sensitivity compared to the full MNA.&lt;br&gt;&lt;br&gt;&lt;strong&gt;CONCLUSION:&lt;/strong&gt; The newly revised MNA-SF is a valid nutritional screening tool applicable to geriatric health care professionals with the option of using CC when BMI cannot be calculated. This revised MNA-SF increases the applicability of this rapid screening tool in clinical practice through the inclusion of a \"malnourished\" category.","author":[{"family":"Kaiser","given":"M J"},{"family":"Bauer","given":"J M"},{"family":"Ramsch","given":"C"},{"family":"Uter","given":"W"},{"family":"Guigoz","given":"Y"},{"family":"Cederholm","given":"T"},{"family":"Thomas","given":"D R"},{"family":"Anthony","given":"P"},{"family":"Charlton","given":"K E"},{"family":"Maggio","given":"M"},{"family":"Tsai","given":"A C"},{"family":"Grathwohl","given":"D"},{"family":"Vellas","given":"B"},{"family":"Sieber","given":"C C"},{"family":"MNA-International Group"}],"authorYearDisplayFormat":false,"citation-label":"6283935","container-title":"The journal of nutrition, health &amp; aging","container-title-short":"J. Nutr. Health Aging","id":"6283935","invisible":false,"issue":"9","issued":{"date-parts":[["2009","11"]]},"journalAbbreviation":"J. Nutr. Health Aging","page":"782-788","suppress-author":false,"title":"Validation of the Mini Nutritional Assessment short-form (MNA-SF): a practical tool for identification of nutritional status.","type":"article-journal","volume":"13"},{"First":false,"Last":false,"URL":"https://consultgeri.org/try-this/general-assessment/issue-9","accessed":{"date-parts":[["2019","9","15"]]},"author":[{"family":"DiMaria-Ghalili","given":"Rose Ann"},{"family":"Sobieski","given":"Danielle"},{"family":"Amella","given":"Elaine J."}],"authorYearDisplayFormat":false,"citation-label":"7471897","container-title":"The Hartford Institute for Geriatric Nursing, New York University Rory Meyers College of Nursing","id":"7471897","invisible":false,"issue":"9","issued":{"date-parts":[["2019"]]},"suppress-author":false,"title":"Assessing Nutrition in Older Adults","type":"article-journal"}]</w:instrText>
            </w:r>
            <w:r w:rsidR="0043411B" w:rsidRPr="00CF09D0">
              <w:rPr>
                <w:rFonts w:ascii="Arial" w:eastAsia="Times New Roman" w:hAnsi="Arial" w:cs="Arial"/>
                <w:b/>
                <w:color w:val="3A3838"/>
              </w:rPr>
              <w:fldChar w:fldCharType="separate"/>
            </w:r>
            <w:r w:rsidR="00EB6899" w:rsidRPr="00EB6899">
              <w:rPr>
                <w:rFonts w:ascii="Arial" w:eastAsia="Times New Roman" w:hAnsi="Arial" w:cs="Arial"/>
                <w:noProof/>
                <w:color w:val="3A3838"/>
                <w:vertAlign w:val="superscript"/>
              </w:rPr>
              <w:t>7,8</w:t>
            </w:r>
            <w:r w:rsidR="0043411B" w:rsidRPr="00CF09D0">
              <w:rPr>
                <w:rFonts w:ascii="Arial" w:eastAsia="Times New Roman" w:hAnsi="Arial" w:cs="Arial"/>
                <w:b/>
                <w:color w:val="3A3838"/>
              </w:rPr>
              <w:fldChar w:fldCharType="end"/>
            </w:r>
          </w:p>
          <w:p w:rsidR="00696F73" w:rsidRPr="00CF09D0" w:rsidRDefault="00696F73" w:rsidP="00411B88">
            <w:pPr>
              <w:textAlignment w:val="center"/>
              <w:rPr>
                <w:rFonts w:ascii="Arial" w:eastAsia="Times New Roman" w:hAnsi="Arial" w:cs="Arial"/>
                <w:color w:val="3A3838"/>
              </w:rPr>
            </w:pPr>
            <w:r w:rsidRPr="00CF09D0">
              <w:rPr>
                <w:rFonts w:ascii="Arial" w:eastAsia="Times New Roman" w:hAnsi="Arial" w:cs="Arial"/>
                <w:color w:val="3A3838"/>
              </w:rPr>
              <w:t>(Appendix A)</w:t>
            </w:r>
          </w:p>
        </w:tc>
        <w:tc>
          <w:tcPr>
            <w:tcW w:w="2250" w:type="dxa"/>
          </w:tcPr>
          <w:p w:rsidR="00411B88" w:rsidRPr="00CF09D0" w:rsidRDefault="00C27C25" w:rsidP="00C27C25">
            <w:pPr>
              <w:rPr>
                <w:rFonts w:ascii="Arial" w:hAnsi="Arial" w:cs="Arial"/>
              </w:rPr>
            </w:pPr>
            <w:r w:rsidRPr="00CF09D0">
              <w:rPr>
                <w:rFonts w:ascii="Arial" w:eastAsia="Times New Roman" w:hAnsi="Arial" w:cs="Arial"/>
                <w:color w:val="3A3838"/>
              </w:rPr>
              <w:t>Nutrition, especially elderly that may be malnourished or at risk for malnutrition</w:t>
            </w:r>
            <w:r w:rsidR="0043411B"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F1000_CSL_CITATION&lt;~#@#~&gt;[{"First":false,"Last":false,"PMID":"19812868","abstract":"&lt;strong&gt;OBJECTIVE:&lt;/strong&gt; To validate a revision of the Mini Nutritional Assessment short-form (MNA(R)-SF) against the full MNA, a standard tool for nutritional evaluation.&lt;br&gt;&lt;br&gt;&lt;strong&gt;METHODS:&lt;/strong&gt; A literature search identified studies that used the MNA for nutritional screening in geriatric patients. The contacted authors submitted original datasets that were merged into a single database. Various combinations of the questions on the current MNA-SF were tested using this database through combination analysis and ROC based derivation of classification thresholds.&lt;br&gt;&lt;br&gt;&lt;strong&gt;RESULTS:&lt;/strong&gt; Twenty-seven datasets (n=6257 participants) were initially processed from which twelve were used in the current analysis on a sample of 2032 study participants (mean age 82.3y) with complete information on all MNA items. The original MNA-SF was a combination of six questions from the full MNA. A revised MNA-SF included calf circumference (CC) substituted for BMI performed equally well. A revised three-category scoring classification for this revised MNA-SF, using BMI and/or CC, had good sensitivity compared to the full MNA.&lt;br&gt;&lt;br&gt;&lt;strong&gt;CONCLUSION:&lt;/strong&gt; The newly revised MNA-SF is a valid nutritional screening tool applicable to geriatric health care professionals with the option of using CC when BMI cannot be calculated. This revised MNA-SF increases the applicability of this rapid screening tool in clinical practice through the inclusion of a \"malnourished\" category.","author":[{"family":"Kaiser","given":"M J"},{"family":"Bauer","given":"J M"},{"family":"Ramsch","given":"C"},{"family":"Uter","given":"W"},{"family":"Guigoz","given":"Y"},{"family":"Cederholm","given":"T"},{"family":"Thomas","given":"D R"},{"family":"Anthony","given":"P"},{"family":"Charlton","given":"K E"},{"family":"Maggio","given":"M"},{"family":"Tsai","given":"A C"},{"family":"Grathwohl","given":"D"},{"family":"Vellas","given":"B"},{"family":"Sieber","given":"C C"},{"family":"MNA-International Group"}],"authorYearDisplayFormat":false,"citation-label":"6283935","container-title":"The journal of nutrition, health &amp; aging","container-title-short":"J. Nutr. Health Aging","id":"6283935","invisible":false,"issue":"9","issued":{"date-parts":[["2009","11"]]},"journalAbbreviation":"J. Nutr. Health Aging","page":"782-788","suppress-author":false,"title":"Validation of the Mini Nutritional Assessment short-form (MNA-SF): a practical tool for identification of nutritional status.","type":"article-journal","volume":"13"}]</w:instrText>
            </w:r>
            <w:r w:rsidR="0043411B"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7</w:t>
            </w:r>
            <w:r w:rsidR="0043411B" w:rsidRPr="00CF09D0">
              <w:rPr>
                <w:rFonts w:ascii="Arial" w:eastAsia="Times New Roman" w:hAnsi="Arial" w:cs="Arial"/>
                <w:color w:val="3A3838"/>
              </w:rPr>
              <w:fldChar w:fldCharType="end"/>
            </w:r>
          </w:p>
        </w:tc>
        <w:tc>
          <w:tcPr>
            <w:tcW w:w="2070" w:type="dxa"/>
          </w:tcPr>
          <w:p w:rsidR="000754BB" w:rsidRPr="00CF09D0" w:rsidRDefault="000754BB" w:rsidP="00411B88">
            <w:pPr>
              <w:textAlignment w:val="center"/>
              <w:rPr>
                <w:rFonts w:ascii="Arial" w:eastAsia="Times New Roman" w:hAnsi="Arial" w:cs="Arial"/>
                <w:color w:val="3A3838"/>
              </w:rPr>
            </w:pPr>
            <w:r w:rsidRPr="00CF09D0">
              <w:rPr>
                <w:rFonts w:ascii="Arial" w:eastAsia="Times New Roman" w:hAnsi="Arial" w:cs="Arial"/>
                <w:color w:val="3A3838"/>
              </w:rPr>
              <w:t xml:space="preserve">12-14: normal nutritional status; </w:t>
            </w:r>
          </w:p>
          <w:p w:rsidR="000754BB" w:rsidRPr="00CF09D0" w:rsidRDefault="000754BB" w:rsidP="00411B88">
            <w:pPr>
              <w:textAlignment w:val="center"/>
              <w:rPr>
                <w:rFonts w:ascii="Arial" w:eastAsia="Times New Roman" w:hAnsi="Arial" w:cs="Arial"/>
                <w:color w:val="3A3838"/>
              </w:rPr>
            </w:pPr>
            <w:r w:rsidRPr="00CF09D0">
              <w:rPr>
                <w:rFonts w:ascii="Arial" w:eastAsia="Times New Roman" w:hAnsi="Arial" w:cs="Arial"/>
                <w:color w:val="3A3838"/>
              </w:rPr>
              <w:t xml:space="preserve">8-11: at risk of malnutrition; </w:t>
            </w:r>
          </w:p>
          <w:p w:rsidR="00411B88" w:rsidRPr="00CF09D0" w:rsidRDefault="000754BB" w:rsidP="00411B88">
            <w:pPr>
              <w:textAlignment w:val="center"/>
              <w:rPr>
                <w:rFonts w:ascii="Arial" w:eastAsia="Times New Roman" w:hAnsi="Arial" w:cs="Arial"/>
                <w:color w:val="3A3838"/>
              </w:rPr>
            </w:pPr>
            <w:r w:rsidRPr="00CF09D0">
              <w:rPr>
                <w:rFonts w:ascii="Arial" w:eastAsia="Times New Roman" w:hAnsi="Arial" w:cs="Arial"/>
                <w:color w:val="3A3838"/>
              </w:rPr>
              <w:t>0-7: malnutrition</w:t>
            </w:r>
            <w:r w:rsidR="0043411B"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F1000_CSL_CITATION&lt;~#@#~&gt;[{"First":false,"Last":false,"URL":"https://consultgeri.org/try-this/general-assessment/issue-9","accessed":{"date-parts":[["2019","9","15"]]},"author":[{"family":"DiMaria-Ghalili","given":"Rose Ann"},{"family":"Sobieski","given":"Danielle"},{"family":"Amella","given":"Elaine J."}],"authorYearDisplayFormat":false,"citation-label":"7471897","container-title":"The Hartford Institute for Geriatric Nursing, New York University Rory Meyers College of Nursing","id":"7471897","invisible":false,"issue":"9","issued":{"date-parts":[["2019"]]},"suppress-author":false,"title":"Assessing Nutrition in Older Adults","type":"article-journal"}]</w:instrText>
            </w:r>
            <w:r w:rsidR="0043411B"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8</w:t>
            </w:r>
            <w:r w:rsidR="0043411B" w:rsidRPr="00CF09D0">
              <w:rPr>
                <w:rFonts w:ascii="Arial" w:eastAsia="Times New Roman" w:hAnsi="Arial" w:cs="Arial"/>
                <w:color w:val="3A3838"/>
              </w:rPr>
              <w:fldChar w:fldCharType="end"/>
            </w:r>
          </w:p>
        </w:tc>
        <w:tc>
          <w:tcPr>
            <w:tcW w:w="3150" w:type="dxa"/>
          </w:tcPr>
          <w:p w:rsidR="00411B88" w:rsidRPr="00CF09D0" w:rsidRDefault="00DD686E" w:rsidP="00411B88">
            <w:pPr>
              <w:textAlignment w:val="center"/>
              <w:rPr>
                <w:rFonts w:ascii="Arial" w:eastAsia="Times New Roman" w:hAnsi="Arial" w:cs="Arial"/>
                <w:color w:val="3A3838"/>
              </w:rPr>
            </w:pPr>
            <w:r w:rsidRPr="00CF09D0">
              <w:rPr>
                <w:rFonts w:ascii="Arial" w:eastAsia="Times New Roman" w:hAnsi="Arial" w:cs="Arial"/>
                <w:color w:val="3A3838"/>
              </w:rPr>
              <w:t xml:space="preserve">This measure is a short (6 item), validated tool in elderly populations that screens for </w:t>
            </w:r>
            <w:r w:rsidR="00F45F18" w:rsidRPr="00CF09D0">
              <w:rPr>
                <w:rFonts w:ascii="Arial" w:eastAsia="Times New Roman" w:hAnsi="Arial" w:cs="Arial"/>
                <w:color w:val="3A3838"/>
              </w:rPr>
              <w:t>malnutrition and can trigger need for more in-depth nutritional education.</w:t>
            </w:r>
            <w:r w:rsidR="00926D6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F1000_CSL_CITATION&lt;~#@#~&gt;[{"First":false,"Last":false,"PMID":"19812868","abstract":"&lt;strong&gt;OBJECTIVE:&lt;/strong&gt; To validate a revision of the Mini Nutritional Assessment short-form (MNA(R)-SF) against the full MNA, a standard tool for nutritional evaluation.&lt;br&gt;&lt;br&gt;&lt;strong&gt;METHODS:&lt;/strong&gt; A literature search identified studies that used the MNA for nutritional screening in geriatric patients. The contacted authors submitted original datasets that were merged into a single database. Various combinations of the questions on the current MNA-SF were tested using this database through combination analysis and ROC based derivation of classification thresholds.&lt;br&gt;&lt;br&gt;&lt;strong&gt;RESULTS:&lt;/strong&gt; Twenty-seven datasets (n=6257 participants) were initially processed from which twelve were used in the current analysis on a sample of 2032 study participants (mean age 82.3y) with complete information on all MNA items. The original MNA-SF was a combination of six questions from the full MNA. A revised MNA-SF included calf circumference (CC) substituted for BMI performed equally well. A revised three-category scoring classification for this revised MNA-SF, using BMI and/or CC, had good sensitivity compared to the full MNA.&lt;br&gt;&lt;br&gt;&lt;strong&gt;CONCLUSION:&lt;/strong&gt; The newly revised MNA-SF is a valid nutritional screening tool applicable to geriatric health care professionals with the option of using CC when BMI cannot be calculated. This revised MNA-SF increases the applicability of this rapid screening tool in clinical practice through the inclusion of a \"malnourished\" category.","author":[{"family":"Kaiser","given":"M J"},{"family":"Bauer","given":"J M"},{"family":"Ramsch","given":"C"},{"family":"Uter","given":"W"},{"family":"Guigoz","given":"Y"},{"family":"Cederholm","given":"T"},{"family":"Thomas","given":"D R"},{"family":"Anthony","given":"P"},{"family":"Charlton","given":"K E"},{"family":"Maggio","given":"M"},{"family":"Tsai","given":"A C"},{"family":"Grathwohl","given":"D"},{"family":"Vellas","given":"B"},{"family":"Sieber","given":"C C"},{"family":"MNA-International Group"}],"authorYearDisplayFormat":false,"citation-label":"6283935","container-title":"The journal of nutrition, health &amp; aging","container-title-short":"J. Nutr. Health Aging","id":"6283935","invisible":false,"issue":"9","issued":{"date-parts":[["2009","11"]]},"journalAbbreviation":"J. Nutr. Health Aging","page":"782-788","suppress-author":false,"title":"Validation of the Mini Nutritional Assessment short-form (MNA-SF): a practical tool for identification of nutritional status.","type":"article-journal","volume":"13"},{"DOI":"10.1093/gerona/56.6.m366","First":false,"Last":false,"PMID":"11382797","abstract":"&lt;strong&gt;BACKGROUND:&lt;/strong&gt; The Mini-Nutritional Assessment (MNA) is a validated assessment instrument for nutritional problems, but its length limits its usefulness for screening. We sought to develop a screening version of this instrument, the MNA-SF, that retains good diagnostic accuracy.&lt;br&gt;&lt;br&gt;&lt;strong&gt;METHODS:&lt;/strong&gt; We reanalyzed data from France that were used to develop the original MNA and combined these with data collected in Spain and New MEXICO: Of the 881 subjects with complete MNA data, 151 were from France, 400 were from Spain, and 330 were from New MEXICO: Independent ratings of clinical nutritional status were available for 142 of the French subjects. Overall, 73.8% were community dwelling, and mean age was 76.4 years. Items were chosen for the MNA-SF on the basis of item correlation with the total MNA score and with clinical nutritional status, internal consistency, reliability, completeness, and ease of administration.&lt;br&gt;&lt;br&gt;&lt;strong&gt;RESULTS:&lt;/strong&gt; After testing multiple versions, we identified an optimal six-item MNA-SF total score ranging from 0 to 14. The cut-point score for MNA-SF was calculated using clinical nutritional status as the gold standard (n = 142) and using the total MNA score (n = 881). The MNA-SF was strongly correlated with the total MNA score (r = .945). Using an MNA-SF score of &gt; or = 11 as normal, sensitivity was 97.9%, specificity was 100%, and diagnostic accuracy was 98.7% for predicting undernutrition.&lt;br&gt;&lt;br&gt;&lt;strong&gt;CONCLUSIONS:&lt;/strong&gt; The MNA-SF can identify persons with undernutrition and can be used in a two-step screening process in which persons, identified as \"at risk\" on the MNA-SF, would receive additional assessment to confirm the diagnosis and plan interventions.","author":[{"family":"Rubenstein","given":"L Z"},{"family":"Harker","given":"J O"},{"family":"Salvà","given":"A"},{"family":"Guigoz","given":"Y"},{"family":"Vellas","given":"B"}],"authorYearDisplayFormat":false,"citation-label":"6596028","container-title":"The Journals of Gerontology. Series A, Biological Sciences and Medical Sciences","container-title-short":"J. Gerontol. A Biol. Sci. Med. Sci.","id":"6596028","invisible":false,"issue":"6","issued":{"date-parts":[["2001","6"]]},"journalAbbreviation":"J. Gerontol. A Biol. Sci. Med. Sci.","page":"M366-72","suppress-author":false,"title":"Screening for undernutrition in geriatric practice: developing the short-form mini-nutritional assessment (MNA-SF).","type":"article-journal","volume":"56"}]</w:instrText>
            </w:r>
            <w:r w:rsidR="00926D6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7,9</w:t>
            </w:r>
            <w:r w:rsidR="00926D6D" w:rsidRPr="00CF09D0">
              <w:rPr>
                <w:rFonts w:ascii="Arial" w:eastAsia="Times New Roman" w:hAnsi="Arial" w:cs="Arial"/>
                <w:color w:val="3A3838"/>
              </w:rPr>
              <w:fldChar w:fldCharType="end"/>
            </w:r>
          </w:p>
        </w:tc>
      </w:tr>
      <w:tr w:rsidR="00EB6899" w:rsidRPr="00CF09D0" w:rsidTr="00DE1EF8">
        <w:tc>
          <w:tcPr>
            <w:tcW w:w="1800" w:type="dxa"/>
          </w:tcPr>
          <w:p w:rsidR="00411B88" w:rsidRPr="00CF09D0" w:rsidRDefault="00411B88" w:rsidP="00411B88">
            <w:pPr>
              <w:textAlignment w:val="center"/>
              <w:rPr>
                <w:rFonts w:ascii="Arial" w:eastAsia="Times New Roman" w:hAnsi="Arial" w:cs="Arial"/>
                <w:b/>
                <w:color w:val="3A3838"/>
              </w:rPr>
            </w:pPr>
            <w:r w:rsidRPr="00CF09D0">
              <w:rPr>
                <w:rFonts w:ascii="Arial" w:eastAsia="Times New Roman" w:hAnsi="Arial" w:cs="Arial"/>
                <w:b/>
                <w:color w:val="3A3838"/>
              </w:rPr>
              <w:t>Pittsburg Sleep Quality Index</w:t>
            </w:r>
          </w:p>
          <w:p w:rsidR="00696F73" w:rsidRPr="00CF09D0" w:rsidRDefault="00696F73" w:rsidP="00411B88">
            <w:pPr>
              <w:textAlignment w:val="center"/>
              <w:rPr>
                <w:rFonts w:ascii="Arial" w:eastAsia="Times New Roman" w:hAnsi="Arial" w:cs="Arial"/>
                <w:b/>
                <w:color w:val="3A3838"/>
              </w:rPr>
            </w:pPr>
            <w:r w:rsidRPr="00CF09D0">
              <w:rPr>
                <w:rFonts w:ascii="Arial" w:eastAsia="Times New Roman" w:hAnsi="Arial" w:cs="Arial"/>
                <w:color w:val="3A3838"/>
              </w:rPr>
              <w:t>(Appendix B)</w:t>
            </w:r>
          </w:p>
        </w:tc>
        <w:tc>
          <w:tcPr>
            <w:tcW w:w="2250" w:type="dxa"/>
          </w:tcPr>
          <w:p w:rsidR="00411B88" w:rsidRPr="00CF09D0" w:rsidRDefault="00DE1EF8" w:rsidP="00411B88">
            <w:pPr>
              <w:textAlignment w:val="center"/>
              <w:rPr>
                <w:rFonts w:ascii="Arial" w:eastAsia="Times New Roman" w:hAnsi="Arial" w:cs="Arial"/>
                <w:color w:val="3A3838"/>
              </w:rPr>
            </w:pPr>
            <w:r w:rsidRPr="00CF09D0">
              <w:rPr>
                <w:rFonts w:ascii="Arial" w:eastAsia="Times New Roman" w:hAnsi="Arial" w:cs="Arial"/>
                <w:color w:val="3A3838"/>
              </w:rPr>
              <w:t xml:space="preserve">Sleep quality in 7 domains: subjective sleep quality, sleep latency, sleep duration, habitual sleep efficiency, sleep disturbances, use of sleep medication, and </w:t>
            </w:r>
            <w:r w:rsidRPr="00CF09D0">
              <w:rPr>
                <w:rFonts w:ascii="Arial" w:eastAsia="Times New Roman" w:hAnsi="Arial" w:cs="Arial"/>
                <w:color w:val="3A3838"/>
              </w:rPr>
              <w:lastRenderedPageBreak/>
              <w:t>daytime dysfunction.</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F1000_CSL_CITATION&lt;~#@#~&gt;[{"DOI":"10.1016/0165-1781(89)90047-4","First":false,"Last":false,"PMID":"2748771","abstract":"Despite the prevalence of sleep complaints among psychiatric patients, few questionnaires have been specifically designed to measure sleep quality in clinical populations. The Pittsburgh Sleep Quality Index (PSQI) is a self-rated questionnaire which assesses sleep quality and disturbances over a 1-month time interval. Nineteen individual items generate seven \"component\" scores: subjective sleep quality, sleep latency, sleep duration, habitual sleep efficiency, sleep disturbances, use of sleeping medication, and daytime dysfunction. The sum of scores for these seven components yields one global score. Clinical and clinimetric properties of the PSQI were assessed over an 18-month period with \"good\" sleepers (healthy subjects, n = 52) and \"poor\" sleepers (depressed patients, n = 54; sleep-disorder patients, n = 62). Acceptable measures of internal homogeneity, consistency (test-retest reliability), and validity were obtained. A global PSQI score greater than 5 yielded a diagnostic sensitivity of 89.6% and specificity of 86.5% (kappa = 0.75, p less than 0.001) in distinguishing good and poor sleepers. The clinimetric and clinical properties of the PSQI suggest its utility both in psychiatric clinical practice and research activities.","author":[{"family":"Buysse","given":"D J"},{"family":"Reynolds","given":"C F"},{"family":"Monk","given":"T H"},{"family":"Berman","given":"S R"},{"family":"Kupfer","given":"D J"}],"authorYearDisplayFormat":false,"citation-label":"1033308","container-title":"Psychiatry Research","container-title-short":"Psychiatry Res.","id":"1033308","invisible":false,"issue":"2","issued":{"date-parts":[["1989","5"]]},"journalAbbreviation":"Psychiatry Res.","page":"193-213","suppress-author":false,"title":"The Pittsburgh Sleep Quality Index: a new instrument for psychiatric practice and research.","type":"article-journal","volume":"28"}]</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10</w:t>
            </w:r>
            <w:r w:rsidRPr="00CF09D0">
              <w:rPr>
                <w:rFonts w:ascii="Arial" w:eastAsia="Times New Roman" w:hAnsi="Arial" w:cs="Arial"/>
                <w:color w:val="3A3838"/>
              </w:rPr>
              <w:fldChar w:fldCharType="end"/>
            </w:r>
          </w:p>
        </w:tc>
        <w:tc>
          <w:tcPr>
            <w:tcW w:w="2070" w:type="dxa"/>
          </w:tcPr>
          <w:p w:rsidR="00411B88" w:rsidRPr="00CF09D0" w:rsidRDefault="00F45F18" w:rsidP="00411B88">
            <w:pPr>
              <w:textAlignment w:val="center"/>
              <w:rPr>
                <w:rFonts w:ascii="Arial" w:eastAsia="Times New Roman" w:hAnsi="Arial" w:cs="Arial"/>
                <w:color w:val="3A3838"/>
              </w:rPr>
            </w:pPr>
            <w:r w:rsidRPr="00CF09D0">
              <w:rPr>
                <w:rFonts w:ascii="Arial" w:eastAsia="Times New Roman" w:hAnsi="Arial" w:cs="Arial"/>
                <w:color w:val="3A3838"/>
              </w:rPr>
              <w:lastRenderedPageBreak/>
              <w:t>&gt;5: abnormally poor sleep</w:t>
            </w:r>
          </w:p>
        </w:tc>
        <w:tc>
          <w:tcPr>
            <w:tcW w:w="3150" w:type="dxa"/>
          </w:tcPr>
          <w:p w:rsidR="00411B88" w:rsidRPr="00CF09D0" w:rsidRDefault="00DE1EF8" w:rsidP="00411B88">
            <w:pPr>
              <w:textAlignment w:val="center"/>
              <w:rPr>
                <w:rFonts w:ascii="Arial" w:eastAsia="Times New Roman" w:hAnsi="Arial" w:cs="Arial"/>
                <w:color w:val="3A3838"/>
              </w:rPr>
            </w:pPr>
            <w:r w:rsidRPr="00CF09D0">
              <w:rPr>
                <w:rFonts w:ascii="Arial" w:eastAsia="Times New Roman" w:hAnsi="Arial" w:cs="Arial"/>
                <w:color w:val="3A3838"/>
              </w:rPr>
              <w:t>Sleep is crucial for multiple aspects of tissue healing, cognitive function, immune function, and quality of life. This short screen identifies those with “good” or “poor” sleep habits to help guide intervention, referrals, and additional subjective questions if necessary.</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F1000_CSL_CITATION&lt;~#@#~&gt;[{"DOI":"10.1016/j.nbscr.2016.11.003","First":false,"Last":false,"PMCID":"PMC6575180","PMID":"31236498","abstract":"Despite advancements in understanding the pathophysiology of stroke and the state of the art in acute management of afflicted patients as well as in subsequent neurorehabilitation training, stroke remains the most common neurological cause of long-term disability in adulthood. To enhance stroke patients' independence and well-being it is necessary, therefore, to consider and develop new therapeutic strategies and approaches. We postulate that sleep might play a pivotal role in neurorehabilitation following stroke. Over the last two decades compelling evidence for a major function of sleep in neuroplasticity and neural network reorganization underlying learning and memory has evolved. Training and learning of new motor skills and knowledge can modulate the characteristics of subsequent sleep, which additionally can improve memory performance. While healthy sleep appears to support neuroplasticity resulting in improved learning and memory, disturbed sleep following stroke in animals and humans can impair stroke outcome. In addition, sleep disorders such as sleep disordered breathing, insomnia, and restless legs syndrome are frequent in stroke patients and associated with worse recovery outcomes. Studies investigating the evolution of post-stroke sleep changes suggest that these changes might also reflect neural network reorganization underlying functional recovery. Experimental and clinical studies provide evidence that pharmacological sleep promotion in rodents and treatment of sleep disorders in humans improves functional outcome following stroke. Taken together, there is accumulating evidence that sleep represents a \"plasticity state\" in the process of recovery following ischemic stroke. However, to test the key role of sleep and sleep disorders for stroke recovery and to better understand the underlying molecular mechanisms, experimental research and large-scale prospective studies in humans are necessary. The effects of hospital conditions, such as adjusting light conditions according to the patients' sleep-wake rhythms, or sleep promoting drugs and non-invasive brain stimulation to promote neuronal plasticity and recovery following stroke requires further investigation.","author":[{"family":"Duss","given":"Simone B"},{"family":"Seiler","given":"Andrea"},{"family":"Schmidt","given":"Markus H"},{"family":"Pace","given":"Marta"},{"family":"Adamantidis","given":"Antoine"},{"family":"Müri","given":"René M"},{"family":"Bassetti","given":"Claudio L"}],"authorYearDisplayFormat":false,"citation-label":"3340733","container-title":"Neurobiology of sleep and circadian rhythms","container-title-short":"Neurobiol. Sleep Circadian Rhythms","id":"3340733","invisible":false,"issued":{"date-parts":[["2017","1"]]},"journalAbbreviation":"Neurobiol. Sleep Circadian Rhythms","page":"94-105","suppress-author":false,"title":"The role of sleep in recovery following ischemic stroke: A review of human and animal data.","type":"article-journal","volume":"2"},{"DOI":"10.1093/ptj/pzx057","First":false,"Last":false,"PMID":"28789471","abstract":"Sleep disturbances occur in one third of the US population, and the Centers for Disease Control and Prevention's National Center for Injury Prevention and Control has deemed insufficient sleep to be a public health problem. Knowledge about sleep and skills to screen sleep disorders and to promote sleep health have been recommended for physical therapists. Furthermore, in survey studies, physical therapists overwhelmingly agree that sleep is important for health and poor sleep impairs function. Sleep is critical for the proper functioning of the body, including immune function, tissue healing, pain modulation, cardiovascular health, cognitive function, and learning and memory. Sleep disruptions occur across the life span and in individuals with various conditions that are typically treated by physical therapists. Therefore, the purpose of this perspective paper is to (1) discuss the relevance of sleep to physical therapist practice, (2) recommend tools to screen for the 3 most common sleep disorders, and (3) provide suggestions for how therapists can integrate sleep health in prevention, health promotion, and wellness interventions.&lt;br&gt;&lt;br&gt;© 2017 American Physical Therapy Association.","author":[{"family":"Siengsukon","given":"Catherine F"},{"family":"Al-Dughmi","given":"Mayis"},{"family":"Stevens","given":"Suzanne"}],"authorYearDisplayFormat":false,"citation-label":"4161253","container-title":"Physical Therapy","container-title-short":"Phys. Ther.","id":"4161253","invisible":false,"issue":"8","issued":{"date-parts":[["2017","8","1"]]},"journalAbbreviation":"Phys. Ther.","page":"826-836","suppress-author":false,"title":"Sleep health promotion: practical information for physical therapists.","type":"article-journal","volume":"97"}]</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11,12</w:t>
            </w:r>
            <w:r w:rsidRPr="00CF09D0">
              <w:rPr>
                <w:rFonts w:ascii="Arial" w:eastAsia="Times New Roman" w:hAnsi="Arial" w:cs="Arial"/>
                <w:color w:val="3A3838"/>
              </w:rPr>
              <w:fldChar w:fldCharType="end"/>
            </w:r>
          </w:p>
        </w:tc>
      </w:tr>
      <w:tr w:rsidR="00EB6899" w:rsidRPr="00CF09D0" w:rsidTr="00DE1EF8">
        <w:tc>
          <w:tcPr>
            <w:tcW w:w="1800" w:type="dxa"/>
          </w:tcPr>
          <w:p w:rsidR="00411B88" w:rsidRPr="00CF09D0" w:rsidRDefault="00411B88" w:rsidP="00411B88">
            <w:pPr>
              <w:textAlignment w:val="center"/>
              <w:rPr>
                <w:rFonts w:ascii="Arial" w:eastAsia="Times New Roman" w:hAnsi="Arial" w:cs="Arial"/>
                <w:b/>
                <w:color w:val="3A3838"/>
              </w:rPr>
            </w:pPr>
            <w:r w:rsidRPr="00CF09D0">
              <w:rPr>
                <w:rFonts w:ascii="Arial" w:eastAsia="Times New Roman" w:hAnsi="Arial" w:cs="Arial"/>
                <w:b/>
                <w:color w:val="3A3838"/>
              </w:rPr>
              <w:t>Geriatric Depression Screen</w:t>
            </w:r>
          </w:p>
          <w:p w:rsidR="00696F73" w:rsidRPr="00CF09D0" w:rsidRDefault="00696F73" w:rsidP="00411B88">
            <w:pPr>
              <w:textAlignment w:val="center"/>
              <w:rPr>
                <w:rFonts w:ascii="Arial" w:eastAsia="Times New Roman" w:hAnsi="Arial" w:cs="Arial"/>
                <w:b/>
                <w:color w:val="3A3838"/>
                <w:sz w:val="20"/>
                <w:szCs w:val="20"/>
              </w:rPr>
            </w:pPr>
            <w:r w:rsidRPr="00CF09D0">
              <w:rPr>
                <w:rFonts w:ascii="Arial" w:eastAsia="Times New Roman" w:hAnsi="Arial" w:cs="Arial"/>
                <w:color w:val="3A3838"/>
              </w:rPr>
              <w:t>(Appendix C)</w:t>
            </w:r>
          </w:p>
        </w:tc>
        <w:tc>
          <w:tcPr>
            <w:tcW w:w="2250" w:type="dxa"/>
          </w:tcPr>
          <w:p w:rsidR="00411B88"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Feelings of depression and life satisfaction</w:t>
            </w:r>
          </w:p>
        </w:tc>
        <w:tc>
          <w:tcPr>
            <w:tcW w:w="2070" w:type="dxa"/>
          </w:tcPr>
          <w:p w:rsidR="00A86C2F"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0-4: normal</w:t>
            </w:r>
          </w:p>
          <w:p w:rsidR="00A86C2F"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5-8: mild depression</w:t>
            </w:r>
          </w:p>
          <w:p w:rsidR="00A86C2F"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9-11: moderate depression</w:t>
            </w:r>
          </w:p>
          <w:p w:rsidR="00411B88"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12-15: severe depression</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4</w:t>
            </w:r>
            <w:r w:rsidRPr="00CF09D0">
              <w:rPr>
                <w:rFonts w:ascii="Arial" w:eastAsia="Times New Roman" w:hAnsi="Arial" w:cs="Arial"/>
                <w:color w:val="3A3838"/>
              </w:rPr>
              <w:fldChar w:fldCharType="end"/>
            </w:r>
          </w:p>
        </w:tc>
        <w:tc>
          <w:tcPr>
            <w:tcW w:w="3150" w:type="dxa"/>
          </w:tcPr>
          <w:p w:rsidR="00411B88" w:rsidRPr="00CF09D0" w:rsidRDefault="00A86C2F" w:rsidP="00411B88">
            <w:pPr>
              <w:textAlignment w:val="center"/>
              <w:rPr>
                <w:rFonts w:ascii="Arial" w:eastAsia="Times New Roman" w:hAnsi="Arial" w:cs="Arial"/>
                <w:color w:val="3A3838"/>
              </w:rPr>
            </w:pPr>
            <w:r w:rsidRPr="00CF09D0">
              <w:rPr>
                <w:rFonts w:ascii="Arial" w:eastAsia="Times New Roman" w:hAnsi="Arial" w:cs="Arial"/>
                <w:color w:val="3A3838"/>
              </w:rPr>
              <w:t>This is an important screen for both geriatric and specifically patients with chronic stroke as post</w:t>
            </w:r>
            <w:r w:rsidR="00691828" w:rsidRPr="00CF09D0">
              <w:rPr>
                <w:rFonts w:ascii="Arial" w:eastAsia="Times New Roman" w:hAnsi="Arial" w:cs="Arial"/>
                <w:color w:val="3A3838"/>
              </w:rPr>
              <w:t>-stroke depression is found in  5-</w:t>
            </w:r>
            <w:r w:rsidRPr="00CF09D0">
              <w:rPr>
                <w:rFonts w:ascii="Arial" w:eastAsia="Times New Roman" w:hAnsi="Arial" w:cs="Arial"/>
                <w:color w:val="3A3838"/>
              </w:rPr>
              <w:t>60%</w:t>
            </w:r>
            <w:r w:rsidR="00691828" w:rsidRPr="00CF09D0">
              <w:rPr>
                <w:rFonts w:ascii="Arial" w:eastAsia="Times New Roman" w:hAnsi="Arial" w:cs="Arial"/>
                <w:color w:val="3A3838"/>
              </w:rPr>
              <w:t xml:space="preserve"> of the population.</w:t>
            </w:r>
            <w:r w:rsidR="00691828"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00691828"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4</w:t>
            </w:r>
            <w:r w:rsidR="00691828" w:rsidRPr="00CF09D0">
              <w:rPr>
                <w:rFonts w:ascii="Arial" w:eastAsia="Times New Roman" w:hAnsi="Arial" w:cs="Arial"/>
                <w:color w:val="3A3838"/>
              </w:rPr>
              <w:fldChar w:fldCharType="end"/>
            </w:r>
            <w:r w:rsidR="00397ACC" w:rsidRPr="00CF09D0">
              <w:rPr>
                <w:rFonts w:ascii="Arial" w:eastAsia="Times New Roman" w:hAnsi="Arial" w:cs="Arial"/>
                <w:color w:val="3A3838"/>
              </w:rPr>
              <w:t xml:space="preserve"> Can be used to indicate need for referral.</w:t>
            </w:r>
          </w:p>
        </w:tc>
      </w:tr>
      <w:tr w:rsidR="00EB6899" w:rsidRPr="00CF09D0" w:rsidTr="00DE1EF8">
        <w:tc>
          <w:tcPr>
            <w:tcW w:w="1800" w:type="dxa"/>
          </w:tcPr>
          <w:p w:rsidR="00411B88" w:rsidRPr="00CF09D0" w:rsidRDefault="00411B88" w:rsidP="00411B88">
            <w:pPr>
              <w:textAlignment w:val="center"/>
              <w:rPr>
                <w:rFonts w:ascii="Arial" w:eastAsia="Times New Roman" w:hAnsi="Arial" w:cs="Arial"/>
                <w:b/>
                <w:color w:val="3A3838"/>
              </w:rPr>
            </w:pPr>
            <w:r w:rsidRPr="00CF09D0">
              <w:rPr>
                <w:rFonts w:ascii="Arial" w:eastAsia="Times New Roman" w:hAnsi="Arial" w:cs="Arial"/>
                <w:b/>
                <w:color w:val="3A3838"/>
              </w:rPr>
              <w:t>Life Satisfaction Questionnaire -9</w:t>
            </w:r>
          </w:p>
          <w:p w:rsidR="00696F73" w:rsidRPr="00CF09D0" w:rsidRDefault="00696F73" w:rsidP="00411B88">
            <w:pPr>
              <w:textAlignment w:val="center"/>
              <w:rPr>
                <w:rFonts w:ascii="Arial" w:eastAsia="Times New Roman" w:hAnsi="Arial" w:cs="Arial"/>
                <w:b/>
                <w:color w:val="3A3838"/>
                <w:sz w:val="20"/>
                <w:szCs w:val="20"/>
              </w:rPr>
            </w:pPr>
            <w:r w:rsidRPr="00CF09D0">
              <w:rPr>
                <w:rFonts w:ascii="Arial" w:eastAsia="Times New Roman" w:hAnsi="Arial" w:cs="Arial"/>
                <w:color w:val="3A3838"/>
              </w:rPr>
              <w:t>(Appendix D)</w:t>
            </w:r>
          </w:p>
        </w:tc>
        <w:tc>
          <w:tcPr>
            <w:tcW w:w="2250" w:type="dxa"/>
          </w:tcPr>
          <w:p w:rsidR="00411B88" w:rsidRPr="00CF09D0" w:rsidRDefault="00A464AA" w:rsidP="00411B88">
            <w:pPr>
              <w:textAlignment w:val="center"/>
              <w:rPr>
                <w:rFonts w:ascii="Arial" w:eastAsia="Times New Roman" w:hAnsi="Arial" w:cs="Arial"/>
                <w:color w:val="3A3838"/>
              </w:rPr>
            </w:pPr>
            <w:r w:rsidRPr="00CF09D0">
              <w:rPr>
                <w:rFonts w:ascii="Arial" w:eastAsia="Times New Roman" w:hAnsi="Arial" w:cs="Arial"/>
                <w:color w:val="3A3838"/>
              </w:rPr>
              <w:t>Life Satisfaction</w:t>
            </w:r>
            <w:r w:rsidR="004558CF" w:rsidRPr="00CF09D0">
              <w:rPr>
                <w:rFonts w:ascii="Arial" w:eastAsia="Times New Roman" w:hAnsi="Arial" w:cs="Arial"/>
                <w:color w:val="3A3838"/>
              </w:rPr>
              <w:t xml:space="preserve"> (general, social, financial, self-care)</w:t>
            </w:r>
            <w:r w:rsidR="00696F73"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F1000_CSL_CITATION&lt;~#@#~&gt;[{"DOI":"10.2340/16501977-2362","First":false,"Last":false,"PMID":"30080236","abstract":"&lt;strong&gt;OBJECTIVE:&lt;/strong&gt; To evaluate the test-retest reliability of the Life Satisfaction Questionnaire (LiSat-11) and the association between items in individuals with chronic stroke.&lt;br&gt;&lt;br&gt;&lt;strong&gt;DESIGN:&lt;/strong&gt; Test-retest design.&lt;br&gt;&lt;br&gt;&lt;strong&gt;SUBJECTS:&lt;/strong&gt; Forty-five individuals (mean age 65 years) with mild to moderate disability at least 6 months post-stroke.&lt;br&gt;&lt;br&gt;&lt;strong&gt;METHODS:&lt;/strong&gt; LiSat-11, which includes 1 global item \"Life as a whole\" and 10 domain-specific items, was rated on 2 occasions, one week apart. Test-retest reliability was evaluated by kappa statistics, the percent agreement (PA) and the Svensson rank-invariant method. The association between items was evaluated with the Spearman's rank correlation coefficient (rho).&lt;br&gt;&lt;br&gt;&lt;strong&gt;RESULTS:&lt;/strong&gt; The kappa coefficients showed good to excellent agreement (0.59-0.97) and the PA ≤ 1 point was high (&gt; 89%) for all items. According to the Svensson method, a small systematic disagreement was found for \"Partner relationship\". The other items showed no systematic or random disagreements. All domain-specific items, except one (\"Sexual life\") were significantly correlated with \"Life as a whole\" (rhos 0.29-0.80).&lt;br&gt;&lt;br&gt;&lt;strong&gt;CONCLUSION:&lt;/strong&gt; LiSat-11 is considered reliable and can be recommended for assessing life satisfaction after stroke. The association between items indicates that LiSat-11 measures various aspects that can impact on an individual's life satisfaction.","author":[{"family":"Ekstrand","given":"Elisabeth"},{"family":"Lexell","given":"Jan"},{"family":"Brogårdh","given":"Christina"}],"authorYearDisplayFormat":false,"citation-label":"7474450","container-title":"Journal of Rehabilitation Medicine","container-title-short":"J. Rehabil. Med.","id":"7474450","invisible":false,"issue":"8","issued":{"date-parts":[["2018","8","22"]]},"journalAbbreviation":"J. Rehabil. Med.","page":"713-718","suppress-author":false,"title":"Test-retest reliability of the Life Satisfaction Questionnaire (LiSat-11) and association between items in individuals with chronic stroke.","type":"article-journal","volume":"50"}]</w:instrText>
            </w:r>
            <w:r w:rsidR="00696F73"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13</w:t>
            </w:r>
            <w:r w:rsidR="00696F73" w:rsidRPr="00CF09D0">
              <w:rPr>
                <w:rFonts w:ascii="Arial" w:eastAsia="Times New Roman" w:hAnsi="Arial" w:cs="Arial"/>
                <w:color w:val="3A3838"/>
              </w:rPr>
              <w:fldChar w:fldCharType="end"/>
            </w:r>
          </w:p>
        </w:tc>
        <w:tc>
          <w:tcPr>
            <w:tcW w:w="2070" w:type="dxa"/>
          </w:tcPr>
          <w:p w:rsidR="00411B88" w:rsidRPr="00CF09D0" w:rsidRDefault="004558CF" w:rsidP="00411B88">
            <w:pPr>
              <w:textAlignment w:val="center"/>
              <w:rPr>
                <w:rFonts w:ascii="Arial" w:eastAsia="Times New Roman" w:hAnsi="Arial" w:cs="Arial"/>
                <w:color w:val="3A3838"/>
              </w:rPr>
            </w:pPr>
            <w:r w:rsidRPr="00CF09D0">
              <w:rPr>
                <w:rFonts w:ascii="Arial" w:eastAsia="Times New Roman" w:hAnsi="Arial" w:cs="Arial"/>
                <w:color w:val="3A3838"/>
              </w:rPr>
              <w:t>1-3: dissatisfied</w:t>
            </w:r>
          </w:p>
          <w:p w:rsidR="004558CF" w:rsidRPr="00CF09D0" w:rsidRDefault="004558CF" w:rsidP="00411B88">
            <w:pPr>
              <w:textAlignment w:val="center"/>
              <w:rPr>
                <w:rFonts w:ascii="Arial" w:eastAsia="Times New Roman" w:hAnsi="Arial" w:cs="Arial"/>
                <w:color w:val="3A3838"/>
              </w:rPr>
            </w:pPr>
            <w:r w:rsidRPr="00CF09D0">
              <w:rPr>
                <w:rFonts w:ascii="Arial" w:eastAsia="Times New Roman" w:hAnsi="Arial" w:cs="Arial"/>
                <w:color w:val="3A3838"/>
              </w:rPr>
              <w:t>4-6: satisfied</w:t>
            </w:r>
          </w:p>
        </w:tc>
        <w:tc>
          <w:tcPr>
            <w:tcW w:w="3150" w:type="dxa"/>
          </w:tcPr>
          <w:p w:rsidR="00411B88" w:rsidRPr="00CF09D0" w:rsidRDefault="00696F73" w:rsidP="00411B88">
            <w:pPr>
              <w:textAlignment w:val="center"/>
              <w:rPr>
                <w:rFonts w:ascii="Arial" w:eastAsia="Times New Roman" w:hAnsi="Arial" w:cs="Arial"/>
                <w:color w:val="3A3838"/>
              </w:rPr>
            </w:pPr>
            <w:r w:rsidRPr="00CF09D0">
              <w:rPr>
                <w:rFonts w:ascii="Arial" w:eastAsia="Times New Roman" w:hAnsi="Arial" w:cs="Arial"/>
                <w:color w:val="3A3838"/>
              </w:rPr>
              <w:t>This screen can help assess social and emotional dissatisfaction, important components of patient wellbeing, and can guide further conversation about stress, coping, or additional emotional resources that may not be indicated from depression screening alone.</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F1000_CSL_CITATION&lt;~#@#~&gt;[{"DOI":"10.1016/j.pec.2008.03.011","First":false,"Last":false,"PMID":"18450411","abstract":"&lt;strong&gt;OBJECTIVE:&lt;/strong&gt; To describe the psychosocial functioning of spouses of stroke patients at 1 and 3 years after stroke and identify predictors of substantial negative change in psychosocial functioning.&lt;br&gt;&lt;br&gt;&lt;strong&gt;METHODS:&lt;/strong&gt; Prospective study (N=119). Five domains of psychosocial functioning were assessed: burden, life satisfaction, depression, harmony in the relationship and social support. We used paired t-tests to describe changes and identified substantial changes using an Effect Size of 0.5 as the cut-off point.&lt;br&gt;&lt;br&gt;&lt;strong&gt;RESULTS:&lt;/strong&gt; Fifty-one percent reported significant burden, 46% were dissatisfied with life and 51% reported depressive symptoms 1 year after the stroke. Changes in psychosocial functioning between 1 and 3 years post stroke were reported by 27%-57% of the spouses. Although burden improved, life satisfaction, social support and harmony in the relationship deteriorated significantly. The percentage of spouses with depressive symptoms remained stable. Spouses with young children were at risk of deteriorating psychosocial functioning.&lt;br&gt;&lt;br&gt;&lt;strong&gt;CONCLUSIONS:&lt;/strong&gt; A large proportion of spouses experience serious caregiver burden, depression and decreased life satisfaction, 1 year as well as 3 years after the stroke, and harmony in the relationship, social support and life satisfaction decline over time.&lt;br&gt;&lt;br&gt;&lt;strong&gt;PRACTICE IMPLICATIONS:&lt;/strong&gt; Rehabilitation programmes should give more attention to the relationship with the patient's partner, family life and the maintenance of a support network.","author":[{"family":"Visser-Meily","given":"Anne"},{"family":"Post","given":"Marcel"},{"family":"van de Port","given":"Ingrid"},{"family":"van Heugten","given":"Caroline"},{"family":"van den Bos","given":"Trudi"}],"authorYearDisplayFormat":false,"citation-label":"7474444","container-title":"Patient Education and Counseling","container-title-short":"Patient Educ. Couns.","id":"7474444","invisible":false,"issue":"1","issued":{"date-parts":[["2008","10"]]},"journalAbbreviation":"Patient Educ. Couns.","page":"153-158","suppress-author":false,"title":"Psychosocial functioning of spouses in the chronic phase after stroke: improvement or deterioration between 1 and 3 years after stroke?","type":"article-journal","volume":"73"},{"DOI":"10.2340/16501977-2362","First":false,"Last":false,"PMID":"30080236","abstract":"&lt;strong&gt;OBJECTIVE:&lt;/strong&gt; To evaluate the test-retest reliability of the Life Satisfaction Questionnaire (LiSat-11) and the association between items in individuals with chronic stroke.&lt;br&gt;&lt;br&gt;&lt;strong&gt;DESIGN:&lt;/strong&gt; Test-retest design.&lt;br&gt;&lt;br&gt;&lt;strong&gt;SUBJECTS:&lt;/strong&gt; Forty-five individuals (mean age 65 years) with mild to moderate disability at least 6 months post-stroke.&lt;br&gt;&lt;br&gt;&lt;strong&gt;METHODS:&lt;/strong&gt; LiSat-11, which includes 1 global item \"Life as a whole\" and 10 domain-specific items, was rated on 2 occasions, one week apart. Test-retest reliability was evaluated by kappa statistics, the percent agreement (PA) and the Svensson rank-invariant method. The association between items was evaluated with the Spearman's rank correlation coefficient (rho).&lt;br&gt;&lt;br&gt;&lt;strong&gt;RESULTS:&lt;/strong&gt; The kappa coefficients showed good to excellent agreement (0.59-0.97) and the PA ≤ 1 point was high (&gt; 89%) for all items. According to the Svensson method, a small systematic disagreement was found for \"Partner relationship\". The other items showed no systematic or random disagreements. All domain-specific items, except one (\"Sexual life\") were significantly correlated with \"Life as a whole\" (rhos 0.29-0.80).&lt;br&gt;&lt;br&gt;&lt;strong&gt;CONCLUSION:&lt;/strong&gt; LiSat-11 is considered reliable and can be recommended for assessing life satisfaction after stroke. The association between items indicates that LiSat-11 measures various aspects that can impact on an individual's life satisfaction.","author":[{"family":"Ekstrand","given":"Elisabeth"},{"family":"Lexell","given":"Jan"},{"family":"Brogårdh","given":"Christina"}],"authorYearDisplayFormat":false,"citation-label":"7474450","container-title":"Journal of Rehabilitation Medicine","container-title-short":"J. Rehabil. Med.","id":"7474450","invisible":false,"issue":"8","issued":{"date-parts":[["2018","8","22"]]},"journalAbbreviation":"J. Rehabil. Med.","page":"713-718","suppress-author":false,"title":"Test-retest reliability of the Life Satisfaction Questionnaire (LiSat-11) and association between items in individuals with chronic stroke.","type":"article-journal","volume":"50"}]</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13,14</w:t>
            </w:r>
            <w:r w:rsidRPr="00CF09D0">
              <w:rPr>
                <w:rFonts w:ascii="Arial" w:eastAsia="Times New Roman" w:hAnsi="Arial" w:cs="Arial"/>
                <w:color w:val="3A3838"/>
              </w:rPr>
              <w:fldChar w:fldCharType="end"/>
            </w:r>
          </w:p>
        </w:tc>
      </w:tr>
    </w:tbl>
    <w:p w:rsidR="002D1BBE" w:rsidRPr="00CF09D0" w:rsidRDefault="002D1BBE" w:rsidP="00411B88">
      <w:pPr>
        <w:ind w:left="1080"/>
        <w:textAlignment w:val="center"/>
        <w:rPr>
          <w:rFonts w:ascii="Arial" w:eastAsia="Times New Roman" w:hAnsi="Arial" w:cs="Arial"/>
          <w:color w:val="3A3838"/>
          <w:sz w:val="20"/>
          <w:szCs w:val="20"/>
        </w:rPr>
      </w:pPr>
    </w:p>
    <w:p w:rsidR="002D1BBE" w:rsidRPr="00941627" w:rsidRDefault="002D1BBE" w:rsidP="006910EF">
      <w:pPr>
        <w:rPr>
          <w:rFonts w:ascii="Arial" w:eastAsia="Times New Roman" w:hAnsi="Arial" w:cs="Arial"/>
          <w:i/>
          <w:color w:val="3A3838"/>
        </w:rPr>
      </w:pPr>
      <w:r w:rsidRPr="00CF09D0">
        <w:rPr>
          <w:rStyle w:val="Heading2Char"/>
          <w:rFonts w:ascii="Arial" w:eastAsiaTheme="minorHAnsi" w:hAnsi="Arial" w:cs="Arial"/>
        </w:rPr>
        <w:t>Subjective:</w:t>
      </w:r>
      <w:r w:rsidRPr="00CF09D0">
        <w:rPr>
          <w:rFonts w:ascii="Arial" w:eastAsia="Times New Roman" w:hAnsi="Arial" w:cs="Arial"/>
          <w:color w:val="3A3838"/>
          <w:u w:val="single"/>
        </w:rPr>
        <w:t xml:space="preserve"> </w:t>
      </w:r>
      <w:r w:rsidR="00696F73" w:rsidRPr="00CF09D0">
        <w:rPr>
          <w:rFonts w:ascii="Arial" w:eastAsia="Times New Roman" w:hAnsi="Arial" w:cs="Arial"/>
          <w:color w:val="3A3838"/>
        </w:rPr>
        <w:t>Goal of this section is to be a more fluid conversa</w:t>
      </w:r>
      <w:r w:rsidR="004F4D6D" w:rsidRPr="00CF09D0">
        <w:rPr>
          <w:rFonts w:ascii="Arial" w:eastAsia="Times New Roman" w:hAnsi="Arial" w:cs="Arial"/>
          <w:color w:val="3A3838"/>
        </w:rPr>
        <w:t>tion based on patient responses to each of these fields. C</w:t>
      </w:r>
      <w:r w:rsidR="00696F73" w:rsidRPr="00CF09D0">
        <w:rPr>
          <w:rFonts w:ascii="Arial" w:eastAsia="Times New Roman" w:hAnsi="Arial" w:cs="Arial"/>
          <w:color w:val="3A3838"/>
        </w:rPr>
        <w:t>ertain areas may be discussed at greater depth in some patients compared to others</w:t>
      </w:r>
      <w:r w:rsidR="004F4D6D" w:rsidRPr="00CF09D0">
        <w:rPr>
          <w:rFonts w:ascii="Arial" w:eastAsia="Times New Roman" w:hAnsi="Arial" w:cs="Arial"/>
          <w:color w:val="3A3838"/>
        </w:rPr>
        <w:t xml:space="preserve">. </w:t>
      </w:r>
      <w:r w:rsidR="00941627">
        <w:rPr>
          <w:rFonts w:ascii="Arial" w:eastAsia="Times New Roman" w:hAnsi="Arial" w:cs="Arial"/>
          <w:i/>
          <w:color w:val="3A3838"/>
        </w:rPr>
        <w:t>(20-25 min total)</w:t>
      </w:r>
    </w:p>
    <w:tbl>
      <w:tblPr>
        <w:tblStyle w:val="TableGrid"/>
        <w:tblW w:w="9270" w:type="dxa"/>
        <w:tblInd w:w="535" w:type="dxa"/>
        <w:tblLook w:val="04A0" w:firstRow="1" w:lastRow="0" w:firstColumn="1" w:lastColumn="0" w:noHBand="0" w:noVBand="1"/>
      </w:tblPr>
      <w:tblGrid>
        <w:gridCol w:w="1790"/>
        <w:gridCol w:w="2171"/>
        <w:gridCol w:w="2165"/>
        <w:gridCol w:w="3144"/>
      </w:tblGrid>
      <w:tr w:rsidR="00EB6899" w:rsidRPr="00CF09D0" w:rsidTr="006910EF">
        <w:tc>
          <w:tcPr>
            <w:tcW w:w="1795" w:type="dxa"/>
          </w:tcPr>
          <w:p w:rsidR="00696F73" w:rsidRPr="00CF09D0" w:rsidRDefault="00696F73" w:rsidP="004F4D6D">
            <w:pPr>
              <w:textAlignment w:val="center"/>
              <w:rPr>
                <w:rFonts w:ascii="Arial" w:eastAsia="Times New Roman" w:hAnsi="Arial" w:cs="Arial"/>
                <w:color w:val="3A3838"/>
              </w:rPr>
            </w:pPr>
          </w:p>
        </w:tc>
        <w:tc>
          <w:tcPr>
            <w:tcW w:w="2181" w:type="dxa"/>
          </w:tcPr>
          <w:p w:rsidR="00696F73" w:rsidRPr="00CF09D0" w:rsidRDefault="00696F73" w:rsidP="004F4D6D">
            <w:pPr>
              <w:textAlignment w:val="center"/>
              <w:rPr>
                <w:rFonts w:ascii="Arial" w:eastAsia="Times New Roman" w:hAnsi="Arial" w:cs="Arial"/>
                <w:color w:val="3A3838"/>
              </w:rPr>
            </w:pPr>
            <w:r w:rsidRPr="00CF09D0">
              <w:rPr>
                <w:rFonts w:ascii="Arial" w:eastAsia="Times New Roman" w:hAnsi="Arial" w:cs="Arial"/>
                <w:color w:val="3A3838"/>
              </w:rPr>
              <w:t>Test Of:</w:t>
            </w:r>
          </w:p>
        </w:tc>
        <w:tc>
          <w:tcPr>
            <w:tcW w:w="2074" w:type="dxa"/>
          </w:tcPr>
          <w:p w:rsidR="00696F73" w:rsidRPr="00CF09D0" w:rsidRDefault="00696F73" w:rsidP="004F4D6D">
            <w:pPr>
              <w:textAlignment w:val="center"/>
              <w:rPr>
                <w:rFonts w:ascii="Arial" w:eastAsia="Times New Roman" w:hAnsi="Arial" w:cs="Arial"/>
                <w:color w:val="3A3838"/>
              </w:rPr>
            </w:pPr>
            <w:r w:rsidRPr="00CF09D0">
              <w:rPr>
                <w:rFonts w:ascii="Arial" w:eastAsia="Times New Roman" w:hAnsi="Arial" w:cs="Arial"/>
                <w:color w:val="3A3838"/>
              </w:rPr>
              <w:t>Positive Finding:</w:t>
            </w:r>
          </w:p>
        </w:tc>
        <w:tc>
          <w:tcPr>
            <w:tcW w:w="3220" w:type="dxa"/>
          </w:tcPr>
          <w:p w:rsidR="00696F73" w:rsidRPr="00CF09D0" w:rsidRDefault="00696F73" w:rsidP="004F4D6D">
            <w:pPr>
              <w:textAlignment w:val="center"/>
              <w:rPr>
                <w:rFonts w:ascii="Arial" w:eastAsia="Times New Roman" w:hAnsi="Arial" w:cs="Arial"/>
                <w:color w:val="3A3838"/>
              </w:rPr>
            </w:pPr>
            <w:r w:rsidRPr="00CF09D0">
              <w:rPr>
                <w:rFonts w:ascii="Arial" w:eastAsia="Times New Roman" w:hAnsi="Arial" w:cs="Arial"/>
                <w:color w:val="3A3838"/>
              </w:rPr>
              <w:t>Clinical Reasoning</w:t>
            </w:r>
          </w:p>
        </w:tc>
      </w:tr>
      <w:tr w:rsidR="00EB6899" w:rsidRPr="00CF09D0" w:rsidTr="006910EF">
        <w:tc>
          <w:tcPr>
            <w:tcW w:w="1795" w:type="dxa"/>
          </w:tcPr>
          <w:p w:rsidR="00696F73" w:rsidRPr="00CF09D0" w:rsidRDefault="00696F73" w:rsidP="004F4D6D">
            <w:pPr>
              <w:textAlignment w:val="center"/>
              <w:rPr>
                <w:rFonts w:ascii="Arial" w:eastAsia="Times New Roman" w:hAnsi="Arial" w:cs="Arial"/>
                <w:color w:val="3A3838"/>
              </w:rPr>
            </w:pPr>
            <w:r w:rsidRPr="00CF09D0">
              <w:rPr>
                <w:rFonts w:ascii="Arial" w:eastAsia="Times New Roman" w:hAnsi="Arial" w:cs="Arial"/>
                <w:color w:val="3A3838"/>
              </w:rPr>
              <w:t>PMH</w:t>
            </w:r>
          </w:p>
        </w:tc>
        <w:tc>
          <w:tcPr>
            <w:tcW w:w="2181" w:type="dxa"/>
          </w:tcPr>
          <w:p w:rsidR="00696F73" w:rsidRPr="00CF09D0" w:rsidRDefault="00DA3099" w:rsidP="004F4D6D">
            <w:pPr>
              <w:textAlignment w:val="center"/>
              <w:rPr>
                <w:rFonts w:ascii="Arial" w:eastAsia="Times New Roman" w:hAnsi="Arial" w:cs="Arial"/>
                <w:color w:val="3A3838"/>
              </w:rPr>
            </w:pPr>
            <w:r w:rsidRPr="00CF09D0">
              <w:rPr>
                <w:rFonts w:ascii="Arial" w:eastAsia="Times New Roman" w:hAnsi="Arial" w:cs="Arial"/>
                <w:color w:val="3A3838"/>
              </w:rPr>
              <w:t xml:space="preserve">Confirm, correct, and update medical history, especially any changes in past year. </w:t>
            </w:r>
          </w:p>
        </w:tc>
        <w:tc>
          <w:tcPr>
            <w:tcW w:w="2074" w:type="dxa"/>
          </w:tcPr>
          <w:p w:rsidR="00696F73" w:rsidRPr="00CF09D0" w:rsidRDefault="00DA3099" w:rsidP="004F4D6D">
            <w:pPr>
              <w:textAlignment w:val="center"/>
              <w:rPr>
                <w:rFonts w:ascii="Arial" w:eastAsia="Times New Roman" w:hAnsi="Arial" w:cs="Arial"/>
                <w:color w:val="3A3838"/>
              </w:rPr>
            </w:pPr>
            <w:r w:rsidRPr="00CF09D0">
              <w:rPr>
                <w:rFonts w:ascii="Arial" w:eastAsia="Times New Roman" w:hAnsi="Arial" w:cs="Arial"/>
                <w:color w:val="3A3838"/>
              </w:rPr>
              <w:t>n/a</w:t>
            </w:r>
          </w:p>
        </w:tc>
        <w:tc>
          <w:tcPr>
            <w:tcW w:w="3220" w:type="dxa"/>
          </w:tcPr>
          <w:p w:rsidR="00696F73" w:rsidRPr="00CF09D0" w:rsidRDefault="00DA3099" w:rsidP="004F4D6D">
            <w:pPr>
              <w:textAlignment w:val="center"/>
              <w:rPr>
                <w:rFonts w:ascii="Arial" w:eastAsia="Times New Roman" w:hAnsi="Arial" w:cs="Arial"/>
                <w:color w:val="3A3838"/>
              </w:rPr>
            </w:pPr>
            <w:r w:rsidRPr="00CF09D0">
              <w:rPr>
                <w:rFonts w:ascii="Arial" w:eastAsia="Times New Roman" w:hAnsi="Arial" w:cs="Arial"/>
                <w:color w:val="3A3838"/>
              </w:rPr>
              <w:t xml:space="preserve">It is important to confirm medical history as well as update patient files for changes in status or diagnoses over past year, can indicate need for referral to specialists or initiation of PT treatment plans (ex: balance training with new </w:t>
            </w:r>
            <w:proofErr w:type="spellStart"/>
            <w:r w:rsidRPr="00CF09D0">
              <w:rPr>
                <w:rFonts w:ascii="Arial" w:eastAsia="Times New Roman" w:hAnsi="Arial" w:cs="Arial"/>
                <w:color w:val="3A3838"/>
              </w:rPr>
              <w:t>hx</w:t>
            </w:r>
            <w:proofErr w:type="spellEnd"/>
            <w:r w:rsidRPr="00CF09D0">
              <w:rPr>
                <w:rFonts w:ascii="Arial" w:eastAsia="Times New Roman" w:hAnsi="Arial" w:cs="Arial"/>
                <w:color w:val="3A3838"/>
              </w:rPr>
              <w:t xml:space="preserve"> of falls as well as referral to vision, vestibular, cardio, or PCP depending on presentation of </w:t>
            </w:r>
            <w:proofErr w:type="spellStart"/>
            <w:r w:rsidRPr="00CF09D0">
              <w:rPr>
                <w:rFonts w:ascii="Arial" w:eastAsia="Times New Roman" w:hAnsi="Arial" w:cs="Arial"/>
                <w:color w:val="3A3838"/>
              </w:rPr>
              <w:t>sx</w:t>
            </w:r>
            <w:proofErr w:type="spellEnd"/>
            <w:r w:rsidRPr="00CF09D0">
              <w:rPr>
                <w:rFonts w:ascii="Arial" w:eastAsia="Times New Roman" w:hAnsi="Arial" w:cs="Arial"/>
                <w:color w:val="3A3838"/>
              </w:rPr>
              <w:t xml:space="preserve">). </w:t>
            </w:r>
          </w:p>
        </w:tc>
      </w:tr>
      <w:tr w:rsidR="00EB6899" w:rsidRPr="00CF09D0" w:rsidTr="006910EF">
        <w:tc>
          <w:tcPr>
            <w:tcW w:w="1795" w:type="dxa"/>
          </w:tcPr>
          <w:p w:rsidR="00DA3099" w:rsidRPr="00CF09D0" w:rsidRDefault="00DA3099" w:rsidP="004F4D6D">
            <w:pPr>
              <w:textAlignment w:val="center"/>
              <w:rPr>
                <w:rFonts w:ascii="Arial" w:eastAsia="Times New Roman" w:hAnsi="Arial" w:cs="Arial"/>
                <w:color w:val="3A3838"/>
              </w:rPr>
            </w:pPr>
            <w:r w:rsidRPr="00CF09D0">
              <w:rPr>
                <w:rFonts w:ascii="Arial" w:eastAsia="Times New Roman" w:hAnsi="Arial" w:cs="Arial"/>
                <w:color w:val="3A3838"/>
              </w:rPr>
              <w:t>Medication Reconciliation</w:t>
            </w:r>
          </w:p>
        </w:tc>
        <w:tc>
          <w:tcPr>
            <w:tcW w:w="2181" w:type="dxa"/>
          </w:tcPr>
          <w:p w:rsidR="00DA3099" w:rsidRPr="00CF09D0" w:rsidRDefault="00DA3099" w:rsidP="004F4D6D">
            <w:pPr>
              <w:textAlignment w:val="center"/>
              <w:rPr>
                <w:rFonts w:ascii="Arial" w:eastAsia="Times New Roman" w:hAnsi="Arial" w:cs="Arial"/>
                <w:color w:val="3A3838"/>
              </w:rPr>
            </w:pPr>
            <w:r w:rsidRPr="00CF09D0">
              <w:rPr>
                <w:rFonts w:ascii="Arial" w:eastAsia="Times New Roman" w:hAnsi="Arial" w:cs="Arial"/>
                <w:color w:val="3A3838"/>
              </w:rPr>
              <w:t xml:space="preserve">Patient medications, assessment of patient ability to manage and </w:t>
            </w:r>
            <w:r w:rsidRPr="00CF09D0">
              <w:rPr>
                <w:rFonts w:ascii="Arial" w:eastAsia="Times New Roman" w:hAnsi="Arial" w:cs="Arial"/>
                <w:color w:val="3A3838"/>
              </w:rPr>
              <w:lastRenderedPageBreak/>
              <w:t xml:space="preserve">adherence to list. Assessing for repetition and outdated orders. </w:t>
            </w:r>
          </w:p>
        </w:tc>
        <w:tc>
          <w:tcPr>
            <w:tcW w:w="2074" w:type="dxa"/>
          </w:tcPr>
          <w:p w:rsidR="00DA3099" w:rsidRPr="00CF09D0" w:rsidRDefault="00070CA3" w:rsidP="004F4D6D">
            <w:pPr>
              <w:textAlignment w:val="center"/>
              <w:rPr>
                <w:rFonts w:ascii="Arial" w:eastAsia="Times New Roman" w:hAnsi="Arial" w:cs="Arial"/>
                <w:color w:val="3A3838"/>
              </w:rPr>
            </w:pPr>
            <w:r w:rsidRPr="00CF09D0">
              <w:rPr>
                <w:rFonts w:ascii="Arial" w:eastAsia="Times New Roman" w:hAnsi="Arial" w:cs="Arial"/>
                <w:color w:val="3A3838"/>
              </w:rPr>
              <w:lastRenderedPageBreak/>
              <w:t xml:space="preserve">Polypharmacy (&gt;5 drugs per day), dangerous drugs (benzodiazepines, </w:t>
            </w:r>
            <w:r w:rsidRPr="00CF09D0">
              <w:rPr>
                <w:rFonts w:ascii="Arial" w:eastAsia="Times New Roman" w:hAnsi="Arial" w:cs="Arial"/>
                <w:color w:val="3A3838"/>
              </w:rPr>
              <w:lastRenderedPageBreak/>
              <w:t>anti-depressants, or SSRIs)</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F1000_CSL_CITATION&lt;~#@#~&gt;[{"DOI":"10.1186/1477-7525-9-95","First":false,"Last":false,"PMCID":"PMC3216839","PMID":"22054205","abstract":"&lt;strong&gt;BACKGROUND:&lt;/strong&gt;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life.&lt;br&gt;&lt;br&gt;&lt;strong&gt;METHODS:&lt;/strong&gt; 150 patients discharged from hospital. Inclusion criteria were: living in ordinary homes, ≥ 75 years and ≥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life.&lt;br&gt;&lt;br&gt;&lt;strong&gt;RESULTS:&lt;/strong&gt;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months).&lt;br&gt;&lt;br&gt;&lt;strong&gt;CONCLUSIONS:&lt;/strong&gt;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involved.","author":[{"family":"Olsson","given":"Inger Nordin"},{"family":"Runnamo","given":"Rebecka"},{"family":"Engfeldt","given":"Peter"}],"authorYearDisplayFormat":false,"citation-label":"1999544","container-title":"Health and Quality of Life Outcomes","container-title-short":"Health Qual. Life Outcomes","id":"1999544","invisible":false,"issued":{"date-parts":[["2011","11","3"]]},"journalAbbreviation":"Health Qual. Life Outcomes","page":"95","suppress-author":false,"title":"Medication quality and quality of life in the elderly, a cohort study.","type":"article-journal","volume":"9"},{"DOI":"10.1016/j.jamda.2017.06.018","First":false,"Last":false,"PMID":"28843527","author":[{"family":"Lam","given":"Kuen"},{"family":"Kwan","given":"Joseph S K"},{"family":"Wai Kwan","given":"Chi"},{"family":"Chong","given":"Alice M L"},{"family":"Lai","given":"Claudia K Y"},{"family":"Lou","given":"Vivian W Q"},{"family":"Leung","given":"Angela Y M"},{"family":"Liu","given":"Justina Y W"},{"family":"Bai","given":"Xue"},{"family":"Chi","given":"Iris"}],"authorYearDisplayFormat":false,"citation-label":"5887063","container-title":"Journal of the American Medical Directors Association","container-title-short":"J. Am. Med. Dir. Assoc.","id":"5887063","invisible":false,"issue":"12","issued":{"date-parts":[["2017","12","1"]]},"journalAbbreviation":"J. Am. Med. Dir. Assoc.","page":"1043-1048","suppress-author":false,"title":"Factors Associated With the Trend of Physical and Chemical Restraint Use Among Long-Term Care Facility Residents in Hong Kong: Data From an 11-Year Observational Study.","type":"article-journal","volume":"18"}]</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15,16</w:t>
            </w:r>
            <w:r w:rsidRPr="00CF09D0">
              <w:rPr>
                <w:rFonts w:ascii="Arial" w:eastAsia="Times New Roman" w:hAnsi="Arial" w:cs="Arial"/>
                <w:color w:val="3A3838"/>
              </w:rPr>
              <w:fldChar w:fldCharType="end"/>
            </w:r>
          </w:p>
        </w:tc>
        <w:tc>
          <w:tcPr>
            <w:tcW w:w="3220" w:type="dxa"/>
          </w:tcPr>
          <w:p w:rsidR="00DA3099" w:rsidRPr="00CF09D0" w:rsidRDefault="00070CA3" w:rsidP="004F4D6D">
            <w:pPr>
              <w:textAlignment w:val="center"/>
              <w:rPr>
                <w:rFonts w:ascii="Arial" w:eastAsia="Times New Roman" w:hAnsi="Arial" w:cs="Arial"/>
                <w:color w:val="3A3838"/>
              </w:rPr>
            </w:pPr>
            <w:r w:rsidRPr="00CF09D0">
              <w:rPr>
                <w:rFonts w:ascii="Arial" w:eastAsia="Times New Roman" w:hAnsi="Arial" w:cs="Arial"/>
                <w:color w:val="3A3838"/>
              </w:rPr>
              <w:lastRenderedPageBreak/>
              <w:t xml:space="preserve">To assess for risk of polypharmacy and potential complications, as well as assessment of adherence and possible </w:t>
            </w:r>
            <w:r w:rsidRPr="00CF09D0">
              <w:rPr>
                <w:rFonts w:ascii="Arial" w:eastAsia="Times New Roman" w:hAnsi="Arial" w:cs="Arial"/>
                <w:color w:val="3A3838"/>
              </w:rPr>
              <w:lastRenderedPageBreak/>
              <w:t>interactions/side effects that could affect patient mobility.</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F1000_CSL_CITATION&lt;~#@#~&gt;[{"DOI":"10.1186/1477-7525-9-95","First":false,"Last":false,"PMCID":"PMC3216839","PMID":"22054205","abstract":"&lt;strong&gt;BACKGROUND:&lt;/strong&gt;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life.&lt;br&gt;&lt;br&gt;&lt;strong&gt;METHODS:&lt;/strong&gt; 150 patients discharged from hospital. Inclusion criteria were: living in ordinary homes, ≥ 75 years and ≥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life.&lt;br&gt;&lt;br&gt;&lt;strong&gt;RESULTS:&lt;/strong&gt;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months).&lt;br&gt;&lt;br&gt;&lt;strong&gt;CONCLUSIONS:&lt;/strong&gt;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involved.","author":[{"family":"Olsson","given":"Inger Nordin"},{"family":"Runnamo","given":"Rebecka"},{"family":"Engfeldt","given":"Peter"}],"authorYearDisplayFormat":false,"citation-label":"1999544","container-title":"Health and Quality of Life Outcomes","container-title-short":"Health Qual. Life Outcomes","id":"1999544","invisible":false,"issued":{"date-parts":[["2011","11","3"]]},"journalAbbreviation":"Health Qual. Life Outcomes","page":"95","suppress-author":false,"title":"Medication quality and quality of life in the elderly, a cohort study.","type":"article-journal","volume":"9"},{"DOI":"10.1111/j.1532-5415.2006.00889.x","First":false,"Last":false,"PMID":"17038068","abstract":"&lt;strong&gt;OBJECTIVES:&lt;/strong&gt; To evaluate the relationship between inappropriate prescribing, medication underuse, and the total number of medications used by patients.&lt;br&gt;&lt;br&gt;&lt;strong&gt;DESIGN:&lt;/strong&gt; Cross-sectional study.&lt;br&gt;&lt;br&gt;&lt;strong&gt;SETTING:&lt;/strong&gt; Veterans Affairs Medical Center.&lt;br&gt;&lt;br&gt;&lt;strong&gt;PARTICIPANTS:&lt;/strong&gt; One hundred ninety-six outpatients aged 65 and older who were taking five or more medications.&lt;br&gt;&lt;br&gt;&lt;strong&gt;MEASUREMENTS:&lt;/strong&gt; Inappropriate prescribing was assessed using a combination of the Beers drugs-to-avoid criteria (2003 update) and subscales of the Medication Appropriateness Index that assess whether a drug is ineffective, not indicated, or unnecessary duplication of therapy. Underuse was assessed using the Assessment of Underutilization of Medications instrument. All vitamins and minerals, topical and herbal medications, and medications taken as needed were excluded from the analyses.&lt;br&gt;&lt;br&gt;&lt;strong&gt;RESULTS:&lt;/strong&gt; Mean age was 74.6, and patients used a mean+/-standard deviation of 8.1+/-2.5 medications (range 5-17). Use of one or more inappropriate medications was documented in 128 patients (65%), including 73 (37%) taking a medication in violation of the Beers drugs-to-avoid criteria and 112 (57%) taking a medication that was ineffective, not indicated, or duplicative. Medication underuse was observed in 125 patients (64%). Together, inappropriate use and underuse were simultaneously present in 82 patients (42%), whereas 25 (13%) had neither inappropriate use nor underuse. When assessed by the total number of medications taken, the frequency of inappropriate medication use rose sharply from a mean of 0.4 inappropriate medications in patients taking five to six drugs, to 1.1 inappropriate medications in patients taking seven to nine drugs, to 1.9 inappropriate medications in patients taking 10 or more drugs (P&lt; .001). In contrast, the frequency of underuse averaged 1.0 underused medications per patient and did not vary with the total number of medications taken (P=.26). Overall, patients using fewer than eight medications were more likely to be missing a potentially beneficial drug than to be taking a medication considered inappropriate.&lt;br&gt;&lt;br&gt;&lt;strong&gt;CONCLUSION:&lt;/strong&gt; Inappropriate medication use and underuse were common in older people taking five or more medications, with both simultaneously present in more than 40% of patients. Inappropriate medication use is most frequent in patients taking many medications, but underuse is also common and merits attention regardless of the total number of medications taken.","author":[{"family":"Steinman","given":"Michael A"},{"family":"Landefeld","given":"C Seth"},{"family":"Rosenthal","given":"Gary E"},{"family":"Berthenthal","given":"Daniel"},{"family":"Sen","given":"Saunak"},{"family":"Kaboli","given":"Peter J"}],"authorYearDisplayFormat":false,"citation-label":"1996375","container-title":"Journal of the American Geriatrics Society","container-title-short":"J. Am. Geriatr. Soc.","id":"1996375","invisible":false,"issue":"10","issued":{"date-parts":[["2006","10"]]},"journalAbbreviation":"J. Am. Geriatr. Soc.","page":"1516-1523","suppress-author":false,"title":"Polypharmacy and prescribing quality in older people.","type":"article-journal","volume":"54"}]</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15,17</w:t>
            </w:r>
            <w:r w:rsidRPr="00CF09D0">
              <w:rPr>
                <w:rFonts w:ascii="Arial" w:eastAsia="Times New Roman" w:hAnsi="Arial" w:cs="Arial"/>
                <w:color w:val="3A3838"/>
              </w:rPr>
              <w:fldChar w:fldCharType="end"/>
            </w:r>
          </w:p>
        </w:tc>
      </w:tr>
      <w:tr w:rsidR="00EB6899" w:rsidRPr="00CF09D0" w:rsidTr="006910EF">
        <w:tc>
          <w:tcPr>
            <w:tcW w:w="1795" w:type="dxa"/>
          </w:tcPr>
          <w:p w:rsidR="00DB476B" w:rsidRPr="00CF09D0" w:rsidRDefault="00DB476B" w:rsidP="004F4D6D">
            <w:pPr>
              <w:textAlignment w:val="center"/>
              <w:rPr>
                <w:rFonts w:ascii="Arial" w:eastAsia="Times New Roman" w:hAnsi="Arial" w:cs="Arial"/>
                <w:color w:val="3A3838"/>
              </w:rPr>
            </w:pPr>
            <w:r w:rsidRPr="00CF09D0">
              <w:rPr>
                <w:rFonts w:ascii="Arial" w:eastAsia="Times New Roman" w:hAnsi="Arial" w:cs="Arial"/>
                <w:color w:val="3A3838"/>
              </w:rPr>
              <w:lastRenderedPageBreak/>
              <w:t>Co-morbidities</w:t>
            </w:r>
          </w:p>
        </w:tc>
        <w:tc>
          <w:tcPr>
            <w:tcW w:w="2181" w:type="dxa"/>
          </w:tcPr>
          <w:p w:rsidR="00DB476B" w:rsidRPr="00CF09D0" w:rsidRDefault="00DB476B" w:rsidP="004F4D6D">
            <w:pPr>
              <w:textAlignment w:val="center"/>
              <w:rPr>
                <w:rFonts w:ascii="Arial" w:eastAsia="Times New Roman" w:hAnsi="Arial" w:cs="Arial"/>
                <w:color w:val="3A3838"/>
              </w:rPr>
            </w:pPr>
            <w:r w:rsidRPr="00CF09D0">
              <w:rPr>
                <w:rFonts w:ascii="Arial" w:eastAsia="Times New Roman" w:hAnsi="Arial" w:cs="Arial"/>
                <w:color w:val="3A3838"/>
              </w:rPr>
              <w:t>A component of PMH</w:t>
            </w:r>
          </w:p>
        </w:tc>
        <w:tc>
          <w:tcPr>
            <w:tcW w:w="2074" w:type="dxa"/>
          </w:tcPr>
          <w:p w:rsidR="00DB476B" w:rsidRPr="00CF09D0" w:rsidRDefault="00DB476B" w:rsidP="004F4D6D">
            <w:pPr>
              <w:textAlignment w:val="center"/>
              <w:rPr>
                <w:rFonts w:ascii="Arial" w:eastAsia="Times New Roman" w:hAnsi="Arial" w:cs="Arial"/>
                <w:color w:val="3A3838"/>
              </w:rPr>
            </w:pPr>
            <w:r w:rsidRPr="00CF09D0">
              <w:rPr>
                <w:rFonts w:ascii="Arial" w:eastAsia="Times New Roman" w:hAnsi="Arial" w:cs="Arial"/>
                <w:color w:val="3A3838"/>
              </w:rPr>
              <w:t>5+ (85% greater mortality) or 6+ (112% greater mortality)</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w:t>
            </w:r>
            <w:r w:rsidRPr="00CF09D0">
              <w:rPr>
                <w:rFonts w:ascii="Arial" w:eastAsia="Times New Roman" w:hAnsi="Arial" w:cs="Arial"/>
                <w:color w:val="3A3838"/>
              </w:rPr>
              <w:fldChar w:fldCharType="end"/>
            </w:r>
          </w:p>
        </w:tc>
        <w:tc>
          <w:tcPr>
            <w:tcW w:w="3220" w:type="dxa"/>
          </w:tcPr>
          <w:p w:rsidR="00DB476B" w:rsidRPr="00CF09D0" w:rsidRDefault="00DB476B" w:rsidP="004F4D6D">
            <w:pPr>
              <w:textAlignment w:val="center"/>
              <w:rPr>
                <w:rFonts w:ascii="Arial" w:eastAsia="Times New Roman" w:hAnsi="Arial" w:cs="Arial"/>
                <w:color w:val="3A3838"/>
              </w:rPr>
            </w:pPr>
            <w:r w:rsidRPr="00CF09D0">
              <w:rPr>
                <w:rFonts w:ascii="Arial" w:eastAsia="Times New Roman" w:hAnsi="Arial" w:cs="Arial"/>
                <w:color w:val="3A3838"/>
              </w:rPr>
              <w:t>Assess for presence of geriatric syndromes, important and significant predictor of mortality, found to be dose-response relationship.</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w:t>
            </w:r>
            <w:r w:rsidRPr="00CF09D0">
              <w:rPr>
                <w:rFonts w:ascii="Arial" w:eastAsia="Times New Roman" w:hAnsi="Arial" w:cs="Arial"/>
                <w:color w:val="3A3838"/>
              </w:rPr>
              <w:fldChar w:fldCharType="end"/>
            </w:r>
          </w:p>
        </w:tc>
      </w:tr>
      <w:tr w:rsidR="00EB6899" w:rsidRPr="00CF09D0" w:rsidTr="006910EF">
        <w:tc>
          <w:tcPr>
            <w:tcW w:w="1795" w:type="dxa"/>
          </w:tcPr>
          <w:p w:rsidR="00EA639F" w:rsidRPr="00CF09D0" w:rsidRDefault="00EA639F" w:rsidP="004F4D6D">
            <w:pPr>
              <w:textAlignment w:val="center"/>
              <w:rPr>
                <w:rFonts w:ascii="Arial" w:eastAsia="Times New Roman" w:hAnsi="Arial" w:cs="Arial"/>
                <w:color w:val="3A3838"/>
              </w:rPr>
            </w:pPr>
            <w:r w:rsidRPr="00CF09D0">
              <w:rPr>
                <w:rFonts w:ascii="Arial" w:eastAsia="Times New Roman" w:hAnsi="Arial" w:cs="Arial"/>
                <w:color w:val="3A3838"/>
              </w:rPr>
              <w:t>Bowel/Bladder Function</w:t>
            </w:r>
          </w:p>
        </w:tc>
        <w:tc>
          <w:tcPr>
            <w:tcW w:w="2181" w:type="dxa"/>
          </w:tcPr>
          <w:p w:rsidR="00EA639F" w:rsidRPr="00CF09D0" w:rsidRDefault="00EA639F" w:rsidP="004F4D6D">
            <w:pPr>
              <w:textAlignment w:val="center"/>
              <w:rPr>
                <w:rFonts w:ascii="Arial" w:eastAsia="Times New Roman" w:hAnsi="Arial" w:cs="Arial"/>
                <w:color w:val="3A3838"/>
              </w:rPr>
            </w:pPr>
            <w:r w:rsidRPr="00CF09D0">
              <w:rPr>
                <w:rFonts w:ascii="Arial" w:eastAsia="Times New Roman" w:hAnsi="Arial" w:cs="Arial"/>
                <w:color w:val="3A3838"/>
              </w:rPr>
              <w:t xml:space="preserve">Assessment for function, risk of UTI, </w:t>
            </w:r>
            <w:r w:rsidR="006910EF" w:rsidRPr="00CF09D0">
              <w:rPr>
                <w:rFonts w:ascii="Arial" w:eastAsia="Times New Roman" w:hAnsi="Arial" w:cs="Arial"/>
                <w:color w:val="3A3838"/>
              </w:rPr>
              <w:t>screen for incontinence</w:t>
            </w:r>
          </w:p>
        </w:tc>
        <w:tc>
          <w:tcPr>
            <w:tcW w:w="2074" w:type="dxa"/>
          </w:tcPr>
          <w:p w:rsidR="00EA639F" w:rsidRPr="00CF09D0" w:rsidRDefault="00774F48" w:rsidP="004F4D6D">
            <w:pPr>
              <w:textAlignment w:val="center"/>
              <w:rPr>
                <w:rFonts w:ascii="Arial" w:eastAsia="Times New Roman" w:hAnsi="Arial" w:cs="Arial"/>
                <w:color w:val="3A3838"/>
              </w:rPr>
            </w:pPr>
            <w:r w:rsidRPr="00CF09D0">
              <w:rPr>
                <w:rFonts w:ascii="Arial" w:eastAsia="Times New Roman" w:hAnsi="Arial" w:cs="Arial"/>
                <w:color w:val="3A3838"/>
              </w:rPr>
              <w:t>Change in ability to care or increase in incontinence or UTI frequency</w:t>
            </w:r>
          </w:p>
        </w:tc>
        <w:tc>
          <w:tcPr>
            <w:tcW w:w="3220" w:type="dxa"/>
          </w:tcPr>
          <w:p w:rsidR="00EA639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Commonly impaired in individuals post-stroke.</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6</w:t>
            </w:r>
            <w:r w:rsidRPr="00CF09D0">
              <w:rPr>
                <w:rFonts w:ascii="Arial" w:eastAsia="Times New Roman" w:hAnsi="Arial" w:cs="Arial"/>
                <w:color w:val="3A3838"/>
              </w:rPr>
              <w:fldChar w:fldCharType="end"/>
            </w:r>
            <w:r w:rsidRPr="00CF09D0">
              <w:rPr>
                <w:rFonts w:ascii="Arial" w:eastAsia="Times New Roman" w:hAnsi="Arial" w:cs="Arial"/>
                <w:color w:val="3A3838"/>
              </w:rPr>
              <w:t xml:space="preserve"> Often under-reported, important factor in falls, mobility, social engagement, stress, and isolation.</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F1000_CSL_CITATION&lt;~#@#~&gt;[{"DOI":"10.1016/j.cger.2017.08.002","First":false,"Last":false,"PMID":"29129217","abstract":"The geriatric syndromes of falls, incontinence, and osteoporosis are concerns in older adults because of their potential impact on quality of life. Asking about history of falls or a fear of falling should prompt a multifactorial assessment of fall risk and targeted interventions to reduce falls. Urinary and fecal incontinence should be screened because they are common conditions that are underreported due to embarrassment and general perception that incontinence is a normal part of aging. Women over age 65, men over age 70, and younger patients with high-risk characteristics should be screened with bone mineral density testing with dual-energy x-ray absorptiometry.&lt;br&gt;&lt;br&gt;Copyright © 2017 Elsevier Inc. All rights reserved.","author":[{"family":"Smith","given":"Erin M"},{"family":"Shah","given":"Amit A"}],"authorYearDisplayFormat":false,"citation-label":"5717370","container-title":"Clinics in geriatric medicine","container-title-short":"Clin. Geriatr. Med.","id":"5717370","invisible":false,"issue":"1","issued":{"date-parts":[["2018"]]},"journalAbbreviation":"Clin. Geriatr. Med.","page":"55-67","suppress-author":false,"title":"Screening for geriatric syndromes: falls, urinary/fecal incontinence, and osteoporosis.","type":"article-journal","volume":"34"}]</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18</w:t>
            </w:r>
            <w:r w:rsidRPr="00CF09D0">
              <w:rPr>
                <w:rFonts w:ascii="Arial" w:eastAsia="Times New Roman" w:hAnsi="Arial" w:cs="Arial"/>
                <w:color w:val="3A3838"/>
              </w:rPr>
              <w:fldChar w:fldCharType="end"/>
            </w:r>
          </w:p>
        </w:tc>
      </w:tr>
      <w:tr w:rsidR="00EB6899" w:rsidRPr="00CF09D0" w:rsidTr="006910EF">
        <w:tc>
          <w:tcPr>
            <w:tcW w:w="1795"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Physical Activity</w:t>
            </w:r>
          </w:p>
        </w:tc>
        <w:tc>
          <w:tcPr>
            <w:tcW w:w="2181"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Compliance with national PA recommendation, ADL disability</w:t>
            </w:r>
          </w:p>
        </w:tc>
        <w:tc>
          <w:tcPr>
            <w:tcW w:w="2074" w:type="dxa"/>
          </w:tcPr>
          <w:p w:rsidR="006910EF" w:rsidRPr="00CF09D0" w:rsidRDefault="00D60CD3" w:rsidP="00D60CD3">
            <w:pPr>
              <w:ind w:right="-81"/>
              <w:textAlignment w:val="center"/>
              <w:rPr>
                <w:rFonts w:ascii="Arial" w:eastAsia="Times New Roman" w:hAnsi="Arial" w:cs="Arial"/>
                <w:color w:val="3A3838"/>
              </w:rPr>
            </w:pPr>
            <w:r w:rsidRPr="00CF09D0">
              <w:rPr>
                <w:rFonts w:ascii="Arial" w:eastAsia="Times New Roman" w:hAnsi="Arial" w:cs="Arial"/>
                <w:color w:val="3A3838"/>
              </w:rPr>
              <w:t>150+ min of mod activity and 2+ days of strength training OR 75+ min vigorous activity and 2+ days strength training</w:t>
            </w:r>
          </w:p>
        </w:tc>
        <w:tc>
          <w:tcPr>
            <w:tcW w:w="3220" w:type="dxa"/>
          </w:tcPr>
          <w:p w:rsidR="006910EF" w:rsidRPr="00CF09D0" w:rsidRDefault="00D60CD3" w:rsidP="004F4D6D">
            <w:pPr>
              <w:textAlignment w:val="center"/>
              <w:rPr>
                <w:rFonts w:ascii="Arial" w:eastAsia="Times New Roman" w:hAnsi="Arial" w:cs="Arial"/>
                <w:color w:val="3A3838"/>
              </w:rPr>
            </w:pPr>
            <w:r w:rsidRPr="00CF09D0">
              <w:rPr>
                <w:rFonts w:ascii="Arial" w:eastAsia="Times New Roman" w:hAnsi="Arial" w:cs="Arial"/>
                <w:color w:val="3A3838"/>
              </w:rPr>
              <w:t>Inactivity is associated with increased risks both for general geriatric population and patients with chronic stroke.</w:t>
            </w:r>
            <w:r w:rsidR="004826C1"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stroke.","type":"article-journal","volume":"21"},{"DOI":"10.1586/14737175.7.10.1417","First":false,"Last":false,"PMCID":"PMC3196659","PMID":"17939776","abstract":"Stroke is a leading cause of long-term disability. Impairments resulting from stroke lead to persistent difficulties with walking and, subsequently, improved walking ability is one of the highest priorities for people living with a stroke. In addition, walking ability has important health implications in providing protective effects against secondary complications common after a stroke such as heart disease or osteoporosis. This paper systematically reviews common gait training strategies (neurodevelopmental techniques, muscle strengthening, treadmill training and intensive mobility exercises) to improve walking ability. The results (descriptive summaries as well as pooled effect sizes) from randomized controlled trials are presented and implications for optimal gait training strategies are discussed. Novel and emerging gait training strategies are highlighted and research directions proposed to enable the optimal recovery and maintenance of walking ability.","author":[{"family":"Eng","given":"Janice J"},{"family":"Tang","given":"Pei-Fang"}],"authorYearDisplayFormat":false,"citation-label":"2096484","container-title":"Expert Review of Neurotherapeutics","container-title-short":"Expert Rev. Neurother.","id":"2096484","invisible":false,"issue":"10","issued":{"date-parts":[["2007","10"]]},"journalAbbreviation":"Expert Rev. Neurother.","page":"1417-1436","suppress-author":false,"title":"Gait training strategies to optimize walking ability in people with stroke: a synthesis of the evidence.","type":"article-journal","volume":"7"}]</w:instrText>
            </w:r>
            <w:r w:rsidR="004826C1"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5,6</w:t>
            </w:r>
            <w:r w:rsidR="004826C1" w:rsidRPr="00CF09D0">
              <w:rPr>
                <w:rFonts w:ascii="Arial" w:eastAsia="Times New Roman" w:hAnsi="Arial" w:cs="Arial"/>
                <w:color w:val="3A3838"/>
              </w:rPr>
              <w:fldChar w:fldCharType="end"/>
            </w:r>
            <w:r w:rsidRPr="00CF09D0">
              <w:rPr>
                <w:rFonts w:ascii="Arial" w:eastAsia="Times New Roman" w:hAnsi="Arial" w:cs="Arial"/>
                <w:color w:val="3A3838"/>
              </w:rPr>
              <w:t xml:space="preserve"> Found to be protective and improve mobility, independence, safety, ROM, and </w:t>
            </w:r>
            <w:r w:rsidR="004B454C" w:rsidRPr="00CF09D0">
              <w:rPr>
                <w:rFonts w:ascii="Arial" w:eastAsia="Times New Roman" w:hAnsi="Arial" w:cs="Arial"/>
                <w:color w:val="3A3838"/>
              </w:rPr>
              <w:t xml:space="preserve">reduce contractures in patients with chronic stroke. </w:t>
            </w:r>
            <w:r w:rsidR="004B454C"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F1000_CSL_CITATION&lt;~#@#~&gt;[{"DOI":"10.1161/STR.0000000000000022","First":false,"Last":false,"PMID":"24846875","abstract":"&lt;strong&gt;PURPOSE:&lt;/strong&gt; This scientific statement provides an overview of the evidence on physical activity and exercise recommendations for stroke survivors. Evidence suggests that stroke survivors experience physical deconditioning and lead sedentary lifestyles. Therefore, this updated scientific statement serves as an overall guide for practitioners to gain a better understanding of the benefits of physical activity and recommendations for prescribing exercise for stroke survivors across all stages of recovery.&lt;br&gt;&lt;br&gt;&lt;strong&gt;METHODS:&lt;/strong&gt; Members of the writing group were appointed by the American Heart Association Stroke Council's Scientific Statement Oversight Committee and the American Heart Association's Manuscript Oversight Committee. The writers used systematic literature reviews, references to published clinical and epidemiology studies, morbidity and mortality reports, clinical and public health guidelines, authoritative statements, personal files, and expert opinion to summarize existing evidence and indicate gaps in current knowledge.&lt;br&gt;&lt;br&gt;&lt;strong&gt;RESULTS:&lt;/strong&gt; Physical inactivity after stroke is highly prevalent. The assessed body of evidence clearly supports the use of exercise training (both aerobic and strength training) for stroke survivors. Exercise training improves functional capacity, the ability to perform activities of daily living, and quality of life, and it reduces the risk for subsequent cardiovascular events. Physical activity goals and exercise prescription for stroke survivors need to be customized for the individual to maximize long-term adherence.&lt;br&gt;&lt;br&gt;&lt;strong&gt;CONCLUSIONS:&lt;/strong&gt; The recommendation from this writing group is that physical activity and exercise prescription should be incorporated into the management of stroke survivors. The promotion of physical activity in stroke survivors should emphasize low- to moderate-intensity aerobic activity, muscle-strengthening activity, reduction of sedentary behavior, and risk management for secondary prevention of stroke.&lt;br&gt;&lt;br&gt;© 2014 American Heart Association, Inc.","author":[{"family":"Billinger","given":"Sandra A"},{"family":"Arena","given":"Ross"},{"family":"Bernhardt","given":"Julie"},{"family":"Eng","given":"Janice J"},{"family":"Franklin","given":"Barry A"},{"family":"Johnson","given":"Cheryl Mortag"},{"family":"MacKay-Lyons","given":"Marilyn"},{"family":"Macko","given":"Richard F"},{"family":"Mead","given":"Gillian E"},{"family":"Roth","given":"Elliot J"},{"family":"Shaughnessy","given":"Marianne"},{"family":"Tang","given":"Ada"},{"family":"American Heart Association Stroke Council"},{"family":"Council on Cardiovascular and Stroke Nursing"},{"family":"Council on Lifestyle and Cardiometabolic Health"},{"family":"Council on Epidemiology and Prevention"},{"family":"Council on Clinical Cardiology"}],"authorYearDisplayFormat":false,"citation-label":"1947258","container-title":"Stroke","container-title-short":"Stroke","id":"1947258","invisible":false,"issue":"8","issued":{"date-parts":[["2014","8"]]},"journalAbbreviation":"Stroke","page":"2532-2553","suppress-author":false,"title":"Physical activity and exercise recommendations for stroke survivors: a statement for healthcare professionals from the American Heart Association/American Stroke Association.","type":"article-journal","volume":"45"}]</w:instrText>
            </w:r>
            <w:r w:rsidR="004B454C"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19</w:t>
            </w:r>
            <w:r w:rsidR="004B454C" w:rsidRPr="00CF09D0">
              <w:rPr>
                <w:rFonts w:ascii="Arial" w:eastAsia="Times New Roman" w:hAnsi="Arial" w:cs="Arial"/>
                <w:color w:val="3A3838"/>
              </w:rPr>
              <w:fldChar w:fldCharType="end"/>
            </w:r>
          </w:p>
        </w:tc>
      </w:tr>
      <w:tr w:rsidR="00EB6899" w:rsidRPr="00CF09D0" w:rsidTr="006910EF">
        <w:tc>
          <w:tcPr>
            <w:tcW w:w="1795" w:type="dxa"/>
          </w:tcPr>
          <w:p w:rsidR="004F4D6D" w:rsidRPr="00CF09D0" w:rsidRDefault="004F4D6D" w:rsidP="004F4D6D">
            <w:pPr>
              <w:textAlignment w:val="center"/>
              <w:rPr>
                <w:rFonts w:ascii="Arial" w:eastAsia="Times New Roman" w:hAnsi="Arial" w:cs="Arial"/>
                <w:color w:val="3A3838"/>
              </w:rPr>
            </w:pPr>
            <w:r w:rsidRPr="00CF09D0">
              <w:rPr>
                <w:rFonts w:ascii="Arial" w:eastAsia="Times New Roman" w:hAnsi="Arial" w:cs="Arial"/>
                <w:color w:val="3A3838"/>
              </w:rPr>
              <w:t>Falls</w:t>
            </w:r>
          </w:p>
        </w:tc>
        <w:tc>
          <w:tcPr>
            <w:tcW w:w="2181" w:type="dxa"/>
          </w:tcPr>
          <w:p w:rsidR="004F4D6D" w:rsidRPr="00CF09D0" w:rsidRDefault="004F4D6D" w:rsidP="004F4D6D">
            <w:pPr>
              <w:textAlignment w:val="center"/>
              <w:rPr>
                <w:rFonts w:ascii="Arial" w:eastAsia="Times New Roman" w:hAnsi="Arial" w:cs="Arial"/>
                <w:color w:val="3A3838"/>
              </w:rPr>
            </w:pPr>
            <w:r w:rsidRPr="00CF09D0">
              <w:rPr>
                <w:rFonts w:ascii="Arial" w:eastAsia="Times New Roman" w:hAnsi="Arial" w:cs="Arial"/>
                <w:color w:val="3A3838"/>
              </w:rPr>
              <w:t xml:space="preserve">Frequency of falls and fear of falling. </w:t>
            </w:r>
          </w:p>
        </w:tc>
        <w:tc>
          <w:tcPr>
            <w:tcW w:w="2074" w:type="dxa"/>
          </w:tcPr>
          <w:p w:rsidR="004F4D6D" w:rsidRPr="00CF09D0" w:rsidRDefault="004F4D6D" w:rsidP="004F4D6D">
            <w:pPr>
              <w:textAlignment w:val="center"/>
              <w:rPr>
                <w:rFonts w:ascii="Arial" w:eastAsia="Times New Roman" w:hAnsi="Arial" w:cs="Arial"/>
                <w:color w:val="3A3838"/>
              </w:rPr>
            </w:pPr>
            <w:r w:rsidRPr="00CF09D0">
              <w:rPr>
                <w:rFonts w:ascii="Arial" w:eastAsia="Times New Roman" w:hAnsi="Arial" w:cs="Arial"/>
                <w:color w:val="3A3838"/>
              </w:rPr>
              <w:t xml:space="preserve">One or more falls in last 12 months, feelings of unsteadiness while walking, fearful of falling. </w:t>
            </w:r>
          </w:p>
        </w:tc>
        <w:tc>
          <w:tcPr>
            <w:tcW w:w="3220" w:type="dxa"/>
          </w:tcPr>
          <w:p w:rsidR="004F4D6D" w:rsidRPr="00CF09D0" w:rsidRDefault="004F4D6D" w:rsidP="004F4D6D">
            <w:pPr>
              <w:textAlignment w:val="center"/>
              <w:rPr>
                <w:rFonts w:ascii="Arial" w:eastAsia="Times New Roman" w:hAnsi="Arial" w:cs="Arial"/>
                <w:color w:val="3A3838"/>
              </w:rPr>
            </w:pPr>
            <w:r w:rsidRPr="00CF09D0">
              <w:rPr>
                <w:rFonts w:ascii="Arial" w:eastAsia="Times New Roman" w:hAnsi="Arial" w:cs="Arial"/>
                <w:color w:val="3A3838"/>
              </w:rPr>
              <w:t xml:space="preserve">An important factor that </w:t>
            </w:r>
            <w:r w:rsidR="00D60CD3" w:rsidRPr="00CF09D0">
              <w:rPr>
                <w:rFonts w:ascii="Arial" w:eastAsia="Times New Roman" w:hAnsi="Arial" w:cs="Arial"/>
                <w:color w:val="3A3838"/>
              </w:rPr>
              <w:t>is related to QoL, independence, general mobility, and sig related to mortality, especially as patients age.</w:t>
            </w:r>
            <w:r w:rsidR="00D60CD3"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00D60CD3"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w:t>
            </w:r>
            <w:r w:rsidR="00D60CD3" w:rsidRPr="00CF09D0">
              <w:rPr>
                <w:rFonts w:ascii="Arial" w:eastAsia="Times New Roman" w:hAnsi="Arial" w:cs="Arial"/>
                <w:color w:val="3A3838"/>
              </w:rPr>
              <w:fldChar w:fldCharType="end"/>
            </w:r>
          </w:p>
        </w:tc>
      </w:tr>
      <w:tr w:rsidR="00EB6899" w:rsidRPr="00CF09D0" w:rsidTr="006910EF">
        <w:tc>
          <w:tcPr>
            <w:tcW w:w="1795"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Nutrition</w:t>
            </w:r>
          </w:p>
        </w:tc>
        <w:tc>
          <w:tcPr>
            <w:tcW w:w="2181"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Compliance with national recommendations</w:t>
            </w:r>
          </w:p>
        </w:tc>
        <w:tc>
          <w:tcPr>
            <w:tcW w:w="2074" w:type="dxa"/>
          </w:tcPr>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5-9 servings of fruits and vegetables /day.</w:t>
            </w:r>
          </w:p>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 xml:space="preserve">25-30 g fiber/day </w:t>
            </w:r>
          </w:p>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 xml:space="preserve">Increase whole grain </w:t>
            </w:r>
          </w:p>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64 oz water/day</w:t>
            </w:r>
          </w:p>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 xml:space="preserve">2+ servings of low-fat dairy each day (low-fat milk, cheese, </w:t>
            </w:r>
            <w:proofErr w:type="spellStart"/>
            <w:r w:rsidRPr="00CF09D0">
              <w:rPr>
                <w:rFonts w:ascii="Arial" w:eastAsia="Times New Roman" w:hAnsi="Arial" w:cs="Arial"/>
                <w:color w:val="3A3838"/>
              </w:rPr>
              <w:t>etc</w:t>
            </w:r>
            <w:proofErr w:type="spellEnd"/>
            <w:r w:rsidRPr="00CF09D0">
              <w:rPr>
                <w:rFonts w:ascii="Arial" w:eastAsia="Times New Roman" w:hAnsi="Arial" w:cs="Arial"/>
                <w:color w:val="3A3838"/>
              </w:rPr>
              <w:t>).</w:t>
            </w:r>
            <w:r w:rsidRPr="00CF09D0">
              <w:rPr>
                <w:rFonts w:ascii="Arial" w:eastAsia="Times New Roman" w:hAnsi="Arial" w:cs="Arial"/>
                <w:color w:val="3A3838"/>
              </w:rPr>
              <w:tab/>
            </w:r>
          </w:p>
          <w:p w:rsidR="004B454C"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t>2+ servings fish /week.</w:t>
            </w:r>
          </w:p>
          <w:p w:rsidR="006910EF" w:rsidRPr="00CF09D0" w:rsidRDefault="004B454C" w:rsidP="004B454C">
            <w:pPr>
              <w:textAlignment w:val="center"/>
              <w:rPr>
                <w:rFonts w:ascii="Arial" w:eastAsia="Times New Roman" w:hAnsi="Arial" w:cs="Arial"/>
                <w:color w:val="3A3838"/>
              </w:rPr>
            </w:pPr>
            <w:r w:rsidRPr="00CF09D0">
              <w:rPr>
                <w:rFonts w:ascii="Arial" w:eastAsia="Times New Roman" w:hAnsi="Arial" w:cs="Arial"/>
                <w:color w:val="3A3838"/>
              </w:rPr>
              <w:lastRenderedPageBreak/>
              <w:t>&lt; 2,400 mg sodium/day</w:t>
            </w:r>
            <w:r w:rsidR="0058731C"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F1000_CSL_CITATION&lt;~#@#~&gt;[{"DOI":"10.1080/09593980902835369","First":false,"Last":false,"PMID":"19842865","abstract":"Poor nutrition and obesity can directly lead to pathological conditions managed by physical therapists or negatively influence recovery from movement dysfunction. The physical therapist/client relationship provides an opportunity for screening for poor nutrition as well as recommending and supporting better nutrition practices by the clients under their care. As such, it is important for the physical therapy professional to understand optimal nutrition for healthy living and serve as a consultant for better nutrition for their clients. To achieve this end, this article addresses strategies for identifying nutritional trends for the specific groups of clients, screening for nutritional problems, assessing clients' readiness to change eating habits, providing useful information and resources concerning optimal nutrition, and recognizing the need for referral to nutrition professionals.","author":[{"family":"Morris","given":"David M"},{"family":"Kitchin","given":"Elizabeth M"},{"family":"Clark","given":"Diane E"}],"authorYearDisplayFormat":false,"citation-label":"2243978","container-title":"Physiotherapy Theory and Practice","container-title-short":"Physiother. Theory Pract.","id":"2243978","invisible":false,"issue":"5-6","issued":{"date-parts":[["2009","7"]]},"journalAbbreviation":"Physiother. Theory Pract.","page":"408-423","suppress-author":false,"title":"Strategies for optimizing nutrition and weight reduction in physical therapy practice: the evidence.","type":"article-journal","volume":"25"}]</w:instrText>
            </w:r>
            <w:r w:rsidR="0058731C"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20</w:t>
            </w:r>
            <w:r w:rsidR="0058731C" w:rsidRPr="00CF09D0">
              <w:rPr>
                <w:rFonts w:ascii="Arial" w:eastAsia="Times New Roman" w:hAnsi="Arial" w:cs="Arial"/>
                <w:color w:val="3A3838"/>
              </w:rPr>
              <w:fldChar w:fldCharType="end"/>
            </w:r>
          </w:p>
          <w:p w:rsidR="0058731C" w:rsidRPr="00CF09D0" w:rsidRDefault="0058731C" w:rsidP="004B454C">
            <w:pPr>
              <w:textAlignment w:val="center"/>
              <w:rPr>
                <w:rFonts w:ascii="Arial" w:eastAsia="Times New Roman" w:hAnsi="Arial" w:cs="Arial"/>
                <w:color w:val="3A3838"/>
              </w:rPr>
            </w:pPr>
            <w:r w:rsidRPr="00CF09D0">
              <w:rPr>
                <w:rFonts w:ascii="Arial" w:eastAsia="Times New Roman" w:hAnsi="Arial" w:cs="Arial"/>
                <w:color w:val="3A3838"/>
              </w:rPr>
              <w:t>AND/OR</w:t>
            </w:r>
          </w:p>
          <w:p w:rsidR="0058731C" w:rsidRPr="00CF09D0" w:rsidRDefault="0058731C" w:rsidP="004B454C">
            <w:pPr>
              <w:textAlignment w:val="center"/>
              <w:rPr>
                <w:rFonts w:ascii="Arial" w:eastAsia="Times New Roman" w:hAnsi="Arial" w:cs="Arial"/>
                <w:color w:val="3A3838"/>
              </w:rPr>
            </w:pPr>
            <w:r w:rsidRPr="00CF09D0">
              <w:rPr>
                <w:rFonts w:ascii="Arial" w:eastAsia="Times New Roman" w:hAnsi="Arial" w:cs="Arial"/>
                <w:color w:val="3A3838"/>
              </w:rPr>
              <w:t>Abnormal BMI (see below)</w:t>
            </w:r>
          </w:p>
        </w:tc>
        <w:tc>
          <w:tcPr>
            <w:tcW w:w="3220" w:type="dxa"/>
          </w:tcPr>
          <w:p w:rsidR="006910EF" w:rsidRPr="00CF09D0" w:rsidRDefault="0058731C" w:rsidP="004F4D6D">
            <w:pPr>
              <w:textAlignment w:val="center"/>
              <w:rPr>
                <w:rFonts w:ascii="Arial" w:eastAsia="Times New Roman" w:hAnsi="Arial" w:cs="Arial"/>
                <w:color w:val="3A3838"/>
              </w:rPr>
            </w:pPr>
            <w:r w:rsidRPr="00CF09D0">
              <w:rPr>
                <w:rFonts w:ascii="Arial" w:eastAsia="Times New Roman" w:hAnsi="Arial" w:cs="Arial"/>
                <w:color w:val="3A3838"/>
              </w:rPr>
              <w:lastRenderedPageBreak/>
              <w:t>Good nutrition is important for healing, immunity, body weight, and energy, all important factors of well-being and daily functional performance.</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F1000_CSL_CITATION&lt;~#@#~&gt;[{"DOI":"10.1080/09593980902835369","First":false,"Last":false,"PMID":"19842865","abstract":"Poor nutrition and obesity can directly lead to pathological conditions managed by physical therapists or negatively influence recovery from movement dysfunction. The physical therapist/client relationship provides an opportunity for screening for poor nutrition as well as recommending and supporting better nutrition practices by the clients under their care. As such, it is important for the physical therapy professional to understand optimal nutrition for healthy living and serve as a consultant for better nutrition for their clients. To achieve this end, this article addresses strategies for identifying nutritional trends for the specific groups of clients, screening for nutritional problems, assessing clients' readiness to change eating habits, providing useful information and resources concerning optimal nutrition, and recognizing the need for referral to nutrition professionals.","author":[{"family":"Morris","given":"David M"},{"family":"Kitchin","given":"Elizabeth M"},{"family":"Clark","given":"Diane E"}],"authorYearDisplayFormat":false,"citation-label":"2243978","container-title":"Physiotherapy Theory and Practice","container-title-short":"Physiother. Theory Pract.","id":"2243978","invisible":false,"issue":"5-6","issued":{"date-parts":[["2009","7"]]},"journalAbbreviation":"Physiother. Theory Pract.","page":"408-423","suppress-author":false,"title":"Strategies for optimizing nutrition and weight reduction in physical therapy practice: the evidence.","type":"article-journal","volume":"25"},{"DOI":"10.1080/09593980902813416","First":false,"Last":false,"PMID":"19842863","abstract":"Part II of this two-part introduction to this Special Issue on physical therapy practice in the 21st century outlines a health-focused strategy for physical therapists to lead in the assault on lifestyle conditions, global health care priorities, described in Part I. Consistent with contemporary definitions of physical therapy, its practice, professional education, and research, physical therapy needs to reflect 21st-century health priorities and be aligned with global and regional public health strategies. A proposed focus on health emphasizes clinical competencies, including assessments of health, lifestyle health behaviors, and lifestyle risk factors; and the prescription of interventions to promote health and well-being in every client or patient. Such an approach is aimed to increase the threshold for chronic conditions over the life cycle and reduce their rate of progression, thereby preventing, delaying, or minimizing the severity of illness and disability. The 21st-century physical therapist needs to be able to practice such competencies within the context of a culturally diverse society to effect positive health behavior change. The physical therapist is uniquely positioned to lead in health promotion and prevention of the lifestyle conditions, address many of their causes, as well as manage these conditions. Physical therapists need to impact health globally through public and social health policy as well as one-on-one care. This role is consistent with contemporary definitions of physical therapy as the quintessential noninvasive health care practitioner, and the established efficacy and often superiority of lifestyle and lifestyle change on health outcomes compared with invasive interventions, namely, drugs and surgery. A concerted commitment by physical therapists to health and well-being and reduced health risk is consistent with minimizing the substantial social and economic burdens of lifestyle conditions globally.","author":[{"family":"Dean","given":"Elizabeth"}],"authorYearDisplayFormat":false,"citation-label":"1212420","container-title":"Physiotherapy Theory and Practice","container-title-short":"Physiother. Theory Pract.","id":"1212420","invisible":false,"issue":"5-6","issued":{"date-parts":[["2009","7"]]},"journalAbbreviation":"Physiother. Theory Pract.","page":"354-368","suppress-author":false,"title":"Physical therapy in the 21st century (Part II): evidence-based practice within the context of evidence-informed practice.","type":"article-journal","volume":"25"}]</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20,21</w:t>
            </w:r>
            <w:r w:rsidRPr="00CF09D0">
              <w:rPr>
                <w:rFonts w:ascii="Arial" w:eastAsia="Times New Roman" w:hAnsi="Arial" w:cs="Arial"/>
                <w:color w:val="3A3838"/>
              </w:rPr>
              <w:fldChar w:fldCharType="end"/>
            </w:r>
          </w:p>
        </w:tc>
      </w:tr>
      <w:tr w:rsidR="00EB6899" w:rsidRPr="00CF09D0" w:rsidTr="006910EF">
        <w:tc>
          <w:tcPr>
            <w:tcW w:w="1795" w:type="dxa"/>
          </w:tcPr>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Stress/Anxiety</w:t>
            </w:r>
          </w:p>
        </w:tc>
        <w:tc>
          <w:tcPr>
            <w:tcW w:w="2181" w:type="dxa"/>
          </w:tcPr>
          <w:p w:rsidR="006910EF" w:rsidRPr="00CF09D0" w:rsidRDefault="0058731C" w:rsidP="006910EF">
            <w:pPr>
              <w:textAlignment w:val="center"/>
              <w:rPr>
                <w:rFonts w:ascii="Arial" w:eastAsia="Times New Roman" w:hAnsi="Arial" w:cs="Arial"/>
                <w:color w:val="3A3838"/>
              </w:rPr>
            </w:pPr>
            <w:r w:rsidRPr="00CF09D0">
              <w:rPr>
                <w:rFonts w:ascii="Arial" w:eastAsia="Times New Roman" w:hAnsi="Arial" w:cs="Arial"/>
                <w:color w:val="3A3838"/>
              </w:rPr>
              <w:t>Stress and a</w:t>
            </w:r>
            <w:r w:rsidR="006910EF" w:rsidRPr="00CF09D0">
              <w:rPr>
                <w:rFonts w:ascii="Arial" w:eastAsia="Times New Roman" w:hAnsi="Arial" w:cs="Arial"/>
                <w:color w:val="3A3838"/>
              </w:rPr>
              <w:t>nxiety</w:t>
            </w:r>
          </w:p>
        </w:tc>
        <w:tc>
          <w:tcPr>
            <w:tcW w:w="2074" w:type="dxa"/>
          </w:tcPr>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Felt anxious: some-all of the time</w:t>
            </w:r>
          </w:p>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Not able to control worry: some – all of the time</w:t>
            </w:r>
          </w:p>
        </w:tc>
        <w:tc>
          <w:tcPr>
            <w:tcW w:w="3220" w:type="dxa"/>
          </w:tcPr>
          <w:p w:rsidR="006910EF" w:rsidRPr="00CF09D0" w:rsidRDefault="000D5441" w:rsidP="006910EF">
            <w:pPr>
              <w:textAlignment w:val="center"/>
              <w:rPr>
                <w:rFonts w:ascii="Arial" w:eastAsia="Times New Roman" w:hAnsi="Arial" w:cs="Arial"/>
                <w:color w:val="3A3838"/>
              </w:rPr>
            </w:pPr>
            <w:r w:rsidRPr="00CF09D0">
              <w:rPr>
                <w:rFonts w:ascii="Arial" w:eastAsia="Times New Roman" w:hAnsi="Arial" w:cs="Arial"/>
                <w:color w:val="3A3838"/>
              </w:rPr>
              <w:t xml:space="preserve">Important indicator of emotional/psychological well-being. </w:t>
            </w:r>
            <w:r w:rsidR="00C51374" w:rsidRPr="00CF09D0">
              <w:rPr>
                <w:rFonts w:ascii="Arial" w:eastAsia="Times New Roman" w:hAnsi="Arial" w:cs="Arial"/>
                <w:color w:val="3A3838"/>
              </w:rPr>
              <w:t>Has been shown to be sig indicator of mortality in elderly.</w:t>
            </w:r>
            <w:r w:rsidR="00C51374"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00C51374"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1,4</w:t>
            </w:r>
            <w:r w:rsidR="00C51374" w:rsidRPr="00CF09D0">
              <w:rPr>
                <w:rFonts w:ascii="Arial" w:eastAsia="Times New Roman" w:hAnsi="Arial" w:cs="Arial"/>
                <w:color w:val="3A3838"/>
              </w:rPr>
              <w:fldChar w:fldCharType="end"/>
            </w:r>
          </w:p>
        </w:tc>
      </w:tr>
      <w:tr w:rsidR="00EB6899" w:rsidRPr="00CF09D0" w:rsidTr="006910EF">
        <w:tc>
          <w:tcPr>
            <w:tcW w:w="1795" w:type="dxa"/>
          </w:tcPr>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Smoking</w:t>
            </w:r>
          </w:p>
        </w:tc>
        <w:tc>
          <w:tcPr>
            <w:tcW w:w="2181" w:type="dxa"/>
          </w:tcPr>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 xml:space="preserve">Does patient smoke? If so, how much and how long? </w:t>
            </w:r>
          </w:p>
          <w:p w:rsidR="006910EF" w:rsidRPr="00CF09D0" w:rsidRDefault="006910EF" w:rsidP="006910EF">
            <w:pPr>
              <w:textAlignment w:val="center"/>
              <w:rPr>
                <w:rFonts w:ascii="Arial" w:eastAsia="Times New Roman" w:hAnsi="Arial" w:cs="Arial"/>
                <w:color w:val="3A3838"/>
              </w:rPr>
            </w:pPr>
            <w:r w:rsidRPr="00CF09D0">
              <w:rPr>
                <w:rFonts w:ascii="Arial" w:eastAsia="Times New Roman" w:hAnsi="Arial" w:cs="Arial"/>
                <w:color w:val="3A3838"/>
              </w:rPr>
              <w:t>Are they interested in quitting?</w:t>
            </w:r>
          </w:p>
        </w:tc>
        <w:tc>
          <w:tcPr>
            <w:tcW w:w="2074" w:type="dxa"/>
          </w:tcPr>
          <w:p w:rsidR="006910EF" w:rsidRPr="00CF09D0" w:rsidRDefault="0058731C" w:rsidP="006910EF">
            <w:pPr>
              <w:textAlignment w:val="center"/>
              <w:rPr>
                <w:rFonts w:ascii="Arial" w:eastAsia="Times New Roman" w:hAnsi="Arial" w:cs="Arial"/>
                <w:color w:val="3A3838"/>
              </w:rPr>
            </w:pPr>
            <w:r w:rsidRPr="00CF09D0">
              <w:rPr>
                <w:rFonts w:ascii="Arial" w:eastAsia="Times New Roman" w:hAnsi="Arial" w:cs="Arial"/>
                <w:color w:val="3A3838"/>
              </w:rPr>
              <w:t>Patient smokes or uses smokeless tobacco</w:t>
            </w:r>
          </w:p>
        </w:tc>
        <w:tc>
          <w:tcPr>
            <w:tcW w:w="3220" w:type="dxa"/>
          </w:tcPr>
          <w:p w:rsidR="006910EF" w:rsidRPr="00CF09D0" w:rsidRDefault="0058731C" w:rsidP="006910EF">
            <w:pPr>
              <w:textAlignment w:val="center"/>
              <w:rPr>
                <w:rFonts w:ascii="Arial" w:eastAsia="Times New Roman" w:hAnsi="Arial" w:cs="Arial"/>
                <w:color w:val="3A3838"/>
              </w:rPr>
            </w:pPr>
            <w:r w:rsidRPr="00CF09D0">
              <w:rPr>
                <w:rFonts w:ascii="Arial" w:eastAsia="Times New Roman" w:hAnsi="Arial" w:cs="Arial"/>
                <w:color w:val="3A3838"/>
              </w:rPr>
              <w:t>Significant increase in risk for a number of conditions and overall mortality. Large predictor of CHD and a second stroke, initiate smoking cessation as possible.</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F1000_CSL_CITATION&lt;~#@#~&gt;[{"DOI":"10.1161/STROKEAHA.109.564781","First":false,"Last":false,"PMID":"20110538","abstract":"&lt;strong&gt;BACKGROUND AND PURPOSE:&lt;/strong&gt; Noncoronary forms of atherosclerosis (including transient ischemic attacks or stroke of carotid origin or &gt;50% stenosis of the carotid artery) are associated with a 10-year vascular risk of &gt;20% and are considered as a coronary heart disease (CHD) -risk equivalent from the standpoint of lipid management. The Stroke Prevention by Aggressive Reduction in Cholesterol Levels (SPARCL) trial included patients with stroke or transient ischemic attack and no known CHD regardless of the presence of carotid atherosclerosis. We evaluated the risk of developing clinically recognized CHD in SPARCL patients.&lt;br&gt;&lt;br&gt;&lt;strong&gt;METHODS:&lt;/strong&gt; A total of 4731 patients (mean age, 63 years) was randomized to 80 mg/day atorvastatin placebo. The rates of major coronary event, any CHD event, and any revascularization procedure were evaluated.&lt;br&gt;&lt;br&gt;&lt;strong&gt;RESULTS:&lt;/strong&gt; After 4.9 years of follow-up, the risks of a major coronary event and of any CHD end point in the placebo group were 5.1% and 8.6%, respectively. The rate of outcome of stroke decreased over time, whereas the major coronary event rate was stable. Relative to those having a large vessel-related stroke at baseline, those having a transient ischemic attack, hemorrhagic stroke, small vessel stroke, or a stroke of unknown cause had similar absolute rates for a first major coronary event and for any CHD event; transient ischemic attack, small vessel, and unknown cause groups had lower absolute revascularization procedure rates. Major coronary event, any CHD event, and any revascularization procedure rates were similarly reduced in all baseline stroke subtypes in the atorvastatin arm compared with placebo with no heterogeneity between groups.&lt;br&gt;&lt;br&gt;&lt;strong&gt;CONCLUSIONS:&lt;/strong&gt; CHD risk can be substantially reduced by atorvastatin therapy in patients with recent stroke or transient ischemic attack regardless of stroke subtype.","author":[{"family":"Amarenco","given":"Pierre"},{"family":"Goldstein","given":"Larry B"},{"family":"Sillesen","given":"Henrik"},{"family":"Benavente","given":"Oscar"},{"family":"Zweifler","given":"Richard M"},{"family":"Callahan","given":"Alfred"},{"family":"Hennerici","given":"Michael G"},{"family":"Zivin","given":"Justin A"},{"family":"Welch","given":"K Michael A"},{"family":"Stroke Prevention by Aggressive Reduction in Cholesterol Levels Investigators"}],"authorYearDisplayFormat":false,"citation-label":"7428318","container-title":"Stroke","container-title-short":"Stroke","id":"7428318","invisible":false,"issue":"3","issued":{"date-parts":[["2010","3"]]},"journalAbbreviation":"Stroke","page":"426-430","suppress-author":false,"title":"Coronary heart disease risk in patients with stroke or transient ischemic attack and no known coronary heart disease: findings from the Stroke Prevention by Aggressive Reduction in Cholesterol Levels (SPARCL) trial.","type":"article-journal","volume":"41"},{"DOI":"10.1080/09593980903011887","First":false,"Last":false,"PMID":"19842864","abstract":"Although identified as a clinical priority, smoking cessation has been addressed minimally in the literature in the context of physical therapy practice. Smoking cessation advice delivered by a health professional can help smokers quit. The salient components of such advice however warranted elucidation to enable physical therapists to integrate this clinical competence into their practices. Therefore, we conducted a systematic review to elucidate the effectiveness of advice by a health professional and its components to optimize smoking cessation instituted in the context of physical therapy practice. Thirty source articles were identified. A random-effects model meta-analysis was used to assess the effectiveness of the advice parameters. Risk ratios (RRs) were used to estimate pooled treatment effects. RRs for brief, intermediate, and intensive advice were 1.74 (95% CI=1.37, 2.22), 1.71 (95% CI=1.39, 2.09), and 1.60 (95% CI=1.13, 2.27), respectively. Self-help materials, follow-up, and interventions based on psychological or motivational frameworks were particularly effective components of intermediate and intensive advice interventions. Advice can be readily integrated into physical therapy practice and used to initiate or support ongoing smoking cessation in clients irrespective of reason for referral. Incorporating smoking cessation as a physical therapy goal is consistent with the contemporary definition of the profession and the mandates of physical therapy professional associations to promote health and wellness, including smoking cessation for both primary health benefit and to minimize secondary effects (e.g., delayed healing and recovery, and medical and surgical complications). Thus, advice is an evidence-based strategy to effect smoking cessation that can be exploited in physical therapy practice. Further research to refine how best to assess smokers and, in turn, individualize brief smoking cessation advice could augment positive smoking cessation outcomes.","author":[{"family":"Bodner","given":"Michael E"},{"family":"Dean","given":"Elizabeth"}],"authorYearDisplayFormat":false,"citation-label":"4169094","container-title":"Physiotherapy Theory and Practice","container-title-short":"Physiother. Theory Pract.","id":"4169094","invisible":false,"issue":"5-6","issued":{"date-parts":[["2009","7"]]},"journalAbbreviation":"Physiother. Theory Pract.","page":"369-407","suppress-author":false,"title":"Advice as a smoking cessation strategy: a systematic review and implications for physical therapists.","type":"article-journal","volume":"25"}]</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22,23</w:t>
            </w:r>
            <w:r w:rsidRPr="00CF09D0">
              <w:rPr>
                <w:rFonts w:ascii="Arial" w:eastAsia="Times New Roman" w:hAnsi="Arial" w:cs="Arial"/>
                <w:color w:val="3A3838"/>
              </w:rPr>
              <w:fldChar w:fldCharType="end"/>
            </w:r>
          </w:p>
        </w:tc>
      </w:tr>
    </w:tbl>
    <w:p w:rsidR="002D1BBE" w:rsidRPr="00CF09D0" w:rsidRDefault="002D1BBE" w:rsidP="006910EF">
      <w:pPr>
        <w:textAlignment w:val="center"/>
        <w:rPr>
          <w:rFonts w:ascii="Arial" w:eastAsia="Times New Roman" w:hAnsi="Arial" w:cs="Arial"/>
          <w:color w:val="3A3838"/>
          <w:sz w:val="20"/>
          <w:szCs w:val="20"/>
        </w:rPr>
      </w:pPr>
    </w:p>
    <w:p w:rsidR="006910EF" w:rsidRPr="00CF09D0" w:rsidRDefault="006910EF" w:rsidP="006910EF">
      <w:pPr>
        <w:rPr>
          <w:rFonts w:ascii="Arial" w:eastAsia="Times New Roman" w:hAnsi="Arial" w:cs="Arial"/>
          <w:color w:val="3A3838"/>
        </w:rPr>
      </w:pPr>
      <w:r w:rsidRPr="00CF09D0">
        <w:rPr>
          <w:rStyle w:val="Heading2Char"/>
          <w:rFonts w:ascii="Arial" w:eastAsiaTheme="minorHAnsi" w:hAnsi="Arial" w:cs="Arial"/>
        </w:rPr>
        <w:t>Objective:</w:t>
      </w:r>
      <w:r w:rsidR="00A4621B">
        <w:rPr>
          <w:rFonts w:ascii="Arial" w:eastAsia="Times New Roman" w:hAnsi="Arial" w:cs="Arial"/>
          <w:color w:val="3A3838"/>
        </w:rPr>
        <w:t xml:space="preserve"> </w:t>
      </w:r>
      <w:r w:rsidR="00941627">
        <w:rPr>
          <w:rFonts w:ascii="Arial" w:eastAsia="Times New Roman" w:hAnsi="Arial" w:cs="Arial"/>
          <w:i/>
          <w:color w:val="3A3838"/>
        </w:rPr>
        <w:t>(27-32 min total)</w:t>
      </w:r>
    </w:p>
    <w:tbl>
      <w:tblPr>
        <w:tblStyle w:val="TableGrid"/>
        <w:tblW w:w="9270" w:type="dxa"/>
        <w:tblInd w:w="535" w:type="dxa"/>
        <w:tblLook w:val="04A0" w:firstRow="1" w:lastRow="0" w:firstColumn="1" w:lastColumn="0" w:noHBand="0" w:noVBand="1"/>
      </w:tblPr>
      <w:tblGrid>
        <w:gridCol w:w="1795"/>
        <w:gridCol w:w="2181"/>
        <w:gridCol w:w="2074"/>
        <w:gridCol w:w="3220"/>
      </w:tblGrid>
      <w:tr w:rsidR="00EB6899" w:rsidRPr="00CF09D0" w:rsidTr="004F4D6D">
        <w:tc>
          <w:tcPr>
            <w:tcW w:w="1795" w:type="dxa"/>
          </w:tcPr>
          <w:p w:rsidR="006910EF" w:rsidRPr="00941627" w:rsidRDefault="006910EF" w:rsidP="004F4D6D">
            <w:pPr>
              <w:textAlignment w:val="center"/>
              <w:rPr>
                <w:rFonts w:ascii="Arial" w:eastAsia="Times New Roman" w:hAnsi="Arial" w:cs="Arial"/>
                <w:i/>
                <w:color w:val="3A3838"/>
              </w:rPr>
            </w:pPr>
          </w:p>
        </w:tc>
        <w:tc>
          <w:tcPr>
            <w:tcW w:w="2181"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Test Of:</w:t>
            </w:r>
          </w:p>
        </w:tc>
        <w:tc>
          <w:tcPr>
            <w:tcW w:w="2074"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Positive Finding:</w:t>
            </w:r>
          </w:p>
        </w:tc>
        <w:tc>
          <w:tcPr>
            <w:tcW w:w="3220" w:type="dxa"/>
          </w:tcPr>
          <w:p w:rsidR="006910EF" w:rsidRPr="00CF09D0" w:rsidRDefault="006910EF" w:rsidP="004F4D6D">
            <w:pPr>
              <w:textAlignment w:val="center"/>
              <w:rPr>
                <w:rFonts w:ascii="Arial" w:eastAsia="Times New Roman" w:hAnsi="Arial" w:cs="Arial"/>
                <w:color w:val="3A3838"/>
              </w:rPr>
            </w:pPr>
            <w:r w:rsidRPr="00CF09D0">
              <w:rPr>
                <w:rFonts w:ascii="Arial" w:eastAsia="Times New Roman" w:hAnsi="Arial" w:cs="Arial"/>
                <w:color w:val="3A3838"/>
              </w:rPr>
              <w:t>Clinical Reasoning</w:t>
            </w:r>
          </w:p>
        </w:tc>
      </w:tr>
      <w:tr w:rsidR="00EB6899" w:rsidRPr="00CF09D0" w:rsidTr="004F4D6D">
        <w:tc>
          <w:tcPr>
            <w:tcW w:w="1795" w:type="dxa"/>
            <w:vMerge w:val="restart"/>
          </w:tcPr>
          <w:p w:rsidR="00D35BCB"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Vitals</w:t>
            </w:r>
          </w:p>
          <w:p w:rsidR="00941627" w:rsidRPr="00941627" w:rsidRDefault="00941627" w:rsidP="004F4D6D">
            <w:pPr>
              <w:textAlignment w:val="center"/>
              <w:rPr>
                <w:rFonts w:ascii="Arial" w:eastAsia="Times New Roman" w:hAnsi="Arial" w:cs="Arial"/>
                <w:i/>
                <w:color w:val="3A3838"/>
              </w:rPr>
            </w:pPr>
            <w:r w:rsidRPr="00941627">
              <w:rPr>
                <w:rFonts w:ascii="Arial" w:eastAsia="Times New Roman" w:hAnsi="Arial" w:cs="Arial"/>
                <w:i/>
                <w:color w:val="3A3838"/>
              </w:rPr>
              <w:t>(5 min)</w:t>
            </w:r>
          </w:p>
        </w:tc>
        <w:tc>
          <w:tcPr>
            <w:tcW w:w="2181"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BP</w:t>
            </w:r>
          </w:p>
          <w:p w:rsidR="00D35BCB" w:rsidRPr="00CF09D0" w:rsidRDefault="00D35BCB" w:rsidP="004F4D6D">
            <w:pPr>
              <w:textAlignment w:val="center"/>
              <w:rPr>
                <w:rFonts w:ascii="Arial" w:eastAsia="Times New Roman" w:hAnsi="Arial" w:cs="Arial"/>
                <w:color w:val="3A3838"/>
              </w:rPr>
            </w:pPr>
          </w:p>
        </w:tc>
        <w:tc>
          <w:tcPr>
            <w:tcW w:w="2074"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 xml:space="preserve">&lt;120/&lt;80: normal, anything above is in a stage of HTN. Assess for HTN as well as change from </w:t>
            </w:r>
            <w:proofErr w:type="spellStart"/>
            <w:r w:rsidRPr="00CF09D0">
              <w:rPr>
                <w:rFonts w:ascii="Arial" w:eastAsia="Times New Roman" w:hAnsi="Arial" w:cs="Arial"/>
                <w:color w:val="3A3838"/>
              </w:rPr>
              <w:t>pt</w:t>
            </w:r>
            <w:proofErr w:type="spellEnd"/>
            <w:r w:rsidRPr="00CF09D0">
              <w:rPr>
                <w:rFonts w:ascii="Arial" w:eastAsia="Times New Roman" w:hAnsi="Arial" w:cs="Arial"/>
                <w:color w:val="3A3838"/>
              </w:rPr>
              <w:t xml:space="preserve"> norm</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First":false,"Last":false,"URL":"https://www.heart.org/en/health-topics/high-blood-pressure/understanding-blood-pressure-readings","accessed":{"date-parts":[["2019","9","16"]]},"authorYearDisplayFormat":false,"citation-label":"7475054","id":"7475054","invisible":false,"issued":{"date-parts":[[]]},"suppress-author":false,"title":"Understanding Blood Pressure Readings | American Heart Association","type":"webpage"}]</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24</w:t>
            </w:r>
            <w:r w:rsidRPr="00CF09D0">
              <w:rPr>
                <w:rFonts w:ascii="Arial" w:eastAsia="Times New Roman" w:hAnsi="Arial" w:cs="Arial"/>
                <w:color w:val="3A3838"/>
              </w:rPr>
              <w:fldChar w:fldCharType="end"/>
            </w:r>
          </w:p>
        </w:tc>
        <w:tc>
          <w:tcPr>
            <w:tcW w:w="3220" w:type="dxa"/>
          </w:tcPr>
          <w:p w:rsidR="00D35BCB" w:rsidRPr="00CF09D0" w:rsidRDefault="00C64B07" w:rsidP="004F4D6D">
            <w:pPr>
              <w:textAlignment w:val="center"/>
              <w:rPr>
                <w:rFonts w:ascii="Arial" w:eastAsia="Times New Roman" w:hAnsi="Arial" w:cs="Arial"/>
                <w:color w:val="3A3838"/>
              </w:rPr>
            </w:pPr>
            <w:r w:rsidRPr="00CF09D0">
              <w:rPr>
                <w:rFonts w:ascii="Arial" w:eastAsia="Times New Roman" w:hAnsi="Arial" w:cs="Arial"/>
                <w:color w:val="3A3838"/>
              </w:rPr>
              <w:t>Quick measure that can track changes, indicate increased risk of HTN and CHD.</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F1000_CSL_CITATION&lt;~#@#~&gt;[{"DOI":"10.1161/STROKEAHA.109.564781","First":false,"Last":false,"PMID":"20110538","abstract":"&lt;strong&gt;BACKGROUND AND PURPOSE:&lt;/strong&gt; Noncoronary forms of atherosclerosis (including transient ischemic attacks or stroke of carotid origin or &gt;50% stenosis of the carotid artery) are associated with a 10-year vascular risk of &gt;20% and are considered as a coronary heart disease (CHD) -risk equivalent from the standpoint of lipid management. The Stroke Prevention by Aggressive Reduction in Cholesterol Levels (SPARCL) trial included patients with stroke or transient ischemic attack and no known CHD regardless of the presence of carotid atherosclerosis. We evaluated the risk of developing clinically recognized CHD in SPARCL patients.&lt;br&gt;&lt;br&gt;&lt;strong&gt;METHODS:&lt;/strong&gt; A total of 4731 patients (mean age, 63 years) was randomized to 80 mg/day atorvastatin placebo. The rates of major coronary event, any CHD event, and any revascularization procedure were evaluated.&lt;br&gt;&lt;br&gt;&lt;strong&gt;RESULTS:&lt;/strong&gt; After 4.9 years of follow-up, the risks of a major coronary event and of any CHD end point in the placebo group were 5.1% and 8.6%, respectively. The rate of outcome of stroke decreased over time, whereas the major coronary event rate was stable. Relative to those having a large vessel-related stroke at baseline, those having a transient ischemic attack, hemorrhagic stroke, small vessel stroke, or a stroke of unknown cause had similar absolute rates for a first major coronary event and for any CHD event; transient ischemic attack, small vessel, and unknown cause groups had lower absolute revascularization procedure rates. Major coronary event, any CHD event, and any revascularization procedure rates were similarly reduced in all baseline stroke subtypes in the atorvastatin arm compared with placebo with no heterogeneity between groups.&lt;br&gt;&lt;br&gt;&lt;strong&gt;CONCLUSIONS:&lt;/strong&gt; CHD risk can be substantially reduced by atorvastatin therapy in patients with recent stroke or transient ischemic attack regardless of stroke subtype.","author":[{"family":"Amarenco","given":"Pierre"},{"family":"Goldstein","given":"Larry B"},{"family":"Sillesen","given":"Henrik"},{"family":"Benavente","given":"Oscar"},{"family":"Zweifler","given":"Richard M"},{"family":"Callahan","given":"Alfred"},{"family":"Hennerici","given":"Michael G"},{"family":"Zivin","given":"Justin A"},{"family":"Welch","given":"K Michael A"},{"family":"Stroke Prevention by Aggressive Reduction in Cholesterol Levels Investigators"}],"authorYearDisplayFormat":false,"citation-label":"7428318","container-title":"Stroke","container-title-short":"Stroke","id":"7428318","invisible":false,"issue":"3","issued":{"date-parts":[["2010","3"]]},"journalAbbreviation":"Stroke","page":"426-430","suppress-author":false,"title":"Coronary heart disease risk in patients with stroke or transient ischemic attack and no known coronary heart disease: findings from the Stroke Prevention by Aggressive Reduction in Cholesterol Levels (SPARCL) trial.","type":"article-journal","volume":"41"},{"First":false,"Last":false,"URL":"https://www.heart.org/en/health-topics/high-blood-pressure/understanding-blood-pressure-readings","accessed":{"date-parts":[["2019","9","16"]]},"authorYearDisplayFormat":false,"citation-label":"7475054","id":"7475054","invisible":false,"issued":{"date-parts":[[]]},"suppress-author":false,"title":"Understanding Blood Pressure Readings | American Heart Association","type":"webpage"}]</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22,24</w:t>
            </w:r>
            <w:r w:rsidRPr="00CF09D0">
              <w:rPr>
                <w:rFonts w:ascii="Arial" w:eastAsia="Times New Roman" w:hAnsi="Arial" w:cs="Arial"/>
                <w:color w:val="3A3838"/>
              </w:rPr>
              <w:fldChar w:fldCharType="end"/>
            </w:r>
          </w:p>
        </w:tc>
      </w:tr>
      <w:tr w:rsidR="00EB6899" w:rsidRPr="00CF09D0" w:rsidTr="004F4D6D">
        <w:tc>
          <w:tcPr>
            <w:tcW w:w="1795" w:type="dxa"/>
            <w:vMerge/>
          </w:tcPr>
          <w:p w:rsidR="00D35BCB" w:rsidRPr="00CF09D0" w:rsidRDefault="00D35BCB" w:rsidP="004F4D6D">
            <w:pPr>
              <w:textAlignment w:val="center"/>
              <w:rPr>
                <w:rFonts w:ascii="Arial" w:eastAsia="Times New Roman" w:hAnsi="Arial" w:cs="Arial"/>
                <w:color w:val="3A3838"/>
              </w:rPr>
            </w:pPr>
          </w:p>
        </w:tc>
        <w:tc>
          <w:tcPr>
            <w:tcW w:w="2181"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HR</w:t>
            </w:r>
          </w:p>
        </w:tc>
        <w:tc>
          <w:tcPr>
            <w:tcW w:w="2074"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60-100 bpm: normal</w:t>
            </w:r>
            <w:r w:rsidR="00585F85"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First":false,"Last":false,"URL":"https://www.healthinaging.org/a-z-topic/arrhythmias/basic-facts","accessed":{"date-parts":[["2019","9","16"]]},"authorYearDisplayFormat":false,"citation-label":"7475076","id":"7475076","invisible":false,"issued":{"date-parts":[[]]},"suppress-author":false,"title":"Basic Facts about Arrhythmias | Aging &amp; Health A-Z | American Geriatrics Society | HealthInAging.org","type":"webpage"}]</w:instrText>
            </w:r>
            <w:r w:rsidR="00585F85"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25</w:t>
            </w:r>
            <w:r w:rsidR="00585F85" w:rsidRPr="00CF09D0">
              <w:rPr>
                <w:rFonts w:ascii="Arial" w:eastAsia="Times New Roman" w:hAnsi="Arial" w:cs="Arial"/>
                <w:color w:val="3A3838"/>
              </w:rPr>
              <w:fldChar w:fldCharType="end"/>
            </w:r>
          </w:p>
        </w:tc>
        <w:tc>
          <w:tcPr>
            <w:tcW w:w="3220" w:type="dxa"/>
          </w:tcPr>
          <w:p w:rsidR="00D35BCB" w:rsidRPr="00CF09D0" w:rsidRDefault="00941627" w:rsidP="004F4D6D">
            <w:pPr>
              <w:textAlignment w:val="center"/>
              <w:rPr>
                <w:rFonts w:ascii="Arial" w:eastAsia="Times New Roman" w:hAnsi="Arial" w:cs="Arial"/>
                <w:color w:val="3A3838"/>
              </w:rPr>
            </w:pPr>
            <w:r>
              <w:rPr>
                <w:rFonts w:ascii="Arial" w:eastAsia="Times New Roman" w:hAnsi="Arial" w:cs="Arial"/>
                <w:color w:val="3A3838"/>
              </w:rPr>
              <w:t>Identification of abnormalities and indication of need for referral to cardiologist.</w:t>
            </w:r>
          </w:p>
        </w:tc>
      </w:tr>
      <w:tr w:rsidR="00EB6899" w:rsidRPr="00CF09D0" w:rsidTr="004F4D6D">
        <w:tc>
          <w:tcPr>
            <w:tcW w:w="1795" w:type="dxa"/>
            <w:vMerge/>
          </w:tcPr>
          <w:p w:rsidR="00D35BCB" w:rsidRPr="00CF09D0" w:rsidRDefault="00D35BCB" w:rsidP="004F4D6D">
            <w:pPr>
              <w:textAlignment w:val="center"/>
              <w:rPr>
                <w:rFonts w:ascii="Arial" w:eastAsia="Times New Roman" w:hAnsi="Arial" w:cs="Arial"/>
                <w:color w:val="3A3838"/>
              </w:rPr>
            </w:pPr>
          </w:p>
        </w:tc>
        <w:tc>
          <w:tcPr>
            <w:tcW w:w="2181"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Height/Weight - BMI</w:t>
            </w:r>
          </w:p>
        </w:tc>
        <w:tc>
          <w:tcPr>
            <w:tcW w:w="2074" w:type="dxa"/>
          </w:tcPr>
          <w:p w:rsidR="00D35BCB" w:rsidRPr="00CF09D0" w:rsidRDefault="00C64B07" w:rsidP="004F4D6D">
            <w:pPr>
              <w:textAlignment w:val="center"/>
              <w:rPr>
                <w:rFonts w:ascii="Arial" w:eastAsia="Times New Roman" w:hAnsi="Arial" w:cs="Arial"/>
                <w:color w:val="3A3838"/>
              </w:rPr>
            </w:pPr>
            <w:r w:rsidRPr="00CF09D0">
              <w:rPr>
                <w:rFonts w:ascii="Arial" w:eastAsia="Times New Roman" w:hAnsi="Arial" w:cs="Arial"/>
                <w:color w:val="3A3838"/>
              </w:rPr>
              <w:t>18.5-24.9: normal for adults</w:t>
            </w:r>
          </w:p>
          <w:p w:rsidR="00C64B07" w:rsidRPr="00CF09D0" w:rsidRDefault="00C64B07" w:rsidP="004F4D6D">
            <w:pPr>
              <w:textAlignment w:val="center"/>
              <w:rPr>
                <w:rFonts w:ascii="Arial" w:eastAsia="Times New Roman" w:hAnsi="Arial" w:cs="Arial"/>
                <w:color w:val="3A3838"/>
              </w:rPr>
            </w:pPr>
            <w:r w:rsidRPr="00CF09D0">
              <w:rPr>
                <w:rFonts w:ascii="Arial" w:eastAsia="Times New Roman" w:hAnsi="Arial" w:cs="Arial"/>
                <w:color w:val="3A3838"/>
              </w:rPr>
              <w:t>&lt;23: increased risk of mortality and malnutrition</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F1000_CSL_CITATION&lt;~#@#~&gt;[{"DOI":"10.3945/ajcn.113.068122","First":false,"Last":false,"PMID":"24452240","abstract":"&lt;strong&gt;BACKGROUND:&lt;/strong&gt; Whether the association between body mass index (BMI) and all-cause mortality for older adults is the same as for younger adults is unclear.&lt;br&gt;&lt;br&gt;&lt;strong&gt;OBJECTIVE:&lt;/strong&gt; The objective was to determine the association between BMI and all-cause mortality risk in adults ≥65 y of age.&lt;br&gt;&lt;br&gt;&lt;strong&gt;DESIGN:&lt;/strong&gt; A 2-stage random-effects meta-analysis was performed of studies published from 1990 to 2013 that reported the RRs of all-cause mortality for community-based adults aged ≥65 y.&lt;br&gt;&lt;br&gt;&lt;strong&gt;RESULTS:&lt;/strong&gt; Thirty-two studies met the inclusion criteria; these studies included 197,940 individuals with an average follow-up of 12 y. With the use of a BMI (in kg/m2) of 23.0-23.9 as the reference, there was a 12% greater risk of mortality for a BMI range of 21.0-21.9 and a 19% greater risk for a range of 20.0-20.9 [BMI of 21.0-21.9; HR (95% CI): 1.12 (1.10, 1.13); BMI of 20.0-20.9; HR (95% CI): 1.19 (1.17, 1.22)]. Mortality risk began to increase for BMI &gt;33.0 [BMI of 33.0-33.9; HR (95% CI): 1.08 (1.00, 1.15)]. Self-reported anthropometric measurements, adjustment for intermediary factors, and exclusion of early deaths or preexisting disease did not markedly alter the associations, although there was a slight attenuation of the association in never-smokers.&lt;br&gt;&lt;br&gt;&lt;strong&gt;CONCLUSIONS:&lt;/strong&gt; For older populations, being overweight was not found to be associated with an increased risk of mortality; however, there was an increased risk for those at the lower end of the recommended BMI range for adults. Because the risk of mortality increased in older people with a BMI &lt; 23.0, it would seem appropriate to monitor weight status in this group to address any modifiable causes of weight loss promptly with due consideration of individual comorbidities.","author":[{"family":"Winter","given":"Jane E"},{"family":"MacInnis","given":"Robert J"},{"family":"Wattanapenpaiboon","given":"Naiyana"},{"family":"Nowson","given":"Caryl A"}],"authorYearDisplayFormat":false,"citation-label":"2107829","container-title":"The American Journal of Clinical Nutrition","container-title-short":"Am. J. Clin. Nutr.","id":"2107829","invisible":false,"issue":"4","issued":{"date-parts":[["2014","4"]]},"journalAbbreviation":"Am. J. Clin. Nutr.","page":"875-890","suppress-author":false,"title":"BMI and all-cause mortality in older adults: a meta-analysis.","type":"article-journal","volume":"99"},{"DOI":"10.1111/j.1532-5415.2012.03942.x","First":false,"Last":false,"PMID":"22568483","abstract":"&lt;strong&gt;OBJECTIVES:&lt;/strong&gt;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1,26</w:t>
            </w:r>
            <w:r w:rsidRPr="00CF09D0">
              <w:rPr>
                <w:rFonts w:ascii="Arial" w:eastAsia="Times New Roman" w:hAnsi="Arial" w:cs="Arial"/>
                <w:color w:val="3A3838"/>
              </w:rPr>
              <w:fldChar w:fldCharType="end"/>
            </w:r>
          </w:p>
        </w:tc>
        <w:tc>
          <w:tcPr>
            <w:tcW w:w="3220" w:type="dxa"/>
          </w:tcPr>
          <w:p w:rsidR="00D35BCB" w:rsidRPr="00CF09D0" w:rsidRDefault="00C64B07" w:rsidP="004F4D6D">
            <w:pPr>
              <w:textAlignment w:val="center"/>
              <w:rPr>
                <w:rFonts w:ascii="Arial" w:eastAsia="Times New Roman" w:hAnsi="Arial" w:cs="Arial"/>
                <w:color w:val="3A3838"/>
              </w:rPr>
            </w:pPr>
            <w:r w:rsidRPr="00CF09D0">
              <w:rPr>
                <w:rFonts w:ascii="Arial" w:eastAsia="Times New Roman" w:hAnsi="Arial" w:cs="Arial"/>
                <w:color w:val="3A3838"/>
              </w:rPr>
              <w:t>This quick objective calculation is an important number for tracking of nutritional health, well-being, and has been connected to all-cause mortality in older adults.</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F1000_CSL_CITATION&lt;~#@#~&gt;[{"DOI":"10.3945/ajcn.113.068122","First":false,"Last":false,"PMID":"24452240","abstract":"&lt;strong&gt;BACKGROUND:&lt;/strong&gt; Whether the association between body mass index (BMI) and all-cause mortality for older adults is the same as for younger adults is unclear.&lt;br&gt;&lt;br&gt;&lt;strong&gt;OBJECTIVE:&lt;/strong&gt; The objective was to determine the association between BMI and all-cause mortality risk in adults ≥65 y of age.&lt;br&gt;&lt;br&gt;&lt;strong&gt;DESIGN:&lt;/strong&gt; A 2-stage random-effects meta-analysis was performed of studies published from 1990 to 2013 that reported the RRs of all-cause mortality for community-based adults aged ≥65 y.&lt;br&gt;&lt;br&gt;&lt;strong&gt;RESULTS:&lt;/strong&gt; Thirty-two studies met the inclusion criteria; these studies included 197,940 individuals with an average follow-up of 12 y. With the use of a BMI (in kg/m2) of 23.0-23.9 as the reference, there was a 12% greater risk of mortality for a BMI range of 21.0-21.9 and a 19% greater risk for a range of 20.0-20.9 [BMI of 21.0-21.9; HR (95% CI): 1.12 (1.10, 1.13); BMI of 20.0-20.9; HR (95% CI): 1.19 (1.17, 1.22)]. Mortality risk began to increase for BMI &gt;33.0 [BMI of 33.0-33.9; HR (95% CI): 1.08 (1.00, 1.15)]. Self-reported anthropometric measurements, adjustment for intermediary factors, and exclusion of early deaths or preexisting disease did not markedly alter the associations, although there was a slight attenuation of the association in never-smokers.&lt;br&gt;&lt;br&gt;&lt;strong&gt;CONCLUSIONS:&lt;/strong&gt; For older populations, being overweight was not found to be associated with an increased risk of mortality; however, there was an increased risk for those at the lower end of the recommended BMI range for adults. Because the risk of mortality increased in older people with a BMI &lt; 23.0, it would seem appropriate to monitor weight status in this group to address any modifiable causes of weight loss promptly with due consideration of individual comorbidities.","author":[{"family":"Winter","given":"Jane E"},{"family":"MacInnis","given":"Robert J"},{"family":"Wattanapenpaiboon","given":"Naiyana"},{"family":"Nowson","given":"Caryl A"}],"authorYearDisplayFormat":false,"citation-label":"2107829","container-title":"The American Journal of Clinical Nutrition","container-title-short":"Am. J. Clin. Nutr.","id":"2107829","invisible":false,"issue":"4","issued":{"date-parts":[["2014","4"]]},"journalAbbreviation":"Am. J. Clin. Nutr.","page":"875-890","suppress-author":false,"title":"BMI and all-cause mortality in older adults: a meta-analysis.","type":"article-journal","volume":"99"},{"DOI":"10.1111/j.1532-5415.2012.03942.x","First":false,"Last":false,"PMID":"22568483","abstract":"&lt;strong&gt;OBJECTIVES:&lt;/strong&gt;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1,26</w:t>
            </w:r>
            <w:r w:rsidRPr="00CF09D0">
              <w:rPr>
                <w:rFonts w:ascii="Arial" w:eastAsia="Times New Roman" w:hAnsi="Arial" w:cs="Arial"/>
                <w:color w:val="3A3838"/>
              </w:rPr>
              <w:fldChar w:fldCharType="end"/>
            </w:r>
          </w:p>
        </w:tc>
      </w:tr>
      <w:tr w:rsidR="00EB6899" w:rsidRPr="00CF09D0" w:rsidTr="004F4D6D">
        <w:tc>
          <w:tcPr>
            <w:tcW w:w="1795" w:type="dxa"/>
            <w:vMerge/>
          </w:tcPr>
          <w:p w:rsidR="00D35BCB" w:rsidRPr="00CF09D0" w:rsidRDefault="00D35BCB" w:rsidP="004F4D6D">
            <w:pPr>
              <w:textAlignment w:val="center"/>
              <w:rPr>
                <w:rFonts w:ascii="Arial" w:eastAsia="Times New Roman" w:hAnsi="Arial" w:cs="Arial"/>
                <w:color w:val="3A3838"/>
              </w:rPr>
            </w:pPr>
          </w:p>
        </w:tc>
        <w:tc>
          <w:tcPr>
            <w:tcW w:w="2181" w:type="dxa"/>
          </w:tcPr>
          <w:p w:rsidR="00D35BCB" w:rsidRPr="00CF09D0" w:rsidRDefault="00D35BCB" w:rsidP="004F4D6D">
            <w:pPr>
              <w:textAlignment w:val="center"/>
              <w:rPr>
                <w:rFonts w:ascii="Arial" w:eastAsia="Times New Roman" w:hAnsi="Arial" w:cs="Arial"/>
                <w:color w:val="3A3838"/>
              </w:rPr>
            </w:pPr>
            <w:r w:rsidRPr="00CF09D0">
              <w:rPr>
                <w:rFonts w:ascii="Arial" w:eastAsia="Times New Roman" w:hAnsi="Arial" w:cs="Arial"/>
                <w:color w:val="3A3838"/>
              </w:rPr>
              <w:t>Waist Circumference</w:t>
            </w:r>
          </w:p>
        </w:tc>
        <w:tc>
          <w:tcPr>
            <w:tcW w:w="2074" w:type="dxa"/>
          </w:tcPr>
          <w:p w:rsidR="00692127" w:rsidRPr="00CF09D0" w:rsidRDefault="00692127" w:rsidP="00692127">
            <w:pPr>
              <w:textAlignment w:val="center"/>
              <w:rPr>
                <w:rFonts w:ascii="Arial" w:eastAsia="Times New Roman" w:hAnsi="Arial" w:cs="Arial"/>
                <w:color w:val="3A3838"/>
              </w:rPr>
            </w:pPr>
            <w:r w:rsidRPr="00CF09D0">
              <w:rPr>
                <w:rFonts w:ascii="Arial" w:eastAsia="Times New Roman" w:hAnsi="Arial" w:cs="Arial"/>
                <w:color w:val="3A3838"/>
              </w:rPr>
              <w:t>Men: &gt;40 in.: high risk</w:t>
            </w:r>
          </w:p>
          <w:p w:rsidR="00D35BCB" w:rsidRPr="00CF09D0" w:rsidRDefault="00692127" w:rsidP="00692127">
            <w:pPr>
              <w:textAlignment w:val="center"/>
              <w:rPr>
                <w:rFonts w:ascii="Arial" w:eastAsia="Times New Roman" w:hAnsi="Arial" w:cs="Arial"/>
                <w:color w:val="3A3838"/>
              </w:rPr>
            </w:pPr>
            <w:r w:rsidRPr="00CF09D0">
              <w:rPr>
                <w:rFonts w:ascii="Arial" w:eastAsia="Times New Roman" w:hAnsi="Arial" w:cs="Arial"/>
                <w:color w:val="3A3838"/>
              </w:rPr>
              <w:t>Women: &gt;35 in.: high risk</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F1000_CSL_CITATION&lt;~#@#~&gt;[{"DOI":"10.2337/diacare.17.9.961","First":false,"Last":false,"PMID":"7988316","abstract":"&lt;strong&gt;OBJECTIVE:&lt;/strong&gt; To investigate the relation between obesity, fat distribution, and weight gain through adulthood and the risk of non-insulin-dependent diabetes mellitus (NIDDM).&lt;br&gt;&lt;br&gt;&lt;strong&gt;RESEARCH DESIGN AND METHODS:&lt;/strong&gt; We analyzed data from a cohort of 51,529 U.S. male health professionals, 40-75 years of age in 1986, who completed biennial questionnaires sent out in 1986, 1988, 1990, and 1992. During 5 years of follow-up (1987-1992), 272 cases of NIDDM were diagnosed among men without a history of diabetes, heart disease, and cancer in 1986 and who provided complete health information. Relative risks (RRs) associated with different anthropometric measures were calculated controlling for age, and multivariate RRs were calculated controlling for smoking, family history of diabetes, and age.&lt;br&gt;&lt;br&gt;&lt;strong&gt;RESULTS:&lt;/strong&gt; We found a strong positive association between overall obesity as measured by body mass index (BMI) and risk of diabetes. Men with a BMI of &gt; or = 35 kg/m2 had a multivariate RR of 42.1 (95% confidence interval [CI] 22.0-80.6) compared with men with a BMI &lt;  23.0 kg/m2. BMI at age 21 and absolute weight gain throughout adulthood were also significant independent risk factors for diabetes. Fat distribution, measured by waist-to-hip ratio (WHR), was a good predictor of diabetes only among the top 5%, while waist circumference was positively associated with the risk of diabetes among the top 20% of the cohort.&lt;br&gt;&lt;br&gt;&lt;strong&gt;CONCLUSIONS:&lt;/strong&gt; These data suggest that waist circumference may be a better indicator than WHR of the relationship between abdominal adiposity and risk of diabetes. Although early obesity, absolute weight gain throughout adulthood, and waist circumference were good predictors of diabetes, attained BMI was the dominant risk factor for NIDDM; even men of average relative weight had significantly elevated RRs.","author":[{"family":"Chan","given":"J M"},{"family":"Rimm","given":"E B"},{"family":"Colditz","given":"G A"},{"family":"Stampfer","given":"M J"},{"family":"Willett","given":"W C"}],"authorYearDisplayFormat":false,"citation-label":"7475142","container-title":"Diabetes Care","container-title-short":"Diabetes Care","id":"7475142","invisible":false,"issue":"9","issued":{"date-parts":[["1994","9"]]},"journalAbbreviation":"Diabetes Care","page":"961-969","suppress-author":false,"title":"Obesity, fat distribution, and weight gain as risk factors for clinical diabetes in men.","type":"article-journal","volume":"17"},{"DOI":"10.1016/S0140-6736(05)67663-5","First":false,"Last":false,"PMID":"16271645","abstract":"&lt;strong&gt;BACKGROUND:&lt;/strong&gt; Obesity is a major risk factor for cardiovascular disease, but the most predictive measure for different ethnic populations is not clear. We aimed to assess whether markers of obesity, especially waist-to-hip ratio, would be stronger indicators of myocardial infarction than body-mass index (BMI), the conventional measure.&lt;br&gt;&lt;br&gt;&lt;strong&gt;METHODS:&lt;/strong&gt; We did a standardised case-control study of acute myocardial infarction with 27 098 participants in 52 countries (12,461 cases and 14,637 controls) representing several major ethnic groups. We assessed the relation between BMI, waist and hip circumferences, and waist-to-hip ratio to myocardial infarction overall and for each group.&lt;br&gt;&lt;br&gt;&lt;strong&gt;FINDINGS:&lt;/strong&gt; BMI showed a modest and graded association with myocardial infarction (OR 1.44, 95% CI 1.32-1.57 top quintile vs bottom quintile before adjustment), which was substantially reduced after adjustment for waist-to-hip ratio (1.12, 1.03-1.22), and non-significant after adjustment for other risk factors (0.98, 0.88-1.09). For waist-to-hip ratio, the odds ratios for every successive quintile were significantly greater than that of the previous one (2nd quintile: 1.15, 1.05-1.26; 3rd quintile: 1.39; 1.28-1.52; 4th quintile: 1.90, 1.74-2.07; and 5th quintiles: 2.52, 2.31-2.74 [adjusted for age, sex, region, and smoking]). Waist (adjusted OR 1.77; 1.59-1.97) and hip (0.73; 0.66-0.80) circumferences were both highly significant after adjustment for BMI (p&lt; 0.0001 top vs bottom quintiles). Waist-to-hip ratio and waist and hip circumferences were closely (p&lt; 0.0001) associated with risk of myocardial infarction even after adjustment for other risk factors (ORs for top quintile vs lowest quintiles were 1.75, 1.33, and 0.76, respectively). The population-attributable risks of myocardial infarction for increased waist-to-hip ratio in the top two quintiles was 24.3% (95% CI 22.5-26.2) compared with only 7.7% (6.0-10.0) for the top two quintiles of BMI.&lt;br&gt;&lt;br&gt;&lt;strong&gt;INTERPRETATION:&lt;/strong&gt; Waist-to-hip ratio shows a graded and highly significant association with myocardial infarction risk worldwide. Redefinition of obesity based on waist-to-hip ratio instead of BMI increases the estimate of myocardial infarction attributable to obesity in most ethnic groups.","author":[{"family":"Yusuf","given":"Salim"},{"family":"Hawken","given":"Steven"},{"family":"Ounpuu","given":"Stephanie"},{"family":"Bautista","given":"Leonelo"},{"family":"Franzosi","given":"Maria Grazia"},{"family":"Commerford","given":"Patrick"},{"family":"Lang","given":"Chim C"},{"family":"Rumboldt","given":"Zvonko"},{"family":"Onen","given":"Churchill L"},{"family":"Lisheng","given":"Liu"},{"family":"Tanomsup","given":"Supachai"},{"family":"Wangai","given":"Paul"},{"family":"Razak","given":"Fahad"},{"family":"Sharma","given":"Arya M"},{"family":"Anand","given":"Sonia S"},{"family":"INTERHEART Study Investigators"}],"authorYearDisplayFormat":false,"citation-label":"271432","container-title":"The Lancet","container-title-short":"Lancet","id":"271432","invisible":false,"issue":"9497","issued":{"date-parts":[["2005","11","5"]]},"journalAbbreviation":"Lancet","page":"1640-1649","suppress-author":false,"title":"Obesity and the risk of myocardial infarction in 27,000 participants from 52 countries: a case-control study.","type":"article-journal","volume":"366"}]</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27,28</w:t>
            </w:r>
            <w:r w:rsidRPr="00CF09D0">
              <w:rPr>
                <w:rFonts w:ascii="Arial" w:eastAsia="Times New Roman" w:hAnsi="Arial" w:cs="Arial"/>
                <w:color w:val="3A3838"/>
              </w:rPr>
              <w:fldChar w:fldCharType="end"/>
            </w:r>
          </w:p>
        </w:tc>
        <w:tc>
          <w:tcPr>
            <w:tcW w:w="3220" w:type="dxa"/>
          </w:tcPr>
          <w:p w:rsidR="00D35BCB" w:rsidRPr="00CF09D0" w:rsidRDefault="00EE0287" w:rsidP="004F4D6D">
            <w:pPr>
              <w:textAlignment w:val="center"/>
              <w:rPr>
                <w:rFonts w:ascii="Arial" w:eastAsia="Times New Roman" w:hAnsi="Arial" w:cs="Arial"/>
                <w:color w:val="3A3838"/>
              </w:rPr>
            </w:pPr>
            <w:r w:rsidRPr="00CF09D0">
              <w:rPr>
                <w:rFonts w:ascii="Arial" w:eastAsia="Times New Roman" w:hAnsi="Arial" w:cs="Arial"/>
                <w:color w:val="3A3838"/>
              </w:rPr>
              <w:t xml:space="preserve">This quick, objective measure has been shown to be a valid predictor of adverse health outcomes and superior to BMI when </w:t>
            </w:r>
            <w:r w:rsidRPr="00CF09D0">
              <w:rPr>
                <w:rFonts w:ascii="Arial" w:eastAsia="Times New Roman" w:hAnsi="Arial" w:cs="Arial"/>
                <w:color w:val="3A3838"/>
              </w:rPr>
              <w:lastRenderedPageBreak/>
              <w:t>assessing risk due to obesity.</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F1000_CSL_CITATION&lt;~#@#~&gt;[{"DOI":"10.2337/diacare.17.9.961","First":false,"Last":false,"PMID":"7988316","abstract":"&lt;strong&gt;OBJECTIVE:&lt;/strong&gt; To investigate the relation between obesity, fat distribution, and weight gain through adulthood and the risk of non-insulin-dependent diabetes mellitus (NIDDM).&lt;br&gt;&lt;br&gt;&lt;strong&gt;RESEARCH DESIGN AND METHODS:&lt;/strong&gt; We analyzed data from a cohort of 51,529 U.S. male health professionals, 40-75 years of age in 1986, who completed biennial questionnaires sent out in 1986, 1988, 1990, and 1992. During 5 years of follow-up (1987-1992), 272 cases of NIDDM were diagnosed among men without a history of diabetes, heart disease, and cancer in 1986 and who provided complete health information. Relative risks (RRs) associated with different anthropometric measures were calculated controlling for age, and multivariate RRs were calculated controlling for smoking, family history of diabetes, and age.&lt;br&gt;&lt;br&gt;&lt;strong&gt;RESULTS:&lt;/strong&gt; We found a strong positive association between overall obesity as measured by body mass index (BMI) and risk of diabetes. Men with a BMI of &gt; or = 35 kg/m2 had a multivariate RR of 42.1 (95% confidence interval [CI] 22.0-80.6) compared with men with a BMI &lt;  23.0 kg/m2. BMI at age 21 and absolute weight gain throughout adulthood were also significant independent risk factors for diabetes. Fat distribution, measured by waist-to-hip ratio (WHR), was a good predictor of diabetes only among the top 5%, while waist circumference was positively associated with the risk of diabetes among the top 20% of the cohort.&lt;br&gt;&lt;br&gt;&lt;strong&gt;CONCLUSIONS:&lt;/strong&gt; These data suggest that waist circumference may be a better indicator than WHR of the relationship between abdominal adiposity and risk of diabetes. Although early obesity, absolute weight gain throughout adulthood, and waist circumference were good predictors of diabetes, attained BMI was the dominant risk factor for NIDDM; even men of average relative weight had significantly elevated RRs.","author":[{"family":"Chan","given":"J M"},{"family":"Rimm","given":"E B"},{"family":"Colditz","given":"G A"},{"family":"Stampfer","given":"M J"},{"family":"Willett","given":"W C"}],"authorYearDisplayFormat":false,"citation-label":"7475142","container-title":"Diabetes Care","container-title-short":"Diabetes Care","id":"7475142","invisible":false,"issue":"9","issued":{"date-parts":[["1994","9"]]},"journalAbbreviation":"Diabetes Care","page":"961-969","suppress-author":false,"title":"Obesity, fat distribution, and weight gain as risk factors for clinical diabetes in men.","type":"article-journal","volume":"17"},{"DOI":"10.1016/S0140-6736(05)67663-5","First":false,"Last":false,"PMID":"16271645","abstract":"&lt;strong&gt;BACKGROUND:&lt;/strong&gt; Obesity is a major risk factor for cardiovascular disease, but the most predictive measure for different ethnic populations is not clear. We aimed to assess whether markers of obesity, especially waist-to-hip ratio, would be stronger indicators of myocardial infarction than body-mass index (BMI), the conventional measure.&lt;br&gt;&lt;br&gt;&lt;strong&gt;METHODS:&lt;/strong&gt; We did a standardised case-control study of acute myocardial infarction with 27 098 participants in 52 countries (12,461 cases and 14,637 controls) representing several major ethnic groups. We assessed the relation between BMI, waist and hip circumferences, and waist-to-hip ratio to myocardial infarction overall and for each group.&lt;br&gt;&lt;br&gt;&lt;strong&gt;FINDINGS:&lt;/strong&gt; BMI showed a modest and graded association with myocardial infarction (OR 1.44, 95% CI 1.32-1.57 top quintile vs bottom quintile before adjustment), which was substantially reduced after adjustment for waist-to-hip ratio (1.12, 1.03-1.22), and non-significant after adjustment for other risk factors (0.98, 0.88-1.09). For waist-to-hip ratio, the odds ratios for every successive quintile were significantly greater than that of the previous one (2nd quintile: 1.15, 1.05-1.26; 3rd quintile: 1.39; 1.28-1.52; 4th quintile: 1.90, 1.74-2.07; and 5th quintiles: 2.52, 2.31-2.74 [adjusted for age, sex, region, and smoking]). Waist (adjusted OR 1.77; 1.59-1.97) and hip (0.73; 0.66-0.80) circumferences were both highly significant after adjustment for BMI (p&lt; 0.0001 top vs bottom quintiles). Waist-to-hip ratio and waist and hip circumferences were closely (p&lt; 0.0001) associated with risk of myocardial infarction even after adjustment for other risk factors (ORs for top quintile vs lowest quintiles were 1.75, 1.33, and 0.76, respectively). The population-attributable risks of myocardial infarction for increased waist-to-hip ratio in the top two quintiles was 24.3% (95% CI 22.5-26.2) compared with only 7.7% (6.0-10.0) for the top two quintiles of BMI.&lt;br&gt;&lt;br&gt;&lt;strong&gt;INTERPRETATION:&lt;/strong&gt; Waist-to-hip ratio shows a graded and highly significant association with myocardial infarction risk worldwide. Redefinition of obesity based on waist-to-hip ratio instead of BMI increases the estimate of myocardial infarction attributable to obesity in most ethnic groups.","author":[{"family":"Yusuf","given":"Salim"},{"family":"Hawken","given":"Steven"},{"family":"Ounpuu","given":"Stephanie"},{"family":"Bautista","given":"Leonelo"},{"family":"Franzosi","given":"Maria Grazia"},{"family":"Commerford","given":"Patrick"},{"family":"Lang","given":"Chim C"},{"family":"Rumboldt","given":"Zvonko"},{"family":"Onen","given":"Churchill L"},{"family":"Lisheng","given":"Liu"},{"family":"Tanomsup","given":"Supachai"},{"family":"Wangai","given":"Paul"},{"family":"Razak","given":"Fahad"},{"family":"Sharma","given":"Arya M"},{"family":"Anand","given":"Sonia S"},{"family":"INTERHEART Study Investigators"}],"authorYearDisplayFormat":false,"citation-label":"271432","container-title":"The Lancet","container-title-short":"Lancet","id":"271432","invisible":false,"issue":"9497","issued":{"date-parts":[["2005","11","5"]]},"journalAbbreviation":"Lancet","page":"1640-1649","suppress-author":false,"title":"Obesity and the risk of myocardial infarction in 27,000 participants from 52 countries: a case-control study.","type":"article-journal","volume":"366"},{"DOI":"10.1080/09593980902813416","First":false,"Last":false,"PMID":"19842863","abstract":"Part II of this two-part introduction to this Special Issue on physical therapy practice in the 21st century outlines a health-focused strategy for physical therapists to lead in the assault on lifestyle conditions, global health care priorities, described in Part I. Consistent with contemporary definitions of physical therapy, its practice, professional education, and research, physical therapy needs to reflect 21st-century health priorities and be aligned with global and regional public health strategies. A proposed focus on health emphasizes clinical competencies, including assessments of health, lifestyle health behaviors, and lifestyle risk factors; and the prescription of interventions to promote health and well-being in every client or patient. Such an approach is aimed to increase the threshold for chronic conditions over the life cycle and reduce their rate of progression, thereby preventing, delaying, or minimizing the severity of illness and disability. The 21st-century physical therapist needs to be able to practice such competencies within the context of a culturally diverse society to effect positive health behavior change. The physical therapist is uniquely positioned to lead in health promotion and prevention of the lifestyle conditions, address many of their causes, as well as manage these conditions. Physical therapists need to impact health globally through public and social health policy as well as one-on-one care. This role is consistent with contemporary definitions of physical therapy as the quintessential noninvasive health care practitioner, and the established efficacy and often superiority of lifestyle and lifestyle change on health outcomes compared with invasive interventions, namely, drugs and surgery. A concerted commitment by physical therapists to health and well-being and reduced health risk is consistent with minimizing the substantial social and economic burdens of lifestyle conditions globally.","author":[{"family":"Dean","given":"Elizabeth"}],"authorYearDisplayFormat":false,"citation-label":"1212420","container-title":"Physiotherapy Theory and Practice","container-title-short":"Physiother. Theory Pract.","id":"1212420","invisible":false,"issue":"5-6","issued":{"date-parts":[["2009","7"]]},"journalAbbreviation":"Physiother. Theory Pract.","page":"354-368","suppress-author":false,"title":"Physical therapy in the 21st century (Part II): evidence-based practice within the context of evidence-informed practice.","type":"article-journal","volume":"25"}]</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21,27,28</w:t>
            </w:r>
            <w:r w:rsidRPr="00CF09D0">
              <w:rPr>
                <w:rFonts w:ascii="Arial" w:eastAsia="Times New Roman" w:hAnsi="Arial" w:cs="Arial"/>
                <w:color w:val="3A3838"/>
              </w:rPr>
              <w:fldChar w:fldCharType="end"/>
            </w:r>
          </w:p>
        </w:tc>
      </w:tr>
      <w:tr w:rsidR="00EB6899" w:rsidRPr="00CF09D0" w:rsidTr="004F4D6D">
        <w:tc>
          <w:tcPr>
            <w:tcW w:w="1795" w:type="dxa"/>
          </w:tcPr>
          <w:p w:rsidR="002F7293"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lastRenderedPageBreak/>
              <w:t>MMT</w:t>
            </w:r>
          </w:p>
          <w:p w:rsidR="00941627" w:rsidRPr="00941627" w:rsidRDefault="00941627" w:rsidP="004F4D6D">
            <w:pPr>
              <w:textAlignment w:val="center"/>
              <w:rPr>
                <w:rFonts w:ascii="Arial" w:eastAsia="Times New Roman" w:hAnsi="Arial" w:cs="Arial"/>
                <w:i/>
                <w:color w:val="3A3838"/>
              </w:rPr>
            </w:pPr>
            <w:r w:rsidRPr="00941627">
              <w:rPr>
                <w:rFonts w:ascii="Arial" w:eastAsia="Times New Roman" w:hAnsi="Arial" w:cs="Arial"/>
                <w:i/>
                <w:color w:val="3A3838"/>
              </w:rPr>
              <w:t>(5 min)</w:t>
            </w:r>
          </w:p>
        </w:tc>
        <w:tc>
          <w:tcPr>
            <w:tcW w:w="2181"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Strength and frailty</w:t>
            </w:r>
          </w:p>
        </w:tc>
        <w:tc>
          <w:tcPr>
            <w:tcW w:w="2074" w:type="dxa"/>
          </w:tcPr>
          <w:p w:rsidR="002F7293" w:rsidRPr="00CF09D0" w:rsidRDefault="00C51374" w:rsidP="004F4D6D">
            <w:pPr>
              <w:textAlignment w:val="center"/>
              <w:rPr>
                <w:rFonts w:ascii="Arial" w:eastAsia="Times New Roman" w:hAnsi="Arial" w:cs="Arial"/>
                <w:color w:val="3A3838"/>
              </w:rPr>
            </w:pPr>
            <w:r w:rsidRPr="00CF09D0">
              <w:rPr>
                <w:rFonts w:ascii="Arial" w:eastAsia="Times New Roman" w:hAnsi="Arial" w:cs="Arial"/>
                <w:color w:val="3A3838"/>
              </w:rPr>
              <w:t xml:space="preserve">Weakness relative to unimpaired side or that has decreased resulting in functional limitation. </w:t>
            </w:r>
          </w:p>
        </w:tc>
        <w:tc>
          <w:tcPr>
            <w:tcW w:w="3220"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Possibly only completed through functional measures (ex: sit-stand) or grossly across major joints or in response to patient-reported weakness. Increased frailty and weakness commonly results in limited mobility, independence with ADLs, and parti</w:t>
            </w:r>
            <w:r w:rsidR="000D5441" w:rsidRPr="00CF09D0">
              <w:rPr>
                <w:rFonts w:ascii="Arial" w:eastAsia="Times New Roman" w:hAnsi="Arial" w:cs="Arial"/>
                <w:color w:val="3A3838"/>
              </w:rPr>
              <w:t>cipation.</w:t>
            </w:r>
            <w:r w:rsidR="000D5441"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F1000_CSL_CITATION&lt;~#@#~&gt;[{"DOI":"10.1001/jamanetworkopen.2019.8398","First":false,"Last":false,"PMCID":"PMC6681553","PMID":"31373653","author":[{"family":"Ofori-Asenso","given":"Richard"},{"family":"Chin","given":"Ken L"},{"family":"Mazidi","given":"Mohsen"},{"family":"Zomer","given":"Ella"},{"family":"Ilomaki","given":"Jenni"},{"family":"Zullo","given":"Andrew R"},{"family":"Gasevic","given":"Danijela"},{"family":"Ademi","given":"Zanfina"},{"family":"Korhonen","given":"Maarit J"},{"family":"LoGiudice","given":"Dina"},{"family":"Bell","given":"J Simon"},{"family":"Liew","given":"Danny"}],"authorYearDisplayFormat":false,"citation-label":"7467389","container-title":"JAMA Network Open","container-title-short":"JAMA Netw. Open","id":"7467389","invisible":false,"issue":"8","issued":{"date-parts":[["2019","8","2"]]},"journalAbbreviation":"JAMA Netw. Open","page":"e198398","suppress-author":false,"title":"Global Incidence of Frailty and Prefrailty Among Community-Dwelling Older Adults: A Systematic Review and Meta-analysis.","type":"article-journal","volume":"2"},{"DOI":"10.1002/14651858.CD007513.pub3","First":false,"Last":false,"PMCID":"PMC6481475","PMID":"28573757","author":[{"family":"English","given":"Coralie"},{"family":"Hillier","given":"Susan L"},{"family":"Lynch","given":"Elizabeth A"}],"authorYearDisplayFormat":false,"citation-label":"5106167","container-title":"Cochrane Database of Systematic Reviews","container-title-short":"Cochrane Database Syst. Rev.","id":"5106167","invisible":false,"issued":{"date-parts":[["2017","6","2"]]},"journalAbbreviation":"Cochrane Database Syst. Rev.","page":"CD007513","suppress-author":false,"title":"Circuit class therapy for improving mobility after stroke.","type":"article-journal","volume":"6"},{"DOI":"10.1111/j.1532-5415.2012.03942.x","First":false,"Last":false,"PMID":"22568483","abstract":"&lt;strong&gt;OBJECTIVES:&lt;/strong&gt;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000D5441"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1,2,29</w:t>
            </w:r>
            <w:r w:rsidR="000D5441" w:rsidRPr="00CF09D0">
              <w:rPr>
                <w:rFonts w:ascii="Arial" w:eastAsia="Times New Roman" w:hAnsi="Arial" w:cs="Arial"/>
                <w:color w:val="3A3838"/>
              </w:rPr>
              <w:fldChar w:fldCharType="end"/>
            </w:r>
          </w:p>
        </w:tc>
      </w:tr>
      <w:tr w:rsidR="00EB6899" w:rsidRPr="00CF09D0" w:rsidTr="004F4D6D">
        <w:tc>
          <w:tcPr>
            <w:tcW w:w="1795" w:type="dxa"/>
          </w:tcPr>
          <w:p w:rsidR="002F7293"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TUG</w:t>
            </w:r>
          </w:p>
          <w:p w:rsidR="00941627" w:rsidRPr="00941627" w:rsidRDefault="00941627" w:rsidP="004F4D6D">
            <w:pPr>
              <w:textAlignment w:val="center"/>
              <w:rPr>
                <w:rFonts w:ascii="Arial" w:eastAsia="Times New Roman" w:hAnsi="Arial" w:cs="Arial"/>
                <w:i/>
                <w:color w:val="3A3838"/>
              </w:rPr>
            </w:pPr>
            <w:r w:rsidRPr="00941627">
              <w:rPr>
                <w:rFonts w:ascii="Arial" w:eastAsia="Times New Roman" w:hAnsi="Arial" w:cs="Arial"/>
                <w:i/>
                <w:color w:val="3A3838"/>
              </w:rPr>
              <w:t>(2 min)</w:t>
            </w:r>
          </w:p>
        </w:tc>
        <w:tc>
          <w:tcPr>
            <w:tcW w:w="2181"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Gait, balance, functional mobility</w:t>
            </w:r>
          </w:p>
        </w:tc>
        <w:tc>
          <w:tcPr>
            <w:tcW w:w="2074" w:type="dxa"/>
          </w:tcPr>
          <w:p w:rsidR="002F7293" w:rsidRPr="00CF09D0" w:rsidRDefault="004826C1" w:rsidP="004826C1">
            <w:pPr>
              <w:textAlignment w:val="center"/>
              <w:rPr>
                <w:rFonts w:ascii="Arial" w:eastAsia="Times New Roman" w:hAnsi="Arial" w:cs="Arial"/>
                <w:color w:val="3A3838"/>
              </w:rPr>
            </w:pPr>
            <w:r w:rsidRPr="00CF09D0">
              <w:rPr>
                <w:rFonts w:ascii="Arial" w:eastAsia="Times New Roman" w:hAnsi="Arial" w:cs="Arial"/>
                <w:color w:val="3A3838"/>
              </w:rPr>
              <w:t>&gt; 14 sec: abnormal/ impaired</w:t>
            </w:r>
            <w:r w:rsidR="00774F48"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F1000_CSL_CITATION&lt;~#@#~&gt;[{"DOI":"10.1080/16501970500478023","First":false,"Last":false,"PMID":"16702086","abstract":"&lt;strong&gt;OBJECTIVE:&lt;/strong&gt; The aim of this study was to describe general characteristics of patients with stroke who have a tendency to fall and to determine whether certain test instruments can identify fallers.&lt;br&gt;&lt;br&gt;&lt;strong&gt;METHODS:&lt;/strong&gt; Patients treated in a stroke unit during a 12-month period were included. At inclusion assessments were made with Berg Balance Scale Berg Balance Scale, Stops Walking When Talking, Timed Up &amp; Go (TUG) and diffTUG. At follow-up 6 or 12 months later, patients who had fallen were identified.&lt;br&gt;&lt;br&gt;&lt;strong&gt;RESULTS:&lt;/strong&gt; During the time from discharge to follow-up on 159 patients, 68 patients fell and 91 did not. Fallers fell more often during their initial hospital stay, used sedatives more often and were more visually impaired, compared with non-fallers. The Berg Balance Scale, Stops Walking When Talking and TUG results differed between fallers and non-fallers. The combined results of Berg Balance Scale and Stops Walking When Talking increased the possibility of identifying fallers.&lt;br&gt;&lt;br&gt;&lt;strong&gt;CONCLUSION:&lt;/strong&gt; Berg Balance Scale, Stops Walking When Talking and TUG can be used to evaluate which patients have a tendency to fall in order to carry out preventive measures. Berg Balance Scale can be used in all patients. Stops Walking When Talking can give additional information if the patient is able to walk. TUG is a possible choice, but fewer patients can perform it.","author":[{"family":"Andersson","given":"Asa G"},{"family":"Kamwendo","given":"Kitty"},{"family":"Seiger","given":"Ake"},{"family":"Appelros","given":"Peter"}],"authorYearDisplayFormat":false,"citation-label":"3487271","container-title":"Journal of Rehabilitation Medicine","container-title-short":"J. Rehabil. Med.","id":"3487271","invisible":false,"issue":"3","issued":{"date-parts":[["2006","5"]]},"journalAbbreviation":"J. Rehabil. Med.","page":"186-191","suppress-author":false,"title":"How to identify potential fallers in a stroke unit: validity indexes of 4 test methods.","type":"article-journal","volume":"38"}]</w:instrText>
            </w:r>
            <w:r w:rsidR="00774F48"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30</w:t>
            </w:r>
            <w:r w:rsidR="00774F48" w:rsidRPr="00CF09D0">
              <w:rPr>
                <w:rFonts w:ascii="Arial" w:eastAsia="Times New Roman" w:hAnsi="Arial" w:cs="Arial"/>
                <w:color w:val="3A3838"/>
              </w:rPr>
              <w:fldChar w:fldCharType="end"/>
            </w:r>
          </w:p>
          <w:p w:rsidR="00774F48" w:rsidRPr="00CF09D0" w:rsidRDefault="00774F48" w:rsidP="004826C1">
            <w:pPr>
              <w:textAlignment w:val="center"/>
              <w:rPr>
                <w:rFonts w:ascii="Arial" w:eastAsia="Times New Roman" w:hAnsi="Arial" w:cs="Arial"/>
                <w:color w:val="3A3838"/>
              </w:rPr>
            </w:pPr>
            <w:r w:rsidRPr="00CF09D0">
              <w:rPr>
                <w:rFonts w:ascii="Arial" w:eastAsia="Times New Roman" w:hAnsi="Arial" w:cs="Arial"/>
                <w:color w:val="3A3838"/>
              </w:rPr>
              <w:t>Stroke norm: 22.6 sec</w:t>
            </w:r>
          </w:p>
          <w:p w:rsidR="004826C1" w:rsidRPr="00CF09D0" w:rsidRDefault="00774F48" w:rsidP="004826C1">
            <w:pPr>
              <w:textAlignment w:val="center"/>
              <w:rPr>
                <w:rFonts w:ascii="Arial" w:eastAsia="Times New Roman" w:hAnsi="Arial" w:cs="Arial"/>
                <w:color w:val="3A3838"/>
              </w:rPr>
            </w:pPr>
            <w:r w:rsidRPr="00CF09D0">
              <w:rPr>
                <w:rFonts w:ascii="Arial" w:eastAsia="Times New Roman" w:hAnsi="Arial" w:cs="Arial"/>
                <w:color w:val="3A3838"/>
              </w:rPr>
              <w:t>Adult norm: 9.1 sec</w:t>
            </w:r>
          </w:p>
        </w:tc>
        <w:tc>
          <w:tcPr>
            <w:tcW w:w="3220" w:type="dxa"/>
          </w:tcPr>
          <w:p w:rsidR="002F7293" w:rsidRPr="00CF09D0" w:rsidRDefault="00774F48" w:rsidP="004F4D6D">
            <w:pPr>
              <w:textAlignment w:val="center"/>
              <w:rPr>
                <w:rFonts w:ascii="Arial" w:eastAsia="Times New Roman" w:hAnsi="Arial" w:cs="Arial"/>
                <w:color w:val="3A3838"/>
              </w:rPr>
            </w:pPr>
            <w:r w:rsidRPr="00CF09D0">
              <w:rPr>
                <w:rFonts w:ascii="Arial" w:eastAsia="Times New Roman" w:hAnsi="Arial" w:cs="Arial"/>
                <w:color w:val="3A3838"/>
              </w:rPr>
              <w:t xml:space="preserve">This quick test requires minimal clinic space, time or equipment while still allowing us to see safety of transfers, ambulation, turning, and possibly use of AD. The measure is reliable and valid in this population </w:t>
            </w:r>
            <w:r w:rsidR="00057411" w:rsidRPr="00CF09D0">
              <w:rPr>
                <w:rFonts w:ascii="Arial" w:eastAsia="Times New Roman" w:hAnsi="Arial" w:cs="Arial"/>
                <w:color w:val="3A3838"/>
              </w:rPr>
              <w:t>with clear cut-off scores.</w:t>
            </w:r>
            <w:r w:rsidR="00057411"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F1000_CSL_CITATION&lt;~#@#~&gt;[{"DOI":"10.1080/16501970500478023","First":false,"Last":false,"PMID":"16702086","abstract":"&lt;strong&gt;OBJECTIVE:&lt;/strong&gt; The aim of this study was to describe general characteristics of patients with stroke who have a tendency to fall and to determine whether certain test instruments can identify fallers.&lt;br&gt;&lt;br&gt;&lt;strong&gt;METHODS:&lt;/strong&gt; Patients treated in a stroke unit during a 12-month period were included. At inclusion assessments were made with Berg Balance Scale Berg Balance Scale, Stops Walking When Talking, Timed Up &amp; Go (TUG) and diffTUG. At follow-up 6 or 12 months later, patients who had fallen were identified.&lt;br&gt;&lt;br&gt;&lt;strong&gt;RESULTS:&lt;/strong&gt; During the time from discharge to follow-up on 159 patients, 68 patients fell and 91 did not. Fallers fell more often during their initial hospital stay, used sedatives more often and were more visually impaired, compared with non-fallers. The Berg Balance Scale, Stops Walking When Talking and TUG results differed between fallers and non-fallers. The combined results of Berg Balance Scale and Stops Walking When Talking increased the possibility of identifying fallers.&lt;br&gt;&lt;br&gt;&lt;strong&gt;CONCLUSION:&lt;/strong&gt; Berg Balance Scale, Stops Walking When Talking and TUG can be used to evaluate which patients have a tendency to fall in order to carry out preventive measures. Berg Balance Scale can be used in all patients. Stops Walking When Talking can give additional information if the patient is able to walk. TUG is a possible choice, but fewer patients can perform it.","author":[{"family":"Andersson","given":"Asa G"},{"family":"Kamwendo","given":"Kitty"},{"family":"Seiger","given":"Ake"},{"family":"Appelros","given":"Peter"}],"authorYearDisplayFormat":false,"citation-label":"3487271","container-title":"Journal of Rehabilitation Medicine","container-title-short":"J. Rehabil. Med.","id":"3487271","invisible":false,"issue":"3","issued":{"date-parts":[["2006","5"]]},"journalAbbreviation":"J. Rehabil. Med.","page":"186-191","suppress-author":false,"title":"How to identify potential fallers in a stroke unit: validity indexes of 4 test methods.","type":"article-journal","volume":"38"},{"DOI":"10.1080/16501970410017215","First":false,"Last":false,"PMID":"15788341","abstract":"&lt;strong&gt;OBJECTIVE:&lt;/strong&gt; To assess the reliability of 6 gait performance tests in individuals with chronic mild to moderate post-stroke hemiparesis.&lt;br&gt;&lt;br&gt;&lt;strong&gt;DESIGN:&lt;/strong&gt; An intra-rater (between occasions) test-retest reliability study.&lt;br&gt;&lt;br&gt;&lt;strong&gt;SUBJECTS:&lt;/strong&gt; Fifty men and women (mean age 58+/-6.4 years) 6-46 months post-stroke.&lt;br&gt;&lt;br&gt;&lt;strong&gt;METHODS:&lt;/strong&gt; The Timed \"Up &amp; Go\" test, the Comfortable and the Fast Gait Speed tests, the Stair Climbing ascend and descend tests and the 6-Minute Walk test were assessed 7 days apart. Reliability was evaluated with the intraclass correlation coefficient (ICC(2,1)), the Bland &amp; Altman analysis, the standard error of measurement (SEM and SEM%) and the smallest real difference (SRD and SRD%).&lt;br&gt;&lt;br&gt;&lt;strong&gt;RESULTS:&lt;/strong&gt; Test-retest agreements were high (ICC(2,1) 0.94-0.99) with no discernible systematic differences between the tests. The standard error of measurement (SEM%), representing the smallest change that indicates a real (clinical) improvement for a group of individuals, was small (&lt; 9%). The smallest real difference (SRD%), representing the smallest change that indicates a real (clinical) improvement for a single individual, was also small (13-23%).&lt;br&gt;&lt;br&gt;&lt;strong&gt;CONCLUSION:&lt;/strong&gt; These commonly used gait performance tests are highly reliable and can be recommended to evaluate improvements in various aspects of gait performance in individuals with chronic mild to moderate hemiparesis after stroke.","author":[{"family":"Flansbjer","given":"Ulla-Britt"},{"family":"Holmbäck","given":"Anna Maria"},{"family":"Downham","given":"David"},{"family":"Patten","given":"Carolynn"},{"family":"Lexell","given":"Jan"}],"authorYearDisplayFormat":false,"citation-label":"1945683","container-title":"Journal of Rehabilitation Medicine","container-title-short":"J. Rehabil. Med.","id":"1945683","invisible":false,"issue":"2","issued":{"date-parts":[["2005","3"]]},"journalAbbreviation":"J. Rehabil. Med.","page":"75-82","suppress-author":false,"title":"Reliability of gait performance tests in men and women with hemiparesis after stroke.","type":"article-journal","volume":"37"}]</w:instrText>
            </w:r>
            <w:r w:rsidR="00057411"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30,31</w:t>
            </w:r>
            <w:r w:rsidR="00057411" w:rsidRPr="00CF09D0">
              <w:rPr>
                <w:rFonts w:ascii="Arial" w:eastAsia="Times New Roman" w:hAnsi="Arial" w:cs="Arial"/>
                <w:color w:val="3A3838"/>
              </w:rPr>
              <w:fldChar w:fldCharType="end"/>
            </w:r>
          </w:p>
        </w:tc>
      </w:tr>
      <w:tr w:rsidR="00EB6899" w:rsidRPr="00CF09D0" w:rsidTr="004F4D6D">
        <w:tc>
          <w:tcPr>
            <w:tcW w:w="1795" w:type="dxa"/>
          </w:tcPr>
          <w:p w:rsidR="002F7293"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Berg</w:t>
            </w:r>
            <w:r w:rsidR="00941627">
              <w:rPr>
                <w:rFonts w:ascii="Arial" w:eastAsia="Times New Roman" w:hAnsi="Arial" w:cs="Arial"/>
                <w:color w:val="3A3838"/>
              </w:rPr>
              <w:t xml:space="preserve"> </w:t>
            </w:r>
          </w:p>
          <w:p w:rsidR="00941627" w:rsidRPr="00941627" w:rsidRDefault="00941627" w:rsidP="004F4D6D">
            <w:pPr>
              <w:textAlignment w:val="center"/>
              <w:rPr>
                <w:rFonts w:ascii="Arial" w:eastAsia="Times New Roman" w:hAnsi="Arial" w:cs="Arial"/>
                <w:i/>
                <w:color w:val="3A3838"/>
              </w:rPr>
            </w:pPr>
            <w:r w:rsidRPr="00941627">
              <w:rPr>
                <w:rFonts w:ascii="Arial" w:eastAsia="Times New Roman" w:hAnsi="Arial" w:cs="Arial"/>
                <w:i/>
                <w:color w:val="3A3838"/>
              </w:rPr>
              <w:t>(10 min)</w:t>
            </w:r>
          </w:p>
        </w:tc>
        <w:tc>
          <w:tcPr>
            <w:tcW w:w="2181"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Balance, functional mobility</w:t>
            </w:r>
          </w:p>
        </w:tc>
        <w:tc>
          <w:tcPr>
            <w:tcW w:w="2074" w:type="dxa"/>
          </w:tcPr>
          <w:p w:rsidR="002F7293" w:rsidRPr="00CF09D0" w:rsidRDefault="00057411" w:rsidP="004F4D6D">
            <w:pPr>
              <w:textAlignment w:val="center"/>
              <w:rPr>
                <w:rFonts w:ascii="Arial" w:eastAsia="Times New Roman" w:hAnsi="Arial" w:cs="Arial"/>
                <w:color w:val="3A3838"/>
              </w:rPr>
            </w:pPr>
            <w:r w:rsidRPr="00CF09D0">
              <w:rPr>
                <w:rFonts w:ascii="Arial" w:eastAsia="Times New Roman" w:hAnsi="Arial" w:cs="Arial"/>
                <w:color w:val="3A3838"/>
              </w:rPr>
              <w:t>45+/56: normal</w:t>
            </w:r>
          </w:p>
          <w:p w:rsidR="00057411" w:rsidRPr="00CF09D0" w:rsidRDefault="00057411" w:rsidP="004F4D6D">
            <w:pPr>
              <w:textAlignment w:val="center"/>
              <w:rPr>
                <w:rFonts w:ascii="Arial" w:eastAsia="Times New Roman" w:hAnsi="Arial" w:cs="Arial"/>
                <w:color w:val="3A3838"/>
              </w:rPr>
            </w:pPr>
            <w:r w:rsidRPr="00CF09D0">
              <w:rPr>
                <w:rFonts w:ascii="Arial" w:eastAsia="Times New Roman" w:hAnsi="Arial" w:cs="Arial"/>
                <w:color w:val="3A3838"/>
              </w:rPr>
              <w:t>&lt;45: abnormal/ impaired</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F1000_CSL_CITATION&lt;~#@#~&gt;[{"DOI":"10.3109/09638288.2010.533243","First":false,"Last":false,"PMID":"21091133","abstract":"We evaluated the effect of ankle-foot orthosis (AFO; articulated, plantar flexion stopped) use on balance and mobility in hemiparetic stroke patients in this study. Fifty-one hemiplegic patients who had completed the rehabilitation programme were included in the study. Subjects were assessed during the Ashburn walking and stair test, the time Up &amp; Go test, the Berg Balance Scale (BBS) and the mobility subscale of the stroke rehabilitation assessment of movement (STREAM) in the presence and absence of AFO. The patients were asked about their evaluations of AFO in terms of its desirability/undesirability. All the subjects showed improvements in gait speed, balance and mobility with AFO use. However, there was no statistically significant difference between the durations of stair climbing with or without AFO; 45.1%% of the subjects indicated that their gait speed increased; 35.3%% indicated that they step on more confidently and 60.8%% indicated that they consider AFO unaesthetic. It was determined that the use of an AFO resulted in improvements in both balance and ambulation activities of hemiparetic patients.","author":[{"family":"Doğan","given":"Asuman"},{"family":"Mengüllüoğlu","given":"Münire"},{"family":"Özgirgin","given":"Nese"}],"authorYearDisplayFormat":false,"citation-label":"4987599","container-title":"Disability and rehabilitation","container-title-short":"Disabil. Rehabil.","id":"4987599","invisible":false,"issue":"15-16","issued":{"date-parts":[["2011"]]},"journalAbbreviation":"Disabil. Rehabil.","page":"1433-1439","suppress-author":false,"title":"Evaluation of the effect of ankle-foot orthosis use on balance and mobility in hemiparetic stroke patients.","type":"article-journal","volume":"33"},{"DOI":"10.1016/j.pmrj.2011.11.004","First":false,"Last":false,"PMID":"22306324","abstract":"&lt;strong&gt;OBJECTIVE:&lt;/strong&gt; To assess the reproducibility of the Berg Balance Scale (BBS) and the Single-leg Stance (SLS), and the validity of the SLS as an independent test of upright postural control in patients with chronic stroke.&lt;br&gt;&lt;br&gt;&lt;strong&gt;DESIGN:&lt;/strong&gt; An intra-rater test-retest reproducibility study. The BBS and the SLS were assessed twice, 7 days apart.&lt;br&gt;&lt;br&gt;&lt;strong&gt;SETTING:&lt;/strong&gt; A university hospital.&lt;br&gt;&lt;br&gt;&lt;strong&gt;PARTICIPANTS:&lt;/strong&gt; Fifty individuals; 6-46 months after a stroke.&lt;br&gt;&lt;br&gt;&lt;strong&gt;MAIN OUTCOME MEASUREMENTS:&lt;/strong&gt; The reproducibility of the BBS and the SLS was evaluated with intraclass correlation coefficient (ICC(2,1)), the mean difference between the 2 test sessions (d) with 95% confidence interval (95% CI), the standard error of measurement (standard error of measurement [SEM]%), the smallest real difference (SRD%), and the Bland-Altman graphs. To assess validity of SLS, the relationship between the SLS and the BBS was analyzed by the Pearson correlation coefficient.&lt;br&gt;&lt;br&gt;&lt;strong&gt;RESULTS:&lt;/strong&gt; The ICC(2,1) was 0.88 for the BBS, and the ICC(2,1) values were 0.88 for the nonparetic limb and 0.92 for the paretic lower limb for the SLS. The smallest change that indicates a real improvement for a group of individuals, SEM%, was 3% for BBS, 15% for the nonparetic limb and 27% for the paretic limb for SLS. The smallest real difference for a single individual was 8% for BBS but was higher for SLS, at 42% for the nonparetic limb, and 74% for the paretic limb. There was a significant relationship between the SLS and the BBS (r = 0.65-0.79; P &lt;  .001).&lt;br&gt;&lt;br&gt;&lt;strong&gt;CONCLUSIONS:&lt;/strong&gt; The BBS and the SLS are reproducible measurements in patients with chronic stroke, but only the BBS is sensitive enough to follow changes over time or after an intervention. The SLS is strongly related to the BBS and can be used as an independent test to measure upright postural control after a stroke.&lt;br&gt;&lt;br&gt;Copyright Â© 2012 American Academy of Physical Medicine and Rehabilitation. Published by Elsevier Inc. All rights reserved.","author":[{"family":"Flansbjer","given":"Ulla-Britt"},{"family":"Blom","given":"Johanna"},{"family":"Brogårdh","given":"Christina"}],"authorYearDisplayFormat":false,"citation-label":"2622050","container-title":"PM &amp; R : the journal of injury, function, and rehabilitation","container-title-short":"PM R","id":"2622050","invisible":false,"issue":"3","issued":{"date-parts":[["2012","3"]]},"journalAbbreviation":"PM R","page":"165-170","suppress-author":false,"title":"The reproducibility of Berg Balance Scale and the Single-leg Stance in chronic stroke and the relationship between the two tests.","type":"article-journal","volume":"4"}]</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32,33</w:t>
            </w:r>
            <w:r w:rsidRPr="00CF09D0">
              <w:rPr>
                <w:rFonts w:ascii="Arial" w:eastAsia="Times New Roman" w:hAnsi="Arial" w:cs="Arial"/>
                <w:color w:val="3A3838"/>
              </w:rPr>
              <w:fldChar w:fldCharType="end"/>
            </w:r>
          </w:p>
        </w:tc>
        <w:tc>
          <w:tcPr>
            <w:tcW w:w="3220" w:type="dxa"/>
          </w:tcPr>
          <w:p w:rsidR="002F7293" w:rsidRPr="00CF09D0" w:rsidRDefault="00057411" w:rsidP="004F4D6D">
            <w:pPr>
              <w:textAlignment w:val="center"/>
              <w:rPr>
                <w:rFonts w:ascii="Arial" w:eastAsia="Times New Roman" w:hAnsi="Arial" w:cs="Arial"/>
                <w:color w:val="3A3838"/>
              </w:rPr>
            </w:pPr>
            <w:r w:rsidRPr="00CF09D0">
              <w:rPr>
                <w:rFonts w:ascii="Arial" w:eastAsia="Times New Roman" w:hAnsi="Arial" w:cs="Arial"/>
                <w:color w:val="3A3838"/>
              </w:rPr>
              <w:t>This is a validated and reliable measure of static and dynamic balance and risk of falls in elderly and patients with chronic stroke.</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F1000_CSL_CITATION&lt;~#@#~&gt;[{"DOI":"10.3109/09638288.2010.533243","First":false,"Last":false,"PMID":"21091133","abstract":"We evaluated the effect of ankle-foot orthosis (AFO; articulated, plantar flexion stopped) use on balance and mobility in hemiparetic stroke patients in this study. Fifty-one hemiplegic patients who had completed the rehabilitation programme were included in the study. Subjects were assessed during the Ashburn walking and stair test, the time Up &amp; Go test, the Berg Balance Scale (BBS) and the mobility subscale of the stroke rehabilitation assessment of movement (STREAM) in the presence and absence of AFO. The patients were asked about their evaluations of AFO in terms of its desirability/undesirability. All the subjects showed improvements in gait speed, balance and mobility with AFO use. However, there was no statistically significant difference between the durations of stair climbing with or without AFO; 45.1%% of the subjects indicated that their gait speed increased; 35.3%% indicated that they step on more confidently and 60.8%% indicated that they consider AFO unaesthetic. It was determined that the use of an AFO resulted in improvements in both balance and ambulation activities of hemiparetic patients.","author":[{"family":"Doğan","given":"Asuman"},{"family":"Mengüllüoğlu","given":"Münire"},{"family":"Özgirgin","given":"Nese"}],"authorYearDisplayFormat":false,"citation-label":"4987599","container-title":"Disability and rehabilitation","container-title-short":"Disabil. Rehabil.","id":"4987599","invisible":false,"issue":"15-16","issued":{"date-parts":[["2011"]]},"journalAbbreviation":"Disabil. Rehabil.","page":"1433-1439","suppress-author":false,"title":"Evaluation of the effect of ankle-foot orthosis use on balance and mobility in hemiparetic stroke patients.","type":"article-journal","volume":"33"},{"DOI":"10.1016/j.pmrj.2011.11.004","First":false,"Last":false,"PMID":"22306324","abstract":"&lt;strong&gt;OBJECTIVE:&lt;/strong&gt; To assess the reproducibility of the Berg Balance Scale (BBS) and the Single-leg Stance (SLS), and the validity of the SLS as an independent test of upright postural control in patients with chronic stroke.&lt;br&gt;&lt;br&gt;&lt;strong&gt;DESIGN:&lt;/strong&gt; An intra-rater test-retest reproducibility study. The BBS and the SLS were assessed twice, 7 days apart.&lt;br&gt;&lt;br&gt;&lt;strong&gt;SETTING:&lt;/strong&gt; A university hospital.&lt;br&gt;&lt;br&gt;&lt;strong&gt;PARTICIPANTS:&lt;/strong&gt; Fifty individuals; 6-46 months after a stroke.&lt;br&gt;&lt;br&gt;&lt;strong&gt;MAIN OUTCOME MEASUREMENTS:&lt;/strong&gt; The reproducibility of the BBS and the SLS was evaluated with intraclass correlation coefficient (ICC(2,1)), the mean difference between the 2 test sessions (d) with 95% confidence interval (95% CI), the standard error of measurement (standard error of measurement [SEM]%), the smallest real difference (SRD%), and the Bland-Altman graphs. To assess validity of SLS, the relationship between the SLS and the BBS was analyzed by the Pearson correlation coefficient.&lt;br&gt;&lt;br&gt;&lt;strong&gt;RESULTS:&lt;/strong&gt; The ICC(2,1) was 0.88 for the BBS, and the ICC(2,1) values were 0.88 for the nonparetic limb and 0.92 for the paretic lower limb for the SLS. The smallest change that indicates a real improvement for a group of individuals, SEM%, was 3% for BBS, 15% for the nonparetic limb and 27% for the paretic limb for SLS. The smallest real difference for a single individual was 8% for BBS but was higher for SLS, at 42% for the nonparetic limb, and 74% for the paretic limb. There was a significant relationship between the SLS and the BBS (r = 0.65-0.79; P &lt;  .001).&lt;br&gt;&lt;br&gt;&lt;strong&gt;CONCLUSIONS:&lt;/strong&gt; The BBS and the SLS are reproducible measurements in patients with chronic stroke, but only the BBS is sensitive enough to follow changes over time or after an intervention. The SLS is strongly related to the BBS and can be used as an independent test to measure upright postural control after a stroke.&lt;br&gt;&lt;br&gt;Copyright Â© 2012 American Academy of Physical Medicine and Rehabilitation. Published by Elsevier Inc. All rights reserved.","author":[{"family":"Flansbjer","given":"Ulla-Britt"},{"family":"Blom","given":"Johanna"},{"family":"Brogårdh","given":"Christina"}],"authorYearDisplayFormat":false,"citation-label":"2622050","container-title":"PM &amp; R : the journal of injury, function, and rehabilitation","container-title-short":"PM R","id":"2622050","invisible":false,"issue":"3","issued":{"date-parts":[["2012","3"]]},"journalAbbreviation":"PM R","page":"165-170","suppress-author":false,"title":"The reproducibility of Berg Balance Scale and the Single-leg Stance in chronic stroke and the relationship between the two tests.","type":"article-journal","volume":"4"}]</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32,33</w:t>
            </w:r>
            <w:r w:rsidRPr="00CF09D0">
              <w:rPr>
                <w:rFonts w:ascii="Arial" w:eastAsia="Times New Roman" w:hAnsi="Arial" w:cs="Arial"/>
                <w:color w:val="3A3838"/>
              </w:rPr>
              <w:fldChar w:fldCharType="end"/>
            </w:r>
            <w:r w:rsidRPr="00CF09D0">
              <w:rPr>
                <w:rFonts w:ascii="Arial" w:eastAsia="Times New Roman" w:hAnsi="Arial" w:cs="Arial"/>
                <w:color w:val="3A3838"/>
              </w:rPr>
              <w:t xml:space="preserve"> Can be helpful in determining need for intervention or adaptation to AD.</w:t>
            </w:r>
          </w:p>
        </w:tc>
      </w:tr>
      <w:tr w:rsidR="00EB6899" w:rsidRPr="00CF09D0" w:rsidTr="004F4D6D">
        <w:tc>
          <w:tcPr>
            <w:tcW w:w="1795" w:type="dxa"/>
          </w:tcPr>
          <w:p w:rsidR="002F7293" w:rsidRDefault="002F7293" w:rsidP="004F4D6D">
            <w:pPr>
              <w:textAlignment w:val="center"/>
              <w:rPr>
                <w:rFonts w:ascii="Arial" w:eastAsia="Times New Roman" w:hAnsi="Arial" w:cs="Arial"/>
                <w:color w:val="3A3838"/>
              </w:rPr>
            </w:pPr>
            <w:proofErr w:type="spellStart"/>
            <w:r w:rsidRPr="00CF09D0">
              <w:rPr>
                <w:rFonts w:ascii="Arial" w:eastAsia="Times New Roman" w:hAnsi="Arial" w:cs="Arial"/>
                <w:color w:val="3A3838"/>
              </w:rPr>
              <w:t>MoCA</w:t>
            </w:r>
            <w:proofErr w:type="spellEnd"/>
            <w:r w:rsidR="00941627">
              <w:rPr>
                <w:rFonts w:ascii="Arial" w:eastAsia="Times New Roman" w:hAnsi="Arial" w:cs="Arial"/>
                <w:color w:val="3A3838"/>
              </w:rPr>
              <w:t xml:space="preserve"> </w:t>
            </w:r>
          </w:p>
          <w:p w:rsidR="00941627" w:rsidRPr="00941627" w:rsidRDefault="00941627" w:rsidP="004F4D6D">
            <w:pPr>
              <w:textAlignment w:val="center"/>
              <w:rPr>
                <w:rFonts w:ascii="Arial" w:eastAsia="Times New Roman" w:hAnsi="Arial" w:cs="Arial"/>
                <w:i/>
                <w:color w:val="3A3838"/>
              </w:rPr>
            </w:pPr>
            <w:r w:rsidRPr="00941627">
              <w:rPr>
                <w:rFonts w:ascii="Arial" w:eastAsia="Times New Roman" w:hAnsi="Arial" w:cs="Arial"/>
                <w:i/>
                <w:color w:val="3A3838"/>
              </w:rPr>
              <w:t>(10 min)</w:t>
            </w:r>
          </w:p>
        </w:tc>
        <w:tc>
          <w:tcPr>
            <w:tcW w:w="2181"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Cognitive function</w:t>
            </w:r>
          </w:p>
        </w:tc>
        <w:tc>
          <w:tcPr>
            <w:tcW w:w="2074" w:type="dxa"/>
          </w:tcPr>
          <w:p w:rsidR="002F7293" w:rsidRPr="00CF09D0" w:rsidRDefault="00C51374" w:rsidP="004F4D6D">
            <w:pPr>
              <w:textAlignment w:val="center"/>
              <w:rPr>
                <w:rFonts w:ascii="Arial" w:eastAsia="Times New Roman" w:hAnsi="Arial" w:cs="Arial"/>
                <w:color w:val="3A3838"/>
              </w:rPr>
            </w:pPr>
            <w:r w:rsidRPr="00CF09D0">
              <w:rPr>
                <w:rFonts w:ascii="Arial" w:eastAsia="Times New Roman" w:hAnsi="Arial" w:cs="Arial"/>
                <w:color w:val="3A3838"/>
              </w:rPr>
              <w:t>&gt;26: normal</w:t>
            </w:r>
          </w:p>
          <w:p w:rsidR="00C51374" w:rsidRPr="00CF09D0" w:rsidRDefault="00C51374" w:rsidP="004F4D6D">
            <w:pPr>
              <w:textAlignment w:val="center"/>
              <w:rPr>
                <w:rFonts w:ascii="Arial" w:eastAsia="Times New Roman" w:hAnsi="Arial" w:cs="Arial"/>
                <w:color w:val="3A3838"/>
              </w:rPr>
            </w:pPr>
            <w:r w:rsidRPr="00CF09D0">
              <w:rPr>
                <w:rFonts w:ascii="Arial" w:eastAsia="Times New Roman" w:hAnsi="Arial" w:cs="Arial"/>
                <w:color w:val="3A3838"/>
              </w:rPr>
              <w:t>&lt;26: cognitively impaired</w:t>
            </w:r>
            <w:r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F1000_CSL_CITATION&lt;~#@#~&gt;[{"DOI":"10.1111/j.1532-5415.2005.53221.x","First":false,"Last":false,"PMID":"15817019","abstract":"&lt;strong&gt;OBJECTIVES:&lt;/strong&gt; To develop a 10-minute cognitive screening tool (Montreal Cognitive Assessment, MoCA) to assist first-line physicians in detection of mild cognitive impairment (MCI), a clinical state that often progresses to dementia.&lt;br&gt;&lt;br&gt;&lt;strong&gt;DESIGN:&lt;/strong&gt; Validation study.&lt;br&gt;&lt;br&gt;&lt;strong&gt;SETTING:&lt;/strong&gt; A community clinic and an academic center.&lt;br&gt;&lt;br&gt;&lt;strong&gt;PARTICIPANTS:&lt;/strong&gt; Ninety-four patients meeting MCI clinical criteria supported by psychometric measures, 93 patients with mild Alzheimer's disease (AD) (Mini-Mental State Examination (MMSE) score &gt; or =17), and 90 healthy elderly controls (NC).&lt;br&gt;&lt;br&gt;&lt;strong&gt;MEASUREMENTS:&lt;/strong&gt; The MoCA and MMSE were administered to all participants, and sensitivity and specificity of both measures were assessed for detection of MCI and mild AD.&lt;br&gt;&lt;br&gt;&lt;strong&gt;RESULTS:&lt;/strong&gt; Using a cutoff score 26, the MMSE had a sensitivity of 18% to detect MCI, whereas the MoCA detected 90% of MCI subjects. In the mild AD group, the MMSE had a sensitivity of 78%, whereas the MoCA detected 100%. Specificity was excellent for both MMSE and MoCA (100% and 87%, respectively).&lt;br&gt;&lt;br&gt;&lt;strong&gt;CONCLUSION:&lt;/strong&gt; MCI as an entity is evolving and somewhat controversial. The MoCA is a brief cognitive screening tool with high sensitivity and specificity for detecting MCI as currently conceptualized in patients performing in the normal range on the MMSE.","author":[{"family":"Nasreddine","given":"Ziad S"},{"family":"Phillips","given":"Natalie A"},{"family":"Bédirian","given":"Valérie"},{"family":"Charbonneau","given":"Simon"},{"family":"Whitehead","given":"Victor"},{"family":"Collin","given":"Isabelle"},{"family":"Cummings","given":"Jeffrey L"},{"family":"Chertkow","given":"Howard"}],"authorYearDisplayFormat":false,"citation-label":"1028118","container-title":"Journal of the American Geriatrics Society","container-title-short":"J. Am. Geriatr. Soc.","id":"1028118","invisible":false,"issue":"4","issued":{"date-parts":[["2005","4"]]},"journalAbbreviation":"J. Am. Geriatr. Soc.","page":"695-699","suppress-author":false,"title":"The Montreal Cognitive Assessment, MoCA: a brief screening tool for mild cognitive impairment.","type":"article-journal","volume":"53"}]</w:instrText>
            </w:r>
            <w:r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34</w:t>
            </w:r>
            <w:r w:rsidRPr="00CF09D0">
              <w:rPr>
                <w:rFonts w:ascii="Arial" w:eastAsia="Times New Roman" w:hAnsi="Arial" w:cs="Arial"/>
                <w:color w:val="3A3838"/>
              </w:rPr>
              <w:fldChar w:fldCharType="end"/>
            </w:r>
          </w:p>
        </w:tc>
        <w:tc>
          <w:tcPr>
            <w:tcW w:w="3220" w:type="dxa"/>
          </w:tcPr>
          <w:p w:rsidR="002F7293" w:rsidRPr="00CF09D0" w:rsidRDefault="002F7293" w:rsidP="004F4D6D">
            <w:pPr>
              <w:textAlignment w:val="center"/>
              <w:rPr>
                <w:rFonts w:ascii="Arial" w:eastAsia="Times New Roman" w:hAnsi="Arial" w:cs="Arial"/>
                <w:color w:val="3A3838"/>
              </w:rPr>
            </w:pPr>
            <w:r w:rsidRPr="00CF09D0">
              <w:rPr>
                <w:rFonts w:ascii="Arial" w:eastAsia="Times New Roman" w:hAnsi="Arial" w:cs="Arial"/>
                <w:color w:val="3A3838"/>
              </w:rPr>
              <w:t>Commonly impaired in patients with strok</w:t>
            </w:r>
            <w:r w:rsidR="00C51374" w:rsidRPr="00CF09D0">
              <w:rPr>
                <w:rFonts w:ascii="Arial" w:eastAsia="Times New Roman" w:hAnsi="Arial" w:cs="Arial"/>
                <w:color w:val="3A3838"/>
              </w:rPr>
              <w:t>e and geriatric patients alike.</w:t>
            </w:r>
            <w:r w:rsidR="00C51374"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00C51374"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1,4</w:t>
            </w:r>
            <w:r w:rsidR="00C51374" w:rsidRPr="00CF09D0">
              <w:rPr>
                <w:rFonts w:ascii="Arial" w:eastAsia="Times New Roman" w:hAnsi="Arial" w:cs="Arial"/>
                <w:color w:val="3A3838"/>
              </w:rPr>
              <w:fldChar w:fldCharType="end"/>
            </w:r>
            <w:r w:rsidR="00C51374" w:rsidRPr="00CF09D0">
              <w:rPr>
                <w:rFonts w:ascii="Arial" w:eastAsia="Times New Roman" w:hAnsi="Arial" w:cs="Arial"/>
                <w:color w:val="3A3838"/>
              </w:rPr>
              <w:t xml:space="preserve"> This short test is helps indicate possibility</w:t>
            </w:r>
            <w:r w:rsidRPr="00CF09D0">
              <w:rPr>
                <w:rFonts w:ascii="Arial" w:eastAsia="Times New Roman" w:hAnsi="Arial" w:cs="Arial"/>
                <w:color w:val="3A3838"/>
              </w:rPr>
              <w:t xml:space="preserve"> of worse outcomes, this measure is valid in the population and can be used</w:t>
            </w:r>
            <w:r w:rsidR="00C51374" w:rsidRPr="00CF09D0">
              <w:rPr>
                <w:rFonts w:ascii="Arial" w:eastAsia="Times New Roman" w:hAnsi="Arial" w:cs="Arial"/>
                <w:color w:val="3A3838"/>
              </w:rPr>
              <w:t xml:space="preserve"> to make appropriate referrals.</w:t>
            </w:r>
            <w:r w:rsidR="00C51374"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F1000_CSL_CITATION&lt;~#@#~&gt;[{"DOI":"10.1016/j.apmr.2010.12.034","First":false,"Last":false,"PMID":"21530727","abstract":"&lt;strong&gt;OBJECTIVES:&lt;/strong&gt; To compare Montreal Cognitive Assessment (MoCA) and Mini-Mental State Examination (MMSE) global and subscores in classifying cognitive impairment in persons with mild stroke and to explore the relationship between admission and discharge functional status and improvement.&lt;br&gt;&lt;br&gt;&lt;strong&gt;DESIGN:&lt;/strong&gt; Retrospective analysis of data.&lt;br&gt;&lt;br&gt;&lt;strong&gt;SETTING:&lt;/strong&gt; Acute rehabilitation unit of a large urban university-affiliated hospital.&lt;br&gt;&lt;br&gt;&lt;strong&gt;PARTICIPANTS:&lt;/strong&gt; Inpatients with stroke (N=72; mean age, 70y; median time poststroke, 8.5d) and mild neurologic (median National Institutes of Health Stroke Scale score, 4) and cognitive deficits (median MMSE score, 25).&lt;br&gt;&lt;br&gt;&lt;strong&gt;INTERVENTION:&lt;/strong&gt; Not applicable.&lt;br&gt;&lt;br&gt;&lt;strong&gt;MAIN OUTCOME MEASURE:&lt;/strong&gt; Admission cognitive status was assessed by using the MMSE and MoCA. The motor subscale of the FIM instrument (mFIM) and motor relative functional efficiency was used to assess discharge functional status and improvement.&lt;br&gt;&lt;br&gt;&lt;strong&gt;RESULTS:&lt;/strong&gt; The MoCA classified more persons as cognitively impaired than the MMSE (89% vs 63%, respectively; using a cutoff score of 27 on the MMSE and 26 on the MoCA). The MoCA also showed less of a ceiling effect than the MMSE, higher internal reliability (Cronbach α=.78 compared with α=.60), and marginally stronger associations with discharge functional status (r=.40; P&lt; .001) than the MMSE (r=0.30; P&lt; .05). The MoCA visuoexecutive subscore was the strongest predictor of functional status (P=.01) and improvement (P=.02) in global and subscores for both tests.&lt;br&gt;&lt;br&gt;&lt;strong&gt;CONCLUSIONS:&lt;/strong&gt; The MoCA may be an important cognitive screening tool for persons with stroke and mild cognitive dysfunction on an acute rehabilitation unit. Lower visuoexecutive subscores may assist in identifying persons at risk for decreased functional gains in self-care and mobility (mFIM) during inpatient rehabilitation. The findings justify further validation studies of the MoCA in persons with subacute stroke.&lt;br&gt;&lt;br&gt;Copyright © 2011 American Congress of Rehabilitation Medicine. Published by Elsevier Inc. All rights reserved.","author":[{"family":"Toglia","given":"Joan"},{"family":"Fitzgerald","given":"Kerri A"},{"family":"O'Dell","given":"Michael W"},{"family":"Mastrogiovanni","given":"Andrea R"},{"family":"Lin","given":"C David"}],"authorYearDisplayFormat":false,"citation-label":"6133826","container-title":"Archives of Physical Medicine and Rehabilitation","container-title-short":"Arch. Phys. Med. Rehabil.","id":"6133826","invisible":false,"issue":"5","issued":{"date-parts":[["2011","5"]]},"journalAbbreviation":"Arch. Phys. Med. Rehabil.","page":"792-798","suppress-author":false,"title":"The Mini-Mental State Examination and Montreal Cognitive Assessment in persons with mild subacute stroke: relationship to functional outcome.","type":"article-journal","volume":"92"}]</w:instrText>
            </w:r>
            <w:r w:rsidR="00C51374"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35</w:t>
            </w:r>
            <w:r w:rsidR="00C51374" w:rsidRPr="00CF09D0">
              <w:rPr>
                <w:rFonts w:ascii="Arial" w:eastAsia="Times New Roman" w:hAnsi="Arial" w:cs="Arial"/>
                <w:color w:val="3A3838"/>
              </w:rPr>
              <w:fldChar w:fldCharType="end"/>
            </w:r>
          </w:p>
        </w:tc>
      </w:tr>
    </w:tbl>
    <w:p w:rsidR="002D1BBE" w:rsidRPr="00CF09D0" w:rsidRDefault="002D1BBE" w:rsidP="002D1BBE">
      <w:pPr>
        <w:rPr>
          <w:rFonts w:ascii="Arial" w:eastAsia="Times New Roman" w:hAnsi="Arial" w:cs="Arial"/>
          <w:color w:val="3A3838"/>
        </w:rPr>
      </w:pPr>
    </w:p>
    <w:p w:rsidR="002F7293" w:rsidRPr="00941627" w:rsidRDefault="002F7293" w:rsidP="002D1BBE">
      <w:pPr>
        <w:rPr>
          <w:rFonts w:ascii="Arial" w:eastAsia="Times New Roman" w:hAnsi="Arial" w:cs="Arial"/>
          <w:i/>
          <w:color w:val="3A3838"/>
        </w:rPr>
      </w:pPr>
      <w:r w:rsidRPr="00CF09D0">
        <w:rPr>
          <w:rStyle w:val="Heading2Char"/>
          <w:rFonts w:ascii="Arial" w:eastAsiaTheme="minorHAnsi" w:hAnsi="Arial" w:cs="Arial"/>
        </w:rPr>
        <w:t>Stroke Specific</w:t>
      </w:r>
      <w:r w:rsidRPr="00CF09D0">
        <w:rPr>
          <w:rFonts w:ascii="Arial" w:eastAsia="Times New Roman" w:hAnsi="Arial" w:cs="Arial"/>
          <w:b/>
          <w:color w:val="3A3838"/>
          <w:u w:val="single"/>
        </w:rPr>
        <w:t>:</w:t>
      </w:r>
      <w:r w:rsidRPr="00CF09D0">
        <w:rPr>
          <w:rFonts w:ascii="Arial" w:eastAsia="Times New Roman" w:hAnsi="Arial" w:cs="Arial"/>
          <w:b/>
          <w:color w:val="3A3838"/>
        </w:rPr>
        <w:t xml:space="preserve"> </w:t>
      </w:r>
      <w:r w:rsidRPr="00CF09D0">
        <w:rPr>
          <w:rFonts w:ascii="Arial" w:eastAsia="Times New Roman" w:hAnsi="Arial" w:cs="Arial"/>
          <w:color w:val="3A3838"/>
        </w:rPr>
        <w:t>These measures are more specific to patients with chronic stroke as they can be used to track progress and prognosis, identify new/emerging equipment needs, or additional risks/assistance needed. These can be assessed verbally (ex: “</w:t>
      </w:r>
      <w:r w:rsidR="00410200" w:rsidRPr="00CF09D0">
        <w:rPr>
          <w:rFonts w:ascii="Arial" w:eastAsia="Times New Roman" w:hAnsi="Arial" w:cs="Arial"/>
          <w:color w:val="3A3838"/>
        </w:rPr>
        <w:t>have</w:t>
      </w:r>
      <w:r w:rsidRPr="00CF09D0">
        <w:rPr>
          <w:rFonts w:ascii="Arial" w:eastAsia="Times New Roman" w:hAnsi="Arial" w:cs="Arial"/>
          <w:color w:val="3A3838"/>
        </w:rPr>
        <w:t xml:space="preserve"> you have any changes in ability to feel </w:t>
      </w:r>
      <w:r w:rsidR="00410200" w:rsidRPr="00CF09D0">
        <w:rPr>
          <w:rFonts w:ascii="Arial" w:eastAsia="Times New Roman" w:hAnsi="Arial" w:cs="Arial"/>
          <w:color w:val="3A3838"/>
        </w:rPr>
        <w:t>with hands or feet?” or “do you have any issues with vision, has it changed in last few months?”</w:t>
      </w:r>
      <w:r w:rsidR="00EB434C" w:rsidRPr="00CF09D0">
        <w:rPr>
          <w:rFonts w:ascii="Arial" w:eastAsia="Times New Roman" w:hAnsi="Arial" w:cs="Arial"/>
          <w:color w:val="3A3838"/>
        </w:rPr>
        <w:t xml:space="preserve">). Responses can be documented </w:t>
      </w:r>
      <w:r w:rsidR="00EB434C" w:rsidRPr="00CF09D0">
        <w:rPr>
          <w:rFonts w:ascii="Arial" w:eastAsia="Times New Roman" w:hAnsi="Arial" w:cs="Arial"/>
          <w:color w:val="3A3838"/>
        </w:rPr>
        <w:lastRenderedPageBreak/>
        <w:t xml:space="preserve">if no concerns or changes, and can be assessed further if indicated by </w:t>
      </w:r>
      <w:r w:rsidR="00926D6D" w:rsidRPr="00CF09D0">
        <w:rPr>
          <w:rFonts w:ascii="Arial" w:eastAsia="Times New Roman" w:hAnsi="Arial" w:cs="Arial"/>
          <w:color w:val="3A3838"/>
        </w:rPr>
        <w:t>change in patient presentation.</w:t>
      </w:r>
      <w:r w:rsidR="00941627">
        <w:rPr>
          <w:rFonts w:ascii="Arial" w:eastAsia="Times New Roman" w:hAnsi="Arial" w:cs="Arial"/>
          <w:color w:val="3A3838"/>
        </w:rPr>
        <w:t xml:space="preserve"> </w:t>
      </w:r>
      <w:r w:rsidR="00941627">
        <w:rPr>
          <w:rFonts w:ascii="Arial" w:eastAsia="Times New Roman" w:hAnsi="Arial" w:cs="Arial"/>
          <w:i/>
          <w:color w:val="3A3838"/>
        </w:rPr>
        <w:t>(5-8 min)</w:t>
      </w:r>
    </w:p>
    <w:tbl>
      <w:tblPr>
        <w:tblStyle w:val="TableGrid"/>
        <w:tblW w:w="9270" w:type="dxa"/>
        <w:tblInd w:w="535" w:type="dxa"/>
        <w:tblLook w:val="04A0" w:firstRow="1" w:lastRow="0" w:firstColumn="1" w:lastColumn="0" w:noHBand="0" w:noVBand="1"/>
      </w:tblPr>
      <w:tblGrid>
        <w:gridCol w:w="2036"/>
        <w:gridCol w:w="1857"/>
        <w:gridCol w:w="2047"/>
        <w:gridCol w:w="3330"/>
      </w:tblGrid>
      <w:tr w:rsidR="00EB6899" w:rsidRPr="00CF09D0" w:rsidTr="009A590E">
        <w:tc>
          <w:tcPr>
            <w:tcW w:w="2036" w:type="dxa"/>
          </w:tcPr>
          <w:p w:rsidR="002F7293" w:rsidRPr="00CF09D0" w:rsidRDefault="002F7293" w:rsidP="002F7293">
            <w:pPr>
              <w:textAlignment w:val="center"/>
              <w:rPr>
                <w:rFonts w:ascii="Arial" w:eastAsia="Times New Roman" w:hAnsi="Arial" w:cs="Arial"/>
                <w:color w:val="3A3838"/>
              </w:rPr>
            </w:pPr>
          </w:p>
        </w:tc>
        <w:tc>
          <w:tcPr>
            <w:tcW w:w="1857"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Test Of:</w:t>
            </w:r>
          </w:p>
        </w:tc>
        <w:tc>
          <w:tcPr>
            <w:tcW w:w="2047"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Positive Finding:</w:t>
            </w:r>
          </w:p>
        </w:tc>
        <w:tc>
          <w:tcPr>
            <w:tcW w:w="3330"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Clinical Reasoning</w:t>
            </w:r>
          </w:p>
        </w:tc>
      </w:tr>
      <w:tr w:rsidR="00EB6899" w:rsidRPr="00CF09D0" w:rsidTr="009A590E">
        <w:tc>
          <w:tcPr>
            <w:tcW w:w="2036"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Sensation</w:t>
            </w:r>
            <w:r w:rsidR="00926D6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F1000_CSL_CITATION&lt;~#@#~&gt;[{"DOI":"10.1093/qjmed/hcs174","First":false,"Last":false,"PMID":"23019591","abstract":"Despite advances in the acute management of stroke, a large proportion of stroke patients are left with significant impairments. Over the coming decades the prevalence of stroke-related disability is expected to increase worldwide and this will impact greatly on families, healthcare systems and economies. Effective neuro-rehabilitation is a key factor in reducing disability after stroke. In this review, we discuss the effects of stroke, principles of stroke rehabilitative care and predictors of recovery. We also discuss novel therapies in stroke rehabilitation, including non-invasive brain stimulation, robotics and pharmacological augmentation. Many trials are currently underway, which, in time, may impact on future rehabilitative practice.","author":[{"family":"Brewer","given":"L"},{"family":"Horgan","given":"F"},{"family":"Hickey","given":"A"},{"family":"Williams","given":"D"}],"authorYearDisplayFormat":false,"citation-label":"4180676","container-title":"QJM: Monthly Journal of the Association of Physicians","container-title-short":"QJM","id":"4180676","invisible":false,"issue":"1","issued":{"date-parts":[["2013","1"]]},"journalAbbreviation":"QJM","page":"11-25","suppress-author":false,"title":"Stroke rehabilitation: recent advances and future therapies.","type":"article-journal","volume":"106"}]</w:instrText>
            </w:r>
            <w:r w:rsidR="00926D6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36</w:t>
            </w:r>
            <w:r w:rsidR="00926D6D" w:rsidRPr="00CF09D0">
              <w:rPr>
                <w:rFonts w:ascii="Arial" w:eastAsia="Times New Roman" w:hAnsi="Arial" w:cs="Arial"/>
                <w:color w:val="3A3838"/>
              </w:rPr>
              <w:fldChar w:fldCharType="end"/>
            </w:r>
          </w:p>
        </w:tc>
        <w:tc>
          <w:tcPr>
            <w:tcW w:w="1857"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Sensation</w:t>
            </w:r>
          </w:p>
        </w:tc>
        <w:tc>
          <w:tcPr>
            <w:tcW w:w="2047" w:type="dxa"/>
          </w:tcPr>
          <w:p w:rsidR="002F7293" w:rsidRPr="00CF09D0" w:rsidRDefault="002F7293" w:rsidP="002F7293">
            <w:pPr>
              <w:textAlignment w:val="center"/>
              <w:rPr>
                <w:rFonts w:ascii="Arial" w:eastAsia="Times New Roman" w:hAnsi="Arial" w:cs="Arial"/>
                <w:color w:val="3A3838"/>
              </w:rPr>
            </w:pPr>
            <w:r w:rsidRPr="00CF09D0">
              <w:rPr>
                <w:rFonts w:ascii="Arial" w:eastAsia="Times New Roman" w:hAnsi="Arial" w:cs="Arial"/>
                <w:color w:val="3A3838"/>
              </w:rPr>
              <w:t>Impaired relative to unaffected, decrease from last assessment</w:t>
            </w:r>
          </w:p>
        </w:tc>
        <w:tc>
          <w:tcPr>
            <w:tcW w:w="3330" w:type="dxa"/>
          </w:tcPr>
          <w:p w:rsidR="002F7293" w:rsidRPr="00CF09D0" w:rsidRDefault="00EE0287" w:rsidP="002F7293">
            <w:pPr>
              <w:textAlignment w:val="center"/>
              <w:rPr>
                <w:rFonts w:ascii="Arial" w:eastAsia="Times New Roman" w:hAnsi="Arial" w:cs="Arial"/>
                <w:color w:val="3A3838"/>
              </w:rPr>
            </w:pPr>
            <w:r w:rsidRPr="00CF09D0">
              <w:rPr>
                <w:rFonts w:ascii="Arial" w:eastAsia="Times New Roman" w:hAnsi="Arial" w:cs="Arial"/>
                <w:color w:val="3A3838"/>
              </w:rPr>
              <w:t xml:space="preserve">Can impact mobility, safety with mobility, independence, and put patients at risk for development of ulcers, infections, and skin breakdown. </w:t>
            </w:r>
          </w:p>
        </w:tc>
      </w:tr>
      <w:tr w:rsidR="00EB6899" w:rsidRPr="00CF09D0" w:rsidTr="009A590E">
        <w:tc>
          <w:tcPr>
            <w:tcW w:w="2036"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Tone/Spasticity</w:t>
            </w:r>
            <w:r w:rsidR="00926D6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F1000_CSL_CITATION&lt;~#@#~&gt;[{"DOI":"10.1093/qjmed/hcs174","First":false,"Last":false,"PMID":"23019591","abstract":"Despite advances in the acute management of stroke, a large proportion of stroke patients are left with significant impairments. Over the coming decades the prevalence of stroke-related disability is expected to increase worldwide and this will impact greatly on families, healthcare systems and economies. Effective neuro-rehabilitation is a key factor in reducing disability after stroke. In this review, we discuss the effects of stroke, principles of stroke rehabilitative care and predictors of recovery. We also discuss novel therapies in stroke rehabilitation, including non-invasive brain stimulation, robotics and pharmacological augmentation. Many trials are currently underway, which, in time, may impact on future rehabilitative practice.","author":[{"family":"Brewer","given":"L"},{"family":"Horgan","given":"F"},{"family":"Hickey","given":"A"},{"family":"Williams","given":"D"}],"authorYearDisplayFormat":false,"citation-label":"4180676","container-title":"QJM: Monthly Journal of the Association of Physicians","container-title-short":"QJM","id":"4180676","invisible":false,"issue":"1","issued":{"date-parts":[["2013","1"]]},"journalAbbreviation":"QJM","page":"11-25","suppress-author":false,"title":"Stroke rehabilitation: recent advances and future therapies.","type":"article-journal","volume":"106"}]</w:instrText>
            </w:r>
            <w:r w:rsidR="00926D6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36</w:t>
            </w:r>
            <w:r w:rsidR="00926D6D" w:rsidRPr="00CF09D0">
              <w:rPr>
                <w:rFonts w:ascii="Arial" w:eastAsia="Times New Roman" w:hAnsi="Arial" w:cs="Arial"/>
                <w:color w:val="3A3838"/>
              </w:rPr>
              <w:fldChar w:fldCharType="end"/>
            </w:r>
          </w:p>
        </w:tc>
        <w:tc>
          <w:tcPr>
            <w:tcW w:w="185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Tone/Spasticity</w:t>
            </w:r>
          </w:p>
        </w:tc>
        <w:tc>
          <w:tcPr>
            <w:tcW w:w="204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Impaired relative to unaffected, decrease from last assessment</w:t>
            </w:r>
          </w:p>
        </w:tc>
        <w:tc>
          <w:tcPr>
            <w:tcW w:w="3330"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Can impact mobility, safety with mobility, and independence. An important progress/prognostic indicator.</w:t>
            </w:r>
          </w:p>
        </w:tc>
      </w:tr>
      <w:tr w:rsidR="00EB6899" w:rsidRPr="00CF09D0" w:rsidTr="009A590E">
        <w:tc>
          <w:tcPr>
            <w:tcW w:w="2036"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Synergistic Movement</w:t>
            </w:r>
            <w:r w:rsidR="00926D6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F1000_CSL_CITATION&lt;~#@#~&gt;[{"DOI":"10.1093/qjmed/hcs174","First":false,"Last":false,"PMID":"23019591","abstract":"Despite advances in the acute management of stroke, a large proportion of stroke patients are left with significant impairments. Over the coming decades the prevalence of stroke-related disability is expected to increase worldwide and this will impact greatly on families, healthcare systems and economies. Effective neuro-rehabilitation is a key factor in reducing disability after stroke. In this review, we discuss the effects of stroke, principles of stroke rehabilitative care and predictors of recovery. We also discuss novel therapies in stroke rehabilitation, including non-invasive brain stimulation, robotics and pharmacological augmentation. Many trials are currently underway, which, in time, may impact on future rehabilitative practice.","author":[{"family":"Brewer","given":"L"},{"family":"Horgan","given":"F"},{"family":"Hickey","given":"A"},{"family":"Williams","given":"D"}],"authorYearDisplayFormat":false,"citation-label":"4180676","container-title":"QJM: Monthly Journal of the Association of Physicians","container-title-short":"QJM","id":"4180676","invisible":false,"issue":"1","issued":{"date-parts":[["2013","1"]]},"journalAbbreviation":"QJM","page":"11-25","suppress-author":false,"title":"Stroke rehabilitation: recent advances and future therapies.","type":"article-journal","volume":"106"}]</w:instrText>
            </w:r>
            <w:r w:rsidR="00926D6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36</w:t>
            </w:r>
            <w:r w:rsidR="00926D6D" w:rsidRPr="00CF09D0">
              <w:rPr>
                <w:rFonts w:ascii="Arial" w:eastAsia="Times New Roman" w:hAnsi="Arial" w:cs="Arial"/>
                <w:color w:val="3A3838"/>
              </w:rPr>
              <w:fldChar w:fldCharType="end"/>
            </w:r>
          </w:p>
        </w:tc>
        <w:tc>
          <w:tcPr>
            <w:tcW w:w="185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Brunnstrom Stage</w:t>
            </w:r>
          </w:p>
        </w:tc>
        <w:tc>
          <w:tcPr>
            <w:tcW w:w="204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Impaired relative to unaffected, regression from last assessment</w:t>
            </w:r>
          </w:p>
        </w:tc>
        <w:tc>
          <w:tcPr>
            <w:tcW w:w="3330"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Can impact mobility, safety with mobility, and independence. An important progress/prognostic indicator.</w:t>
            </w:r>
          </w:p>
        </w:tc>
      </w:tr>
      <w:tr w:rsidR="00EB6899" w:rsidRPr="00CF09D0" w:rsidTr="009A590E">
        <w:tc>
          <w:tcPr>
            <w:tcW w:w="2036"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Visual Field/Neglect</w:t>
            </w:r>
            <w:r w:rsidR="00926D6D" w:rsidRPr="00CF09D0">
              <w:rPr>
                <w:rFonts w:ascii="Arial" w:eastAsia="Times New Roman" w:hAnsi="Arial" w:cs="Arial"/>
                <w:color w:val="3A3838"/>
              </w:rPr>
              <w:fldChar w:fldCharType="begin"/>
            </w:r>
            <w:r w:rsidR="00EB6899">
              <w:rPr>
                <w:rFonts w:ascii="Arial" w:eastAsia="Times New Roman" w:hAnsi="Arial" w:cs="Arial"/>
                <w:color w:val="3A3838"/>
              </w:rPr>
              <w:instrText>ADDIN F1000_CSL_CITATION&lt;~#@#~&gt;[{"DOI":"10.1093/qjmed/hcs174","First":false,"Last":false,"PMID":"23019591","abstract":"Despite advances in the acute management of stroke, a large proportion of stroke patients are left with significant impairments. Over the coming decades the prevalence of stroke-related disability is expected to increase worldwide and this will impact greatly on families, healthcare systems and economies. Effective neuro-rehabilitation is a key factor in reducing disability after stroke. In this review, we discuss the effects of stroke, principles of stroke rehabilitative care and predictors of recovery. We also discuss novel therapies in stroke rehabilitation, including non-invasive brain stimulation, robotics and pharmacological augmentation. Many trials are currently underway, which, in time, may impact on future rehabilitative practice.","author":[{"family":"Brewer","given":"L"},{"family":"Horgan","given":"F"},{"family":"Hickey","given":"A"},{"family":"Williams","given":"D"}],"authorYearDisplayFormat":false,"citation-label":"4180676","container-title":"QJM: Monthly Journal of the Association of Physicians","container-title-short":"QJM","id":"4180676","invisible":false,"issue":"1","issued":{"date-parts":[["2013","1"]]},"journalAbbreviation":"QJM","page":"11-25","suppress-author":false,"title":"Stroke rehabilitation: recent advances and future therapies.","type":"article-journal","volume":"106"}]</w:instrText>
            </w:r>
            <w:r w:rsidR="00926D6D" w:rsidRPr="00CF09D0">
              <w:rPr>
                <w:rFonts w:ascii="Arial" w:eastAsia="Times New Roman" w:hAnsi="Arial" w:cs="Arial"/>
                <w:color w:val="3A3838"/>
              </w:rPr>
              <w:fldChar w:fldCharType="separate"/>
            </w:r>
            <w:r w:rsidR="00EB6899" w:rsidRPr="00EB6899">
              <w:rPr>
                <w:rFonts w:ascii="Arial" w:eastAsia="Times New Roman" w:hAnsi="Arial" w:cs="Arial"/>
                <w:noProof/>
                <w:color w:val="3A3838"/>
                <w:vertAlign w:val="superscript"/>
              </w:rPr>
              <w:t>36</w:t>
            </w:r>
            <w:r w:rsidR="00926D6D" w:rsidRPr="00CF09D0">
              <w:rPr>
                <w:rFonts w:ascii="Arial" w:eastAsia="Times New Roman" w:hAnsi="Arial" w:cs="Arial"/>
                <w:color w:val="3A3838"/>
              </w:rPr>
              <w:fldChar w:fldCharType="end"/>
            </w:r>
          </w:p>
        </w:tc>
        <w:tc>
          <w:tcPr>
            <w:tcW w:w="185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Visual Field/Neglect</w:t>
            </w:r>
          </w:p>
        </w:tc>
        <w:tc>
          <w:tcPr>
            <w:tcW w:w="2047"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Visual field disturbance or neglect.</w:t>
            </w:r>
          </w:p>
        </w:tc>
        <w:tc>
          <w:tcPr>
            <w:tcW w:w="3330" w:type="dxa"/>
          </w:tcPr>
          <w:p w:rsidR="00EE0287" w:rsidRPr="00CF09D0" w:rsidRDefault="00EE0287" w:rsidP="00EE0287">
            <w:pPr>
              <w:textAlignment w:val="center"/>
              <w:rPr>
                <w:rFonts w:ascii="Arial" w:eastAsia="Times New Roman" w:hAnsi="Arial" w:cs="Arial"/>
                <w:color w:val="3A3838"/>
              </w:rPr>
            </w:pPr>
            <w:r w:rsidRPr="00CF09D0">
              <w:rPr>
                <w:rFonts w:ascii="Arial" w:eastAsia="Times New Roman" w:hAnsi="Arial" w:cs="Arial"/>
                <w:color w:val="3A3838"/>
              </w:rPr>
              <w:t>Can impact mobility, safety with mobility, and independence.</w:t>
            </w:r>
          </w:p>
        </w:tc>
      </w:tr>
    </w:tbl>
    <w:p w:rsidR="002D1BBE" w:rsidRPr="00CF09D0" w:rsidRDefault="002D1BBE" w:rsidP="002D1BBE">
      <w:pPr>
        <w:rPr>
          <w:rFonts w:ascii="Arial" w:eastAsia="Times New Roman" w:hAnsi="Arial" w:cs="Arial"/>
          <w:color w:val="3A3838"/>
        </w:rPr>
      </w:pPr>
      <w:r w:rsidRPr="00CF09D0">
        <w:rPr>
          <w:rFonts w:ascii="Arial" w:eastAsia="Times New Roman" w:hAnsi="Arial" w:cs="Arial"/>
          <w:color w:val="3A3838"/>
        </w:rPr>
        <w:t> </w:t>
      </w:r>
    </w:p>
    <w:p w:rsidR="002D1BBE" w:rsidRPr="00CF09D0" w:rsidRDefault="00730921" w:rsidP="00730921">
      <w:pPr>
        <w:pStyle w:val="Heading1"/>
        <w:rPr>
          <w:rFonts w:ascii="Arial" w:hAnsi="Arial" w:cs="Arial"/>
        </w:rPr>
      </w:pPr>
      <w:r w:rsidRPr="00CF09D0">
        <w:rPr>
          <w:rFonts w:ascii="Arial" w:hAnsi="Arial" w:cs="Arial"/>
        </w:rPr>
        <w:t>Resources and R</w:t>
      </w:r>
      <w:r w:rsidR="002D1BBE" w:rsidRPr="00CF09D0">
        <w:rPr>
          <w:rFonts w:ascii="Arial" w:hAnsi="Arial" w:cs="Arial"/>
        </w:rPr>
        <w:t>eferrals:</w:t>
      </w:r>
    </w:p>
    <w:p w:rsidR="000011BA" w:rsidRPr="00CF09D0" w:rsidRDefault="000011BA" w:rsidP="000011BA">
      <w:pPr>
        <w:pStyle w:val="Heading2"/>
        <w:rPr>
          <w:rFonts w:ascii="Arial" w:hAnsi="Arial" w:cs="Arial"/>
          <w:color w:val="000000" w:themeColor="text1"/>
          <w:u w:val="none"/>
        </w:rPr>
      </w:pPr>
      <w:r w:rsidRPr="00CF09D0">
        <w:rPr>
          <w:rFonts w:ascii="Arial" w:hAnsi="Arial" w:cs="Arial"/>
          <w:b w:val="0"/>
          <w:color w:val="000000" w:themeColor="text1"/>
          <w:u w:val="none"/>
        </w:rPr>
        <w:tab/>
      </w:r>
      <w:r w:rsidRPr="00CF09D0">
        <w:rPr>
          <w:rFonts w:ascii="Arial" w:hAnsi="Arial" w:cs="Arial"/>
          <w:color w:val="000000" w:themeColor="text1"/>
          <w:u w:val="none"/>
        </w:rPr>
        <w:t>Nutrition:</w:t>
      </w:r>
    </w:p>
    <w:p w:rsidR="00251012" w:rsidRDefault="00C25782" w:rsidP="000011BA">
      <w:pPr>
        <w:pStyle w:val="Heading2"/>
        <w:numPr>
          <w:ilvl w:val="0"/>
          <w:numId w:val="9"/>
        </w:numPr>
        <w:rPr>
          <w:rFonts w:ascii="Arial" w:hAnsi="Arial" w:cs="Arial"/>
          <w:b w:val="0"/>
          <w:color w:val="000000" w:themeColor="text1"/>
          <w:u w:val="none"/>
        </w:rPr>
      </w:pPr>
      <w:r>
        <w:rPr>
          <w:rFonts w:ascii="Arial" w:hAnsi="Arial" w:cs="Arial"/>
          <w:b w:val="0"/>
          <w:color w:val="000000" w:themeColor="text1"/>
          <w:u w:val="none"/>
        </w:rPr>
        <w:t>Information</w:t>
      </w:r>
      <w:r w:rsidR="004B454C" w:rsidRPr="00CF09D0">
        <w:rPr>
          <w:rFonts w:ascii="Arial" w:hAnsi="Arial" w:cs="Arial"/>
          <w:b w:val="0"/>
          <w:color w:val="000000" w:themeColor="text1"/>
          <w:u w:val="none"/>
        </w:rPr>
        <w:t xml:space="preserve">: </w:t>
      </w:r>
    </w:p>
    <w:p w:rsidR="002D1BBE" w:rsidRPr="00CF09D0" w:rsidRDefault="004B454C" w:rsidP="00251012">
      <w:pPr>
        <w:pStyle w:val="Heading2"/>
        <w:numPr>
          <w:ilvl w:val="1"/>
          <w:numId w:val="9"/>
        </w:numPr>
        <w:rPr>
          <w:rFonts w:ascii="Arial" w:hAnsi="Arial" w:cs="Arial"/>
          <w:b w:val="0"/>
          <w:color w:val="000000" w:themeColor="text1"/>
          <w:u w:val="none"/>
        </w:rPr>
      </w:pPr>
      <w:r w:rsidRPr="00CF09D0">
        <w:rPr>
          <w:rFonts w:ascii="Arial" w:hAnsi="Arial" w:cs="Arial"/>
          <w:b w:val="0"/>
          <w:color w:val="000000" w:themeColor="text1"/>
          <w:u w:val="none"/>
        </w:rPr>
        <w:t xml:space="preserve">Choose MyPlate – for Older Adults - </w:t>
      </w:r>
      <w:hyperlink r:id="rId7" w:history="1">
        <w:r w:rsidRPr="00CF09D0">
          <w:rPr>
            <w:rStyle w:val="Hyperlink"/>
            <w:rFonts w:ascii="Arial" w:hAnsi="Arial" w:cs="Arial"/>
            <w:b w:val="0"/>
            <w:color w:val="000000" w:themeColor="text1"/>
          </w:rPr>
          <w:t>https://www.choosemyplate.gov/older-adults</w:t>
        </w:r>
      </w:hyperlink>
      <w:r w:rsidRPr="00CF09D0">
        <w:rPr>
          <w:rFonts w:ascii="Arial" w:hAnsi="Arial" w:cs="Arial"/>
          <w:b w:val="0"/>
          <w:color w:val="000000" w:themeColor="text1"/>
          <w:u w:val="none"/>
        </w:rPr>
        <w:t xml:space="preserve"> </w:t>
      </w:r>
    </w:p>
    <w:p w:rsidR="002D1BBE" w:rsidRPr="00CF09D0" w:rsidRDefault="004B454C" w:rsidP="00251012">
      <w:pPr>
        <w:pStyle w:val="ListParagraph"/>
        <w:numPr>
          <w:ilvl w:val="1"/>
          <w:numId w:val="9"/>
        </w:numPr>
        <w:rPr>
          <w:rFonts w:ascii="Arial" w:hAnsi="Arial" w:cs="Arial"/>
          <w:color w:val="000000" w:themeColor="text1"/>
        </w:rPr>
      </w:pPr>
      <w:r w:rsidRPr="00CF09D0">
        <w:rPr>
          <w:rFonts w:ascii="Arial" w:hAnsi="Arial" w:cs="Arial"/>
          <w:color w:val="000000" w:themeColor="text1"/>
        </w:rPr>
        <w:t xml:space="preserve">National Institute on Aging - Smart Food Choices for Healthy Aging - </w:t>
      </w:r>
      <w:hyperlink r:id="rId8" w:history="1">
        <w:r w:rsidRPr="00CF09D0">
          <w:rPr>
            <w:rStyle w:val="Hyperlink"/>
            <w:rFonts w:ascii="Arial" w:hAnsi="Arial" w:cs="Arial"/>
            <w:color w:val="000000" w:themeColor="text1"/>
          </w:rPr>
          <w:t>https://www.nia.nih.gov/health/smart-food-choices-healthy-aging</w:t>
        </w:r>
      </w:hyperlink>
      <w:r w:rsidRPr="00CF09D0">
        <w:rPr>
          <w:rFonts w:ascii="Arial" w:hAnsi="Arial" w:cs="Arial"/>
          <w:color w:val="000000" w:themeColor="text1"/>
        </w:rPr>
        <w:t xml:space="preserve"> </w:t>
      </w:r>
    </w:p>
    <w:p w:rsidR="00926D6D" w:rsidRDefault="00C25782" w:rsidP="0055579B">
      <w:pPr>
        <w:pStyle w:val="ListParagraph"/>
        <w:numPr>
          <w:ilvl w:val="0"/>
          <w:numId w:val="9"/>
        </w:numPr>
        <w:rPr>
          <w:rFonts w:ascii="Arial" w:hAnsi="Arial" w:cs="Arial"/>
          <w:color w:val="000000" w:themeColor="text1"/>
        </w:rPr>
      </w:pPr>
      <w:r>
        <w:rPr>
          <w:rFonts w:ascii="Arial" w:hAnsi="Arial" w:cs="Arial"/>
          <w:color w:val="000000" w:themeColor="text1"/>
        </w:rPr>
        <w:t xml:space="preserve">Based on the results of the Mini-Nutritional Short Form any additional questioning, and BMI calculations, it is possible that the patient could be identified as malnourished and underweight as this is common both in geriatric patients and patients with chronic stroke. </w:t>
      </w:r>
      <w:r w:rsidR="00005273">
        <w:rPr>
          <w:rFonts w:ascii="Arial" w:hAnsi="Arial" w:cs="Arial"/>
          <w:color w:val="000000" w:themeColor="text1"/>
        </w:rPr>
        <w:t xml:space="preserve">Research has shown stroke patients can lose as many as. 45% of patients who have had a stroke lose more than 3 </w:t>
      </w:r>
      <w:proofErr w:type="spellStart"/>
      <w:r w:rsidR="00005273">
        <w:rPr>
          <w:rFonts w:ascii="Arial" w:hAnsi="Arial" w:cs="Arial"/>
          <w:color w:val="000000" w:themeColor="text1"/>
        </w:rPr>
        <w:t>lbs</w:t>
      </w:r>
      <w:proofErr w:type="spellEnd"/>
      <w:r w:rsidR="00005273">
        <w:rPr>
          <w:rFonts w:ascii="Arial" w:hAnsi="Arial" w:cs="Arial"/>
          <w:color w:val="000000" w:themeColor="text1"/>
        </w:rPr>
        <w:t xml:space="preserve"> in the months following their stroke.</w:t>
      </w:r>
      <w:r w:rsidR="00005273">
        <w:rPr>
          <w:rFonts w:ascii="Arial" w:hAnsi="Arial" w:cs="Arial"/>
          <w:color w:val="000000" w:themeColor="text1"/>
        </w:rPr>
        <w:fldChar w:fldCharType="begin"/>
      </w:r>
      <w:r w:rsidR="00EB6899">
        <w:rPr>
          <w:rFonts w:ascii="Arial" w:hAnsi="Arial" w:cs="Arial"/>
          <w:color w:val="000000" w:themeColor="text1"/>
        </w:rPr>
        <w:instrText>ADDIN F1000_CSL_CITATION&lt;~#@#~&gt;[{"DOI":"10.1155/2018/1297846","First":false,"Last":false,"PMCID":"PMC5820574","PMID":"29568480","abstract":"&lt;strong&gt;Background:&lt;/strong&gt; Despite evidence that many of the consequences of stroke that hinder recovery (i.e., obesity, muscle atrophy, and functional declines) have nutritionally modifiable behavior components, little attention has been focused on the significance of nutrition beyond the acute phase of stroke.&lt;br&gt;&lt;br&gt;&lt;strong&gt;Objective:&lt;/strong&gt; This literature review summarizes the evidence for and against the influence of nutrition on optimal recovery and rehabilitation in chronic (&gt;6 months) stroke.&lt;br&gt;&lt;br&gt;&lt;strong&gt;Results:&lt;/strong&gt; The literature, which is mainly limited to cross-sectional studies, suggests that a suboptimal nutritional status, including an excess caloric intake, reduced protein intake, and micronutrient deficiencies, particularly the B-vitamins, vitamin D, and omega 3 fatty acids, may have deleterious effects on metabolic, physical, and psychological functioning in chronic stroke survivors.&lt;br&gt;&lt;br&gt;&lt;strong&gt;Conclusions:&lt;/strong&gt; Careful evaluation of dietary intake, especially among those with eating disabilities and preexisting malnutrition, may aid in the identification of individuals at increased nutritional risk through which early intervention may benefit recovery and rehabilitation and prevent further complications after stroke.","author":[{"family":"Serra","given":"Monica C"}],"authorYearDisplayFormat":false,"citation-label":"7478140","container-title":"Stroke research and treatment","container-title-short":"Stroke Res. Treat.","id":"7478140","invisible":false,"issued":{"date-parts":[["2018","1","11"]]},"journalAbbreviation":"Stroke Res. Treat.","page":"1297846","suppress-author":false,"title":"The Importance of Assessing Nutritional Status to Ensure Optimal Recovery during the Chronic Phase of Stroke.","type":"article-journal","volume":"2018"}]</w:instrText>
      </w:r>
      <w:r w:rsidR="00005273">
        <w:rPr>
          <w:rFonts w:ascii="Arial" w:hAnsi="Arial" w:cs="Arial"/>
          <w:color w:val="000000" w:themeColor="text1"/>
        </w:rPr>
        <w:fldChar w:fldCharType="separate"/>
      </w:r>
      <w:r w:rsidR="00EB6899" w:rsidRPr="00EB6899">
        <w:rPr>
          <w:rFonts w:ascii="Arial" w:hAnsi="Arial" w:cs="Arial"/>
          <w:noProof/>
          <w:color w:val="000000" w:themeColor="text1"/>
          <w:vertAlign w:val="superscript"/>
        </w:rPr>
        <w:t>37</w:t>
      </w:r>
      <w:r w:rsidR="00005273">
        <w:rPr>
          <w:rFonts w:ascii="Arial" w:hAnsi="Arial" w:cs="Arial"/>
          <w:color w:val="000000" w:themeColor="text1"/>
        </w:rPr>
        <w:fldChar w:fldCharType="end"/>
      </w:r>
      <w:r w:rsidR="00005273">
        <w:rPr>
          <w:rFonts w:ascii="Arial" w:hAnsi="Arial" w:cs="Arial"/>
          <w:color w:val="000000" w:themeColor="text1"/>
        </w:rPr>
        <w:t xml:space="preserve"> This in addition to common limitations in mobility, activity, difficulty with ADLs such as feeding, and increased sedentary lifestyles often lead to unhealthy or malnourished states.</w:t>
      </w:r>
      <w:r w:rsidR="00005273">
        <w:rPr>
          <w:rFonts w:ascii="Arial" w:hAnsi="Arial" w:cs="Arial"/>
          <w:color w:val="000000" w:themeColor="text1"/>
        </w:rPr>
        <w:fldChar w:fldCharType="begin"/>
      </w:r>
      <w:r w:rsidR="00EB6899">
        <w:rPr>
          <w:rFonts w:ascii="Arial" w:hAnsi="Arial" w:cs="Arial"/>
          <w:color w:val="000000" w:themeColor="text1"/>
        </w:rPr>
        <w:instrText>ADDIN F1000_CSL_CITATION&lt;~#@#~&gt;[{"DOI":"10.1586/14737175.7.10.1417","First":false,"Last":false,"PMCID":"PMC3196659","PMID":"17939776","abstract":"Stroke is a leading cause of long-term disability. Impairments resulting from stroke lead to persistent difficulties with walking and, subsequently, improved walking ability is one of the highest priorities for people living with a stroke. In addition, walking ability has important health implications in providing protective effects against secondary complications common after a stroke such as heart disease or osteoporosis. This paper systematically reviews common gait training strategies (neurodevelopmental techniques, muscle strengthening, treadmill training and intensive mobility exercises) to improve walking ability. The results (descriptive summaries as well as pooled effect sizes) from randomized controlled trials are presented and implications for optimal gait training strategies are discussed. Novel and emerging gait training strategies are highlighted and research directions proposed to enable the optimal recovery and maintenance of walking ability.","author":[{"family":"Eng","given":"Janice J"},{"family":"Tang","given":"Pei-Fang"}],"authorYearDisplayFormat":false,"citation-label":"2096484","container-title":"Expert Review of Neurotherapeutics","container-title-short":"Expert Rev. Neurother.","id":"2096484","invisible":false,"issue":"10","issued":{"date-parts":[["2007","10"]]},"journalAbbreviation":"Expert Rev. Neurother.","page":"1417-1436","suppress-author":false,"title":"Gait training strategies to optimize walking ability in people with stroke: a synthesis of the evidence.","type":"article-journal","volume":"7"},{"DOI":"10.1080/096382899297684","First":false,"Last":false,"PMID":"10381238","abstract":"&lt;strong&gt;PURPOSE:&lt;/strong&gt;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stroke.","type":"article-journal","volume":"21"},{"DOI":"10.1161/STR.0000000000000098","First":false,"Last":false,"PMID":"27145936","abstract":"&lt;strong&gt;PURPOSE:&lt;/strong&gt; The aim of this guideline is to provide a synopsis of best clinical practices in the rehabilitative care of adults recovering from stroke.&lt;br&gt;&lt;br&gt;&lt;strong&gt;METHODS:&lt;/strong&gt; Writing group members were nominated by the committee chair on the basis of their previous work in relevant topic areas and were approved by the American Heart Association (AHA) Stroke Council's Scientific Statement Oversight Committee and the AHA's Manuscript Oversight Committee. The panel reviewed relevant articles on adults using computerized searches of the medical literature through 2014. The evidence is organized within the context of the AHA framework and is classified according to the joint AHA/American College of Cardiology and supplementary AHA methods of classifying the level of certainty and the class and level of evidence. The document underwent extensive AHA internal and external peer review, Stroke Council Leadership review, and Scientific Statements Oversight Committee review before consideration and approval by the AHA Science Advisory and Coordinating Committee.&lt;br&gt;&lt;br&gt;&lt;strong&gt;RESULTS:&lt;/strong&gt; Stroke rehabilitation requires a sustained and coordinated effort from a large team, including the patient and his or her goals, family and friends, other caregivers (eg, personal care attendants), physicians, nurses, physical and occupational therapists, speech-language pathologists, recreation therapists, psychologists, nutritionists, social workers, and others. Communication and coordination among these team members are paramount in maximizing the effectiveness and efficiency of rehabilitation and underlie this entire guideline. Without communication and coordination, isolated efforts to rehabilitate the stroke survivor are unlikely to achieve their full potential.&lt;br&gt;&lt;br&gt;&lt;strong&gt;CONCLUSIONS:&lt;/strong&gt; As systems of care evolve in response to healthcare reform efforts, postacute care and rehabilitation are often considered a costly area of care to be trimmed but without recognition of their clinical impact and ability to reduce the risk of downstream medical morbidity resulting from immobility, depression, loss of autonomy, and reduced functional independence. The provision of comprehensive rehabilitation programs with adequate resources, dose, and duration is an essential aspect of stroke care and should be a priority in these redesign efforts. (Stroke.2016;47:e98-e169. DOI: 10.1161/STR.0000000000000098.).&lt;br&gt;&lt;br&gt;© 2016 American Heart Association, Inc.","author":[{"family":"Winstein","given":"Carolee J"},{"family":"Stein","given":"Joel"},{"family":"Arena","given":"Ross"},{"family":"Bates","given":"Barbara"},{"family":"Cherney","given":"Leora R"},{"family":"Cramer","given":"Steven C"},{"family":"Deruyter","given":"Frank"},{"family":"Eng","given":"Janice J"},{"family":"Fisher","given":"Beth"},{"family":"Harvey","given":"Richard L"},{"family":"Lang","given":"Catherine E"},{"family":"MacKay-Lyons","given":"Marilyn"},{"family":"Ottenbacher","given":"Kenneth J"},{"family":"Pugh","given":"Sue"},{"family":"Reeves","given":"Mathew J"},{"family":"Richards","given":"Lorie G"},{"family":"Stiers","given":"William"},{"family":"Zorowitz","given":"Richard D"},{"family":"American Heart Association Stroke Council, Council on Cardiovascular and Stroke Nursing, Council on Clinical Cardiology, and Council on Quality of Care and Outcomes Research"}],"authorYearDisplayFormat":false,"citation-label":"2006108","container-title":"Stroke","container-title-short":"Stroke","id":"2006108","invisible":false,"issue":"6","issued":{"date-parts":[["2016","6"]]},"journalAbbreviation":"Stroke","page":"e98-e169","suppress-author":false,"title":"Guidelines for adult stroke rehabilitation and recovery: A guideline for healthcare professionals from the american heart association/american stroke association.","type":"article-journal","volume":"47"}]</w:instrText>
      </w:r>
      <w:r w:rsidR="00005273">
        <w:rPr>
          <w:rFonts w:ascii="Arial" w:hAnsi="Arial" w:cs="Arial"/>
          <w:color w:val="000000" w:themeColor="text1"/>
        </w:rPr>
        <w:fldChar w:fldCharType="separate"/>
      </w:r>
      <w:r w:rsidR="00EB6899" w:rsidRPr="00EB6899">
        <w:rPr>
          <w:rFonts w:ascii="Arial" w:hAnsi="Arial" w:cs="Arial"/>
          <w:noProof/>
          <w:color w:val="000000" w:themeColor="text1"/>
          <w:vertAlign w:val="superscript"/>
        </w:rPr>
        <w:t>5,6,38</w:t>
      </w:r>
      <w:r w:rsidR="00005273">
        <w:rPr>
          <w:rFonts w:ascii="Arial" w:hAnsi="Arial" w:cs="Arial"/>
          <w:color w:val="000000" w:themeColor="text1"/>
        </w:rPr>
        <w:fldChar w:fldCharType="end"/>
      </w:r>
      <w:r w:rsidR="00005273">
        <w:rPr>
          <w:rFonts w:ascii="Arial" w:hAnsi="Arial" w:cs="Arial"/>
          <w:color w:val="000000" w:themeColor="text1"/>
        </w:rPr>
        <w:t xml:space="preserve"> </w:t>
      </w:r>
      <w:r w:rsidR="00251012">
        <w:rPr>
          <w:rFonts w:ascii="Arial" w:hAnsi="Arial" w:cs="Arial"/>
          <w:color w:val="000000" w:themeColor="text1"/>
        </w:rPr>
        <w:t>With malnutrition and frailty being significant markers for poor prognosis and death in these elderly patients, appropriate recommendations as well as referrals are important to make timely behavior changes.</w:t>
      </w:r>
      <w:r w:rsidR="00251012">
        <w:rPr>
          <w:rFonts w:ascii="Arial" w:hAnsi="Arial" w:cs="Arial"/>
          <w:color w:val="000000" w:themeColor="text1"/>
        </w:rPr>
        <w:fldChar w:fldCharType="begin"/>
      </w:r>
      <w:r w:rsidR="00EB6899">
        <w:rPr>
          <w:rFonts w:ascii="Arial" w:hAnsi="Arial" w:cs="Arial"/>
          <w:color w:val="000000" w:themeColor="text1"/>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00251012">
        <w:rPr>
          <w:rFonts w:ascii="Arial" w:hAnsi="Arial" w:cs="Arial"/>
          <w:color w:val="000000" w:themeColor="text1"/>
        </w:rPr>
        <w:fldChar w:fldCharType="separate"/>
      </w:r>
      <w:r w:rsidR="00EB6899" w:rsidRPr="00EB6899">
        <w:rPr>
          <w:rFonts w:ascii="Arial" w:hAnsi="Arial" w:cs="Arial"/>
          <w:noProof/>
          <w:color w:val="000000" w:themeColor="text1"/>
          <w:vertAlign w:val="superscript"/>
        </w:rPr>
        <w:t>1</w:t>
      </w:r>
      <w:r w:rsidR="00251012">
        <w:rPr>
          <w:rFonts w:ascii="Arial" w:hAnsi="Arial" w:cs="Arial"/>
          <w:color w:val="000000" w:themeColor="text1"/>
        </w:rPr>
        <w:fldChar w:fldCharType="end"/>
      </w:r>
      <w:r w:rsidR="00251012">
        <w:rPr>
          <w:rFonts w:ascii="Arial" w:hAnsi="Arial" w:cs="Arial"/>
          <w:color w:val="000000" w:themeColor="text1"/>
        </w:rPr>
        <w:t xml:space="preserve"> </w:t>
      </w:r>
      <w:r w:rsidR="000011BA" w:rsidRPr="00CF09D0">
        <w:rPr>
          <w:rFonts w:ascii="Arial" w:hAnsi="Arial" w:cs="Arial"/>
          <w:color w:val="000000" w:themeColor="text1"/>
        </w:rPr>
        <w:t>Referral to dietitian as needed for more specific/detailed diet guidance and intervention</w:t>
      </w:r>
      <w:r>
        <w:rPr>
          <w:rFonts w:ascii="Arial" w:hAnsi="Arial" w:cs="Arial"/>
          <w:color w:val="000000" w:themeColor="text1"/>
        </w:rPr>
        <w:t xml:space="preserve"> as well as possibly a </w:t>
      </w:r>
      <w:r w:rsidRPr="00C25782">
        <w:rPr>
          <w:rFonts w:ascii="Arial" w:hAnsi="Arial" w:cs="Arial"/>
          <w:color w:val="000000" w:themeColor="text1"/>
        </w:rPr>
        <w:t>speech therapist, social worker, mental health professional</w:t>
      </w:r>
      <w:r>
        <w:rPr>
          <w:rFonts w:ascii="Arial" w:hAnsi="Arial" w:cs="Arial"/>
          <w:color w:val="000000" w:themeColor="text1"/>
        </w:rPr>
        <w:t xml:space="preserve">, or dentist, depending on the nature of the issue. </w:t>
      </w:r>
    </w:p>
    <w:p w:rsidR="000011BA" w:rsidRPr="00CF09D0" w:rsidRDefault="000011BA" w:rsidP="000011BA">
      <w:pPr>
        <w:ind w:left="720"/>
        <w:rPr>
          <w:rFonts w:ascii="Arial" w:hAnsi="Arial" w:cs="Arial"/>
          <w:b/>
          <w:color w:val="000000" w:themeColor="text1"/>
        </w:rPr>
      </w:pPr>
      <w:r w:rsidRPr="00CF09D0">
        <w:rPr>
          <w:rFonts w:ascii="Arial" w:hAnsi="Arial" w:cs="Arial"/>
          <w:b/>
          <w:color w:val="000000" w:themeColor="text1"/>
        </w:rPr>
        <w:t>Activity/Mobility:</w:t>
      </w:r>
    </w:p>
    <w:p w:rsidR="00251012" w:rsidRPr="00251012" w:rsidRDefault="00251012" w:rsidP="000011BA">
      <w:pPr>
        <w:pStyle w:val="ListParagraph"/>
        <w:numPr>
          <w:ilvl w:val="0"/>
          <w:numId w:val="9"/>
        </w:numPr>
        <w:rPr>
          <w:rFonts w:ascii="Arial" w:hAnsi="Arial" w:cs="Arial"/>
          <w:b/>
          <w:color w:val="000000" w:themeColor="text1"/>
        </w:rPr>
      </w:pPr>
      <w:r>
        <w:rPr>
          <w:rFonts w:ascii="Arial" w:hAnsi="Arial" w:cs="Arial"/>
          <w:color w:val="000000" w:themeColor="text1"/>
        </w:rPr>
        <w:lastRenderedPageBreak/>
        <w:t>Information:</w:t>
      </w:r>
    </w:p>
    <w:p w:rsidR="000011BA" w:rsidRPr="00CF09D0" w:rsidRDefault="000011BA" w:rsidP="00251012">
      <w:pPr>
        <w:pStyle w:val="ListParagraph"/>
        <w:numPr>
          <w:ilvl w:val="1"/>
          <w:numId w:val="9"/>
        </w:numPr>
        <w:rPr>
          <w:rFonts w:ascii="Arial" w:hAnsi="Arial" w:cs="Arial"/>
          <w:b/>
          <w:color w:val="000000" w:themeColor="text1"/>
        </w:rPr>
      </w:pPr>
      <w:r w:rsidRPr="00CF09D0">
        <w:rPr>
          <w:rFonts w:ascii="Arial" w:hAnsi="Arial" w:cs="Arial"/>
          <w:color w:val="000000" w:themeColor="text1"/>
        </w:rPr>
        <w:t xml:space="preserve">Silver Sneakers programs - </w:t>
      </w:r>
      <w:hyperlink r:id="rId9" w:history="1">
        <w:r w:rsidRPr="00CF09D0">
          <w:rPr>
            <w:rStyle w:val="Hyperlink"/>
            <w:rFonts w:ascii="Arial" w:hAnsi="Arial" w:cs="Arial"/>
          </w:rPr>
          <w:t>https://boomerbenefits.com/silver-sneakers-medicare/</w:t>
        </w:r>
      </w:hyperlink>
    </w:p>
    <w:p w:rsidR="000011BA" w:rsidRPr="00CF09D0" w:rsidRDefault="000011BA" w:rsidP="00251012">
      <w:pPr>
        <w:pStyle w:val="ListParagraph"/>
        <w:numPr>
          <w:ilvl w:val="1"/>
          <w:numId w:val="9"/>
        </w:numPr>
        <w:rPr>
          <w:rFonts w:ascii="Arial" w:hAnsi="Arial" w:cs="Arial"/>
          <w:b/>
          <w:color w:val="000000" w:themeColor="text1"/>
        </w:rPr>
      </w:pPr>
      <w:r w:rsidRPr="00CF09D0">
        <w:rPr>
          <w:rFonts w:ascii="Arial" w:hAnsi="Arial" w:cs="Arial"/>
          <w:color w:val="000000" w:themeColor="text1"/>
        </w:rPr>
        <w:t xml:space="preserve">Balance Programs (Tai-Chi, Yoga, Matter of Balance, dance, etc.) - </w:t>
      </w:r>
      <w:hyperlink r:id="rId10" w:history="1">
        <w:r w:rsidRPr="00CF09D0">
          <w:rPr>
            <w:rStyle w:val="Hyperlink"/>
            <w:rFonts w:ascii="Arial" w:hAnsi="Arial" w:cs="Arial"/>
          </w:rPr>
          <w:t>https://www.ncoa.org/healthy-aging/falls-prevention/falls-prevention-programs-for-older-adults-2/</w:t>
        </w:r>
      </w:hyperlink>
    </w:p>
    <w:p w:rsidR="000011BA" w:rsidRPr="00F913B7" w:rsidRDefault="00251012" w:rsidP="00F913B7">
      <w:pPr>
        <w:pStyle w:val="ListParagraph"/>
        <w:numPr>
          <w:ilvl w:val="0"/>
          <w:numId w:val="9"/>
        </w:numPr>
        <w:rPr>
          <w:rFonts w:ascii="Arial" w:hAnsi="Arial" w:cs="Arial"/>
          <w:b/>
          <w:color w:val="000000" w:themeColor="text1"/>
        </w:rPr>
      </w:pPr>
      <w:r>
        <w:rPr>
          <w:rFonts w:ascii="Arial" w:hAnsi="Arial" w:cs="Arial"/>
          <w:color w:val="000000" w:themeColor="text1"/>
        </w:rPr>
        <w:t>As described at length above, activity, mobility, and participation limitations are common in patients after a stroke. This puts already at-risk patients at an even greater risk of complications due to adoption of a sedentary lifestyle.</w:t>
      </w:r>
      <w:r>
        <w:rPr>
          <w:rFonts w:ascii="Arial" w:hAnsi="Arial" w:cs="Arial"/>
          <w:color w:val="000000" w:themeColor="text1"/>
        </w:rPr>
        <w:fldChar w:fldCharType="begin"/>
      </w:r>
      <w:r w:rsidR="00EB6899">
        <w:rPr>
          <w:rFonts w:ascii="Arial" w:hAnsi="Arial" w:cs="Arial"/>
          <w:color w:val="000000" w:themeColor="text1"/>
        </w:rPr>
        <w:instrText>ADDIN F1000_CSL_CITATION&lt;~#@#~&gt;[{"DOI":"10.1161/STR.0000000000000022","First":false,"Last":false,"PMID":"24846875","abstract":"&lt;strong&gt;PURPOSE:&lt;/strong&gt; This scientific statement provides an overview of the evidence on physical activity and exercise recommendations for stroke survivors. Evidence suggests that stroke survivors experience physical deconditioning and lead sedentary lifestyles. Therefore, this updated scientific statement serves as an overall guide for practitioners to gain a better understanding of the benefits of physical activity and recommendations for prescribing exercise for stroke survivors across all stages of recovery.&lt;br&gt;&lt;br&gt;&lt;strong&gt;METHODS:&lt;/strong&gt; Members of the writing group were appointed by the American Heart Association Stroke Council's Scientific Statement Oversight Committee and the American Heart Association's Manuscript Oversight Committee. The writers used systematic literature reviews, references to published clinical and epidemiology studies, morbidity and mortality reports, clinical and public health guidelines, authoritative statements, personal files, and expert opinion to summarize existing evidence and indicate gaps in current knowledge.&lt;br&gt;&lt;br&gt;&lt;strong&gt;RESULTS:&lt;/strong&gt; Physical inactivity after stroke is highly prevalent. The assessed body of evidence clearly supports the use of exercise training (both aerobic and strength training) for stroke survivors. Exercise training improves functional capacity, the ability to perform activities of daily living, and quality of life, and it reduces the risk for subsequent cardiovascular events. Physical activity goals and exercise prescription for stroke survivors need to be customized for the individual to maximize long-term adherence.&lt;br&gt;&lt;br&gt;&lt;strong&gt;CONCLUSIONS:&lt;/strong&gt; The recommendation from this writing group is that physical activity and exercise prescription should be incorporated into the management of stroke survivors. The promotion of physical activity in stroke survivors should emphasize low- to moderate-intensity aerobic activity, muscle-strengthening activity, reduction of sedentary behavior, and risk management for secondary prevention of stroke.&lt;br&gt;&lt;br&gt;© 2014 American Heart Association, Inc.","author":[{"family":"Billinger","given":"Sandra A"},{"family":"Arena","given":"Ross"},{"family":"Bernhardt","given":"Julie"},{"family":"Eng","given":"Janice J"},{"family":"Franklin","given":"Barry A"},{"family":"Johnson","given":"Cheryl Mortag"},{"family":"MacKay-Lyons","given":"Marilyn"},{"family":"Macko","given":"Richard F"},{"family":"Mead","given":"Gillian E"},{"family":"Roth","given":"Elliot J"},{"family":"Shaughnessy","given":"Marianne"},{"family":"Tang","given":"Ada"},{"family":"American Heart Association Stroke Council"},{"family":"Council on Cardiovascular and Stroke Nursing"},{"family":"Council on Lifestyle and Cardiometabolic Health"},{"family":"Council on Epidemiology and Prevention"},{"family":"Council on Clinical Cardiology"}],"authorYearDisplayFormat":false,"citation-label":"1947258","container-title":"Stroke","container-title-short":"Stroke","id":"1947258","invisible":false,"issue":"8","issued":{"date-parts":[["2014","8"]]},"journalAbbreviation":"Stroke","page":"2532-2553","suppress-author":false,"title":"Physical activity and exercise recommendations for stroke survivors: a statement for healthcare professionals from the American Heart Association/American Stroke Association.","type":"article-journal","volume":"45"},{"DOI":"10.1586/14737175.7.10.1417","First":false,"Last":false,"PMCID":"PMC3196659","PMID":"17939776","abstract":"Stroke is a leading cause of long-term disability. Impairments resulting from stroke lead to persistent difficulties with walking and, subsequently, improved walking ability is one of the highest priorities for people living with a stroke. In addition, walking ability has important health implications in providing protective effects against secondary complications common after a stroke such as heart disease or osteoporosis. This paper systematically reviews common gait training strategies (neurodevelopmental techniques, muscle strengthening, treadmill training and intensive mobility exercises) to improve walking ability. The results (descriptive summaries as well as pooled effect sizes) from randomized controlled trials are presented and implications for optimal gait training strategies are discussed. Novel and emerging gait training strategies are highlighted and research directions proposed to enable the optimal recovery and maintenance of walking ability.","author":[{"family":"Eng","given":"Janice J"},{"family":"Tang","given":"Pei-Fang"}],"authorYearDisplayFormat":false,"citation-label":"2096484","container-title":"Expert Review of Neurotherapeutics","container-title-short":"Expert Rev. Neurother.","id":"2096484","invisible":false,"issue":"10","issued":{"date-parts":[["2007","10"]]},"journalAbbreviation":"Expert Rev. Neurother.","page":"1417-1436","suppress-author":false,"title":"Gait training strategies to optimize walking ability in people with stroke: a synthesis of the evidence.","type":"article-journal","volume":"7"},{"DOI":"10.1080/096382899297684","First":false,"Last":false,"PMID":"10381238","abstract":"&lt;strong&gt;PURPOSE:&lt;/strong&gt; Stroke is the most disabling chronic condition, newly affecting 35000 persons in Canada each year. Because of declining fatality, a growing number of persons will have to cope with stroke-related disability. The purpose of this paper is to describe the disabilities experienced by persons with stroke during the first year and explore the evolution of impairment, disability, handicap and health-related quality of life.&lt;br&gt;&lt;br&gt;&lt;strong&gt;SUBJECTS:&lt;/strong&gt; The data for this paper come from a series of longitudinal and cross-sectional studies, collectively known as the McGill Stroke Rehabilitation Research Program.&lt;br&gt;&lt;br&gt;&lt;strong&gt;RESULTS:&lt;/strong&gt; Within the first week post-stroke, getting out of bed and walking over a short distance, even with assistance, was a strong predictor of discharge home. Most of the improvement in measures of impairment and disability occurred during the first month and, by 3 months, there was still considerable room for improvement in all measures: 85% of persons were still impaired on gait speed, 78% had not reached age-specific norms for upper extremity function, 68% still demonstrated slow physical mobility, 37% needed some assistance with basic activities of daily living and 29% were still impaired on balance. By 1 year, 73% of persons scored the maximum for basic activities of daily living but 51 and 67% of persons reported their physical health and mental health to be lower than expected. Among a hardy group of stroke survivors, still living in the community 1 year post-stroke, the most striking area of difficulty was endurance, as measured by the 6 minute walk test. Those subjects well enough to complete this task (50% of sample) were able to walk, on average, only 250 metres, equivalent to 40% of their predicted ability. This series of snapshots taken at different points in time suggests that much of the improvement in impairment and disability occurs during the first month and then reaches a plateau. Handicap and quality of life continue to be issues later. Rehabilitation strategies need to consider the multifaceted nature of disablement, which in itself changes with time post-stroke.","author":[{"family":"Mayo","given":"N E"},{"family":"Wood-Dauphinee","given":"S"},{"family":"Ahmed","given":"S"},{"family":"Gordon","given":"C"},{"family":"Higgins","given":"J"},{"family":"McEwen","given":"S"},{"family":"Salbach","given":"N"}],"authorYearDisplayFormat":false,"citation-label":"2638381","container-title":"Disability and rehabilitation","container-title-short":"Disabil. Rehabil.","id":"2638381","invisible":false,"issue":"5-6","issued":{"date-parts":[["1999","6"]]},"journalAbbreviation":"Disabil. Rehabil.","page":"258-268","suppress-author":false,"title":"Disablement following stroke.","type":"article-journal","volume":"21"}]</w:instrText>
      </w:r>
      <w:r>
        <w:rPr>
          <w:rFonts w:ascii="Arial" w:hAnsi="Arial" w:cs="Arial"/>
          <w:color w:val="000000" w:themeColor="text1"/>
        </w:rPr>
        <w:fldChar w:fldCharType="separate"/>
      </w:r>
      <w:r w:rsidR="00EB6899" w:rsidRPr="00EB6899">
        <w:rPr>
          <w:rFonts w:ascii="Arial" w:hAnsi="Arial" w:cs="Arial"/>
          <w:noProof/>
          <w:color w:val="000000" w:themeColor="text1"/>
          <w:vertAlign w:val="superscript"/>
        </w:rPr>
        <w:t>5,6,19</w:t>
      </w:r>
      <w:r>
        <w:rPr>
          <w:rFonts w:ascii="Arial" w:hAnsi="Arial" w:cs="Arial"/>
          <w:color w:val="000000" w:themeColor="text1"/>
        </w:rPr>
        <w:fldChar w:fldCharType="end"/>
      </w:r>
      <w:r w:rsidR="00F913B7">
        <w:rPr>
          <w:rFonts w:ascii="Arial" w:hAnsi="Arial" w:cs="Arial"/>
          <w:color w:val="000000" w:themeColor="text1"/>
        </w:rPr>
        <w:t xml:space="preserve"> Depending on limitations found during the examination through subjective reporting or functional measures, it is possible therapy for balance or gait training is indicated. Studies have consistently shown that consistent exercise improves functional outcomes after a stroke, making it all the more important to find something that works for these patients long-term.</w:t>
      </w:r>
      <w:r w:rsidR="009E33F5">
        <w:rPr>
          <w:rFonts w:ascii="Arial" w:hAnsi="Arial" w:cs="Arial"/>
          <w:color w:val="000000" w:themeColor="text1"/>
        </w:rPr>
        <w:fldChar w:fldCharType="begin"/>
      </w:r>
      <w:r w:rsidR="00EB6899">
        <w:rPr>
          <w:rFonts w:ascii="Arial" w:hAnsi="Arial" w:cs="Arial"/>
          <w:color w:val="000000" w:themeColor="text1"/>
        </w:rPr>
        <w:instrText>ADDIN F1000_CSL_CITATION&lt;~#@#~&gt;[{"DOI":"10.1161/STR.0000000000000022","First":false,"Last":false,"PMID":"24846875","abstract":"&lt;strong&gt;PURPOSE:&lt;/strong&gt; This scientific statement provides an overview of the evidence on physical activity and exercise recommendations for stroke survivors. Evidence suggests that stroke survivors experience physical deconditioning and lead sedentary lifestyles. Therefore, this updated scientific statement serves as an overall guide for practitioners to gain a better understanding of the benefits of physical activity and recommendations for prescribing exercise for stroke survivors across all stages of recovery.&lt;br&gt;&lt;br&gt;&lt;strong&gt;METHODS:&lt;/strong&gt; Members of the writing group were appointed by the American Heart Association Stroke Council's Scientific Statement Oversight Committee and the American Heart Association's Manuscript Oversight Committee. The writers used systematic literature reviews, references to published clinical and epidemiology studies, morbidity and mortality reports, clinical and public health guidelines, authoritative statements, personal files, and expert opinion to summarize existing evidence and indicate gaps in current knowledge.&lt;br&gt;&lt;br&gt;&lt;strong&gt;RESULTS:&lt;/strong&gt; Physical inactivity after stroke is highly prevalent. The assessed body of evidence clearly supports the use of exercise training (both aerobic and strength training) for stroke survivors. Exercise training improves functional capacity, the ability to perform activities of daily living, and quality of life, and it reduces the risk for subsequent cardiovascular events. Physical activity goals and exercise prescription for stroke survivors need to be customized for the individual to maximize long-term adherence.&lt;br&gt;&lt;br&gt;&lt;strong&gt;CONCLUSIONS:&lt;/strong&gt; The recommendation from this writing group is that physical activity and exercise prescription should be incorporated into the management of stroke survivors. The promotion of physical activity in stroke survivors should emphasize low- to moderate-intensity aerobic activity, muscle-strengthening activity, reduction of sedentary behavior, and risk management for secondary prevention of stroke.&lt;br&gt;&lt;br&gt;© 2014 American Heart Association, Inc.","author":[{"family":"Billinger","given":"Sandra A"},{"family":"Arena","given":"Ross"},{"family":"Bernhardt","given":"Julie"},{"family":"Eng","given":"Janice J"},{"family":"Franklin","given":"Barry A"},{"family":"Johnson","given":"Cheryl Mortag"},{"family":"MacKay-Lyons","given":"Marilyn"},{"family":"Macko","given":"Richard F"},{"family":"Mead","given":"Gillian E"},{"family":"Roth","given":"Elliot J"},{"family":"Shaughnessy","given":"Marianne"},{"family":"Tang","given":"Ada"},{"family":"American Heart Association Stroke Council"},{"family":"Council on Cardiovascular and Stroke Nursing"},{"family":"Council on Lifestyle and Cardiometabolic Health"},{"family":"Council on Epidemiology and Prevention"},{"family":"Council on Clinical Cardiology"}],"authorYearDisplayFormat":false,"citation-label":"1947258","container-title":"Stroke","container-title-short":"Stroke","id":"1947258","invisible":false,"issue":"8","issued":{"date-parts":[["2014","8"]]},"journalAbbreviation":"Stroke","page":"2532-2553","suppress-author":false,"title":"Physical activity and exercise recommendations for stroke survivors: a statement for healthcare professionals from the American Heart Association/American Stroke Association.","type":"article-journal","volume":"45"}]</w:instrText>
      </w:r>
      <w:r w:rsidR="009E33F5">
        <w:rPr>
          <w:rFonts w:ascii="Arial" w:hAnsi="Arial" w:cs="Arial"/>
          <w:color w:val="000000" w:themeColor="text1"/>
        </w:rPr>
        <w:fldChar w:fldCharType="separate"/>
      </w:r>
      <w:r w:rsidR="00EB6899" w:rsidRPr="00EB6899">
        <w:rPr>
          <w:rFonts w:ascii="Arial" w:hAnsi="Arial" w:cs="Arial"/>
          <w:noProof/>
          <w:color w:val="000000" w:themeColor="text1"/>
          <w:vertAlign w:val="superscript"/>
        </w:rPr>
        <w:t>19</w:t>
      </w:r>
      <w:r w:rsidR="009E33F5">
        <w:rPr>
          <w:rFonts w:ascii="Arial" w:hAnsi="Arial" w:cs="Arial"/>
          <w:color w:val="000000" w:themeColor="text1"/>
        </w:rPr>
        <w:fldChar w:fldCharType="end"/>
      </w:r>
      <w:r w:rsidR="00F913B7">
        <w:rPr>
          <w:rFonts w:ascii="Arial" w:hAnsi="Arial" w:cs="Arial"/>
          <w:color w:val="000000" w:themeColor="text1"/>
        </w:rPr>
        <w:t xml:space="preserve"> Therefore, evidence-based programs such as Tai-Chi or Matter of Balance</w:t>
      </w:r>
      <w:r>
        <w:rPr>
          <w:rFonts w:ascii="Arial" w:hAnsi="Arial" w:cs="Arial"/>
          <w:color w:val="000000" w:themeColor="text1"/>
        </w:rPr>
        <w:t xml:space="preserve"> </w:t>
      </w:r>
      <w:r w:rsidR="00F913B7">
        <w:rPr>
          <w:rFonts w:ascii="Arial" w:hAnsi="Arial" w:cs="Arial"/>
          <w:color w:val="000000" w:themeColor="text1"/>
        </w:rPr>
        <w:t>can be great community resources for continued activity and exercise after completion of necessary therapy.</w:t>
      </w:r>
      <w:r w:rsidR="009E33F5">
        <w:rPr>
          <w:rFonts w:ascii="Arial" w:hAnsi="Arial" w:cs="Arial"/>
          <w:color w:val="000000" w:themeColor="text1"/>
        </w:rPr>
        <w:fldChar w:fldCharType="begin"/>
      </w:r>
      <w:r w:rsidR="00EB6899">
        <w:rPr>
          <w:rFonts w:ascii="Arial" w:hAnsi="Arial" w:cs="Arial"/>
          <w:color w:val="000000" w:themeColor="text1"/>
        </w:rPr>
        <w:instrText>ADDIN F1000_CSL_CITATION&lt;~#@#~&gt;[{"DOI":"10.1016/j.apmr.2014.01.001","First":false,"Last":false,"PMID":"24440643","abstract":"&lt;strong&gt;OBJECTIVE:&lt;/strong&gt; To examine the effect of a 12-week Tai Chi (TC) intervention on physical function and quality of life.&lt;br&gt;&lt;br&gt;&lt;strong&gt;DESIGN:&lt;/strong&gt; Single-blind, randomized controlled trial.&lt;br&gt;&lt;br&gt;&lt;strong&gt;SETTING:&lt;/strong&gt; General community.&lt;br&gt;&lt;br&gt;&lt;strong&gt;PARTICIPANTS:&lt;/strong&gt; Community-dwelling survivors of stroke (N=145; 47% women; mean age, 70y; time poststroke: 3y; ischemic stroke: 66%; hemiparesis: 73%) who were aged ≥50 years and were ≥3 months poststroke.&lt;br&gt;&lt;br&gt;&lt;strong&gt;INTERVENTIONS:&lt;/strong&gt; Yang style 24-posture short-form TC (n=53), strength and range of movement exercises (SS) (n=44), or usual care (UC) (n=48) for 12 weeks. The TC and SS groups attended a 1-hour class 3 times per week, whereas the UC group had weekly phone calls.&lt;br&gt;&lt;br&gt;&lt;strong&gt;MAIN OUTCOME MEASURES:&lt;/strong&gt; Physical function: Short Physical Performance Battery, fall rates, and 2-minute step test; quality of life: Medical Outcomes Study 36-Item Short-Form Health Survey, Center for Epidemiologic Studies Depression Scale, and Pittsburgh Sleep Quality Index.&lt;br&gt;&lt;br&gt;&lt;strong&gt;RESULTS:&lt;/strong&gt; During the intervention, TC participants had two thirds fewer falls (5 falls) than the SS (14 falls) and UC (15 falls) groups (χ(2)=5.6, P=.06). There was a significant group by time interaction for the 2-minute step test (F2,142=4.69, P&lt; .01). Post hoc tests indicated that the TC (t53=2.45, P=.02) and SS (t44=4.63, P&lt; .01) groups had significantly better aerobic endurance over time, though not in the UC group (t48=1.58, P=.12). Intervention adherence rates were 85%.&lt;br&gt;&lt;br&gt;&lt;strong&gt;CONCLUSIONS:&lt;/strong&gt; TC and SS led to improved aerobic endurance, and both are suitable community-based programs that may aid in stroke recovery and community reintegration. Our data suggest that a 12-week TC intervention was more effective in reducing fall rates than SS or UC interventions. Future studies examining the effectiveness of TC as a fall prevention strategy for community-dwelling survivors of stroke are recommended.&lt;br&gt;&lt;br&gt;Copyright © 2014 American Congress of Rehabilitation Medicine. Published by Elsevier Inc. All rights reserved.","author":[{"family":"Taylor-Piliae","given":"Ruth E"},{"family":"Hoke","given":"Tiffany M"},{"family":"Hepworth","given":"Joseph T"},{"family":"Latt","given":"L Daniel"},{"family":"Najafi","given":"Bijan"},{"family":"Coull","given":"Bruce M"}],"authorYearDisplayFormat":false,"citation-label":"1505406","container-title":"Archives of Physical Medicine and Rehabilitation","container-title-short":"Arch. Phys. Med. Rehabil.","id":"1505406","invisible":false,"issue":"5","issued":{"date-parts":[["2014","5"]]},"journalAbbreviation":"Arch. Phys. Med. Rehabil.","page":"816-824","suppress-author":false,"title":"Effect of Tai Chi on physical function, fall rates and quality of life among older stroke survivors.","type":"article-journal","volume":"95"},{"DOI":"10.5888/pcd12.150096","First":false,"Last":false,"PMCID":"PMC4584474","PMID":"26402047","abstract":"&lt;strong&gt;INTRODUCTION:&lt;/strong&gt; This study investigated the effects of the A Matter of Balance (MOB) program on falls and physical risk factors of falling among community-dwelling older adults living in Tampa, Florida, in 2013.&lt;br&gt;&lt;br&gt;&lt;strong&gt;METHODS:&lt;/strong&gt; A total of 110 adults (52 MOB, 58 comparison) were enrolled in this prospective cohort study. Data on falls, physical risk of falling, and other known risk factors of falling were collected at baseline and at the end of the program. Multivariate analysis of covariance with repeated measures and logistic regressions were used to investigate the effects of this program.&lt;br&gt;&lt;br&gt;&lt;strong&gt;RESULTS:&lt;/strong&gt; Participants in the MOB group were less likely to have had a fall and had significant improvements in their physical risk of falling compared with adults in the comparison group. No significant effects of the MOB program on recurrent falls or the number of falls reported were found.&lt;br&gt;&lt;br&gt;&lt;strong&gt;CONCLUSION:&lt;/strong&gt; This study contributes to our understanding of the MOB program and its effectiveness in reducing falls and the physical risk of falling among older adults. The findings support extended use of this program to reduce falls and physical risk of falling among older adults.","author":[{"family":"Chen","given":"Tuo-Yu"},{"family":"Edwards","given":"Jerri D"},{"family":"Janke","given":"Megan C"}],"authorYearDisplayFormat":false,"citation-label":"4437701","container-title":"Preventing Chronic Disease","container-title-short":"Prev. Chronic Dis.","id":"4437701","invisible":false,"issued":{"date-parts":[["2015","9","24"]]},"journalAbbreviation":"Prev. Chronic Dis.","page":"E157","suppress-author":false,"title":"The effects of the A matter of balance program on falls and physical risk of falls, tampa, florida, 2013.","type":"article-journal","volume":"12"},{"First":false,"Last":false,"author":[{"family":"Teixeira","given":"R"},{"family":"Perez","given":"L"},{"family":"Lambeck","given":"J"},{"family":"Neto","given":"F"}],"authorYearDisplayFormat":false,"citation-label":"4422188","container-title":"Physiotherapy","container-title-short":"Physiotherapy","id":"4422188","invisible":false,"issued":{"date-parts":[["2011"]]},"journalAbbreviation":"Physiotherapy","page":"eS654","suppress-author":false,"title":"The influence of ai chi on balance and fear of falling in older adults: A randomized clinical trial.","type":"article-journal","volume":"97"},{"DOI":"10.1002/14651858.CD004963.pub3","First":false,"Last":false,"PMID":"22071817","author":[{"family":"Howe","given":"Tracey E"},{"family":"Rochester","given":"Lynn"},{"family":"Neil","given":"Fiona"},{"family":"Skelton","given":"Dawn A"},{"family":"Ballinger","given":"Claire"}],"authorYearDisplayFormat":false,"citation-label":"656126","container-title":"Cochrane Database of Systematic Reviews","container-title-short":"Cochrane Database Syst. Rev.","id":"656126","invisible":false,"issue":"11","issued":{"date-parts":[["2011","11","9"]]},"journalAbbreviation":"Cochrane Database Syst. Rev.","page":"CD004963","suppress-author":false,"title":"Exercise for improving balance in older people.","type":"article-journal"}]</w:instrText>
      </w:r>
      <w:r w:rsidR="009E33F5">
        <w:rPr>
          <w:rFonts w:ascii="Arial" w:hAnsi="Arial" w:cs="Arial"/>
          <w:color w:val="000000" w:themeColor="text1"/>
        </w:rPr>
        <w:fldChar w:fldCharType="separate"/>
      </w:r>
      <w:r w:rsidR="00EB6899" w:rsidRPr="00EB6899">
        <w:rPr>
          <w:rFonts w:ascii="Arial" w:hAnsi="Arial" w:cs="Arial"/>
          <w:noProof/>
          <w:color w:val="000000" w:themeColor="text1"/>
          <w:vertAlign w:val="superscript"/>
        </w:rPr>
        <w:t>39–42</w:t>
      </w:r>
      <w:r w:rsidR="009E33F5">
        <w:rPr>
          <w:rFonts w:ascii="Arial" w:hAnsi="Arial" w:cs="Arial"/>
          <w:color w:val="000000" w:themeColor="text1"/>
        </w:rPr>
        <w:fldChar w:fldCharType="end"/>
      </w:r>
      <w:r w:rsidR="00F913B7">
        <w:rPr>
          <w:rFonts w:ascii="Arial" w:hAnsi="Arial" w:cs="Arial"/>
          <w:color w:val="000000" w:themeColor="text1"/>
        </w:rPr>
        <w:t xml:space="preserve"> </w:t>
      </w:r>
      <w:r w:rsidR="000011BA" w:rsidRPr="00251012">
        <w:rPr>
          <w:rFonts w:ascii="Arial" w:hAnsi="Arial" w:cs="Arial"/>
          <w:color w:val="000000" w:themeColor="text1"/>
        </w:rPr>
        <w:t xml:space="preserve">More specific referrals </w:t>
      </w:r>
      <w:r w:rsidR="00F913B7">
        <w:rPr>
          <w:rFonts w:ascii="Arial" w:hAnsi="Arial" w:cs="Arial"/>
          <w:color w:val="000000" w:themeColor="text1"/>
        </w:rPr>
        <w:t xml:space="preserve">can be made </w:t>
      </w:r>
      <w:r w:rsidR="000011BA" w:rsidRPr="00251012">
        <w:rPr>
          <w:rFonts w:ascii="Arial" w:hAnsi="Arial" w:cs="Arial"/>
          <w:color w:val="000000" w:themeColor="text1"/>
        </w:rPr>
        <w:t xml:space="preserve">depending on geographic location and patient ability, </w:t>
      </w:r>
      <w:r w:rsidR="00F913B7">
        <w:rPr>
          <w:rFonts w:ascii="Arial" w:hAnsi="Arial" w:cs="Arial"/>
          <w:color w:val="000000" w:themeColor="text1"/>
        </w:rPr>
        <w:t xml:space="preserve">but the </w:t>
      </w:r>
      <w:r w:rsidR="000011BA" w:rsidRPr="00251012">
        <w:rPr>
          <w:rFonts w:ascii="Arial" w:hAnsi="Arial" w:cs="Arial"/>
          <w:color w:val="000000" w:themeColor="text1"/>
        </w:rPr>
        <w:t xml:space="preserve">goal is community engagement </w:t>
      </w:r>
      <w:r w:rsidR="00F913B7">
        <w:rPr>
          <w:rFonts w:ascii="Arial" w:hAnsi="Arial" w:cs="Arial"/>
          <w:color w:val="000000" w:themeColor="text1"/>
        </w:rPr>
        <w:t xml:space="preserve">in a </w:t>
      </w:r>
      <w:r w:rsidR="000011BA" w:rsidRPr="00251012">
        <w:rPr>
          <w:rFonts w:ascii="Arial" w:hAnsi="Arial" w:cs="Arial"/>
          <w:color w:val="000000" w:themeColor="text1"/>
        </w:rPr>
        <w:t xml:space="preserve">program that encourages </w:t>
      </w:r>
      <w:r w:rsidR="00F913B7">
        <w:rPr>
          <w:rFonts w:ascii="Arial" w:hAnsi="Arial" w:cs="Arial"/>
          <w:color w:val="000000" w:themeColor="text1"/>
        </w:rPr>
        <w:t xml:space="preserve">continued </w:t>
      </w:r>
      <w:r w:rsidR="000011BA" w:rsidRPr="00251012">
        <w:rPr>
          <w:rFonts w:ascii="Arial" w:hAnsi="Arial" w:cs="Arial"/>
          <w:color w:val="000000" w:themeColor="text1"/>
        </w:rPr>
        <w:t>activity.</w:t>
      </w:r>
      <w:r w:rsidR="00F913B7">
        <w:rPr>
          <w:rFonts w:ascii="Arial" w:hAnsi="Arial" w:cs="Arial"/>
          <w:color w:val="000000" w:themeColor="text1"/>
        </w:rPr>
        <w:t xml:space="preserve"> Possible r</w:t>
      </w:r>
      <w:r w:rsidR="000011BA" w:rsidRPr="00F913B7">
        <w:rPr>
          <w:rFonts w:ascii="Arial" w:hAnsi="Arial" w:cs="Arial"/>
          <w:color w:val="000000" w:themeColor="text1"/>
        </w:rPr>
        <w:t>eferral</w:t>
      </w:r>
      <w:r w:rsidR="00F913B7">
        <w:rPr>
          <w:rFonts w:ascii="Arial" w:hAnsi="Arial" w:cs="Arial"/>
          <w:color w:val="000000" w:themeColor="text1"/>
        </w:rPr>
        <w:t>s could include:</w:t>
      </w:r>
      <w:r w:rsidR="000011BA" w:rsidRPr="00F913B7">
        <w:rPr>
          <w:rFonts w:ascii="Arial" w:hAnsi="Arial" w:cs="Arial"/>
          <w:color w:val="000000" w:themeColor="text1"/>
        </w:rPr>
        <w:t xml:space="preserve"> PT</w:t>
      </w:r>
      <w:r w:rsidR="00F913B7">
        <w:rPr>
          <w:rFonts w:ascii="Arial" w:hAnsi="Arial" w:cs="Arial"/>
          <w:color w:val="000000" w:themeColor="text1"/>
        </w:rPr>
        <w:t>,</w:t>
      </w:r>
      <w:r w:rsidR="000011BA" w:rsidRPr="00F913B7">
        <w:rPr>
          <w:rFonts w:ascii="Arial" w:hAnsi="Arial" w:cs="Arial"/>
          <w:color w:val="000000" w:themeColor="text1"/>
        </w:rPr>
        <w:t xml:space="preserve"> to address mobility/balance limitations t</w:t>
      </w:r>
      <w:r w:rsidR="00F913B7">
        <w:rPr>
          <w:rFonts w:ascii="Arial" w:hAnsi="Arial" w:cs="Arial"/>
          <w:color w:val="000000" w:themeColor="text1"/>
        </w:rPr>
        <w:t>hat may be restricting activity;</w:t>
      </w:r>
      <w:r w:rsidR="000011BA" w:rsidRPr="00F913B7">
        <w:rPr>
          <w:rFonts w:ascii="Arial" w:hAnsi="Arial" w:cs="Arial"/>
          <w:color w:val="000000" w:themeColor="text1"/>
        </w:rPr>
        <w:t xml:space="preserve"> personal trainer</w:t>
      </w:r>
      <w:r w:rsidR="00F913B7">
        <w:rPr>
          <w:rFonts w:ascii="Arial" w:hAnsi="Arial" w:cs="Arial"/>
          <w:color w:val="000000" w:themeColor="text1"/>
        </w:rPr>
        <w:t>s,</w:t>
      </w:r>
      <w:r w:rsidR="000011BA" w:rsidRPr="00F913B7">
        <w:rPr>
          <w:rFonts w:ascii="Arial" w:hAnsi="Arial" w:cs="Arial"/>
          <w:color w:val="000000" w:themeColor="text1"/>
        </w:rPr>
        <w:t xml:space="preserve"> </w:t>
      </w:r>
      <w:r w:rsidR="00F913B7">
        <w:rPr>
          <w:rFonts w:ascii="Arial" w:hAnsi="Arial" w:cs="Arial"/>
          <w:color w:val="000000" w:themeColor="text1"/>
        </w:rPr>
        <w:t>to</w:t>
      </w:r>
      <w:r w:rsidR="000011BA" w:rsidRPr="00F913B7">
        <w:rPr>
          <w:rFonts w:ascii="Arial" w:hAnsi="Arial" w:cs="Arial"/>
          <w:color w:val="000000" w:themeColor="text1"/>
        </w:rPr>
        <w:t xml:space="preserve"> guide </w:t>
      </w:r>
      <w:r w:rsidR="00F913B7">
        <w:rPr>
          <w:rFonts w:ascii="Arial" w:hAnsi="Arial" w:cs="Arial"/>
          <w:color w:val="000000" w:themeColor="text1"/>
        </w:rPr>
        <w:t>activity if PT is not necessary; or DME provider, to advise</w:t>
      </w:r>
      <w:r w:rsidR="0008240B">
        <w:rPr>
          <w:rFonts w:ascii="Arial" w:hAnsi="Arial" w:cs="Arial"/>
          <w:color w:val="000000" w:themeColor="text1"/>
        </w:rPr>
        <w:t xml:space="preserve">/modify </w:t>
      </w:r>
      <w:r w:rsidR="000011BA" w:rsidRPr="00F913B7">
        <w:rPr>
          <w:rFonts w:ascii="Arial" w:hAnsi="Arial" w:cs="Arial"/>
          <w:color w:val="000000" w:themeColor="text1"/>
        </w:rPr>
        <w:t xml:space="preserve">equipment </w:t>
      </w:r>
      <w:r w:rsidR="0008240B">
        <w:rPr>
          <w:rFonts w:ascii="Arial" w:hAnsi="Arial" w:cs="Arial"/>
          <w:color w:val="000000" w:themeColor="text1"/>
        </w:rPr>
        <w:t xml:space="preserve">if that </w:t>
      </w:r>
      <w:r w:rsidR="000011BA" w:rsidRPr="00F913B7">
        <w:rPr>
          <w:rFonts w:ascii="Arial" w:hAnsi="Arial" w:cs="Arial"/>
          <w:color w:val="000000" w:themeColor="text1"/>
        </w:rPr>
        <w:t>is limiting factor</w:t>
      </w:r>
      <w:r w:rsidR="009E33F5">
        <w:rPr>
          <w:rFonts w:ascii="Arial" w:hAnsi="Arial" w:cs="Arial"/>
          <w:color w:val="000000" w:themeColor="text1"/>
        </w:rPr>
        <w:t>.</w:t>
      </w:r>
    </w:p>
    <w:p w:rsidR="00730921" w:rsidRPr="00CF09D0" w:rsidRDefault="00730921" w:rsidP="00730921">
      <w:pPr>
        <w:ind w:left="720"/>
        <w:rPr>
          <w:rFonts w:ascii="Arial" w:hAnsi="Arial" w:cs="Arial"/>
          <w:b/>
          <w:color w:val="000000" w:themeColor="text1"/>
        </w:rPr>
      </w:pPr>
      <w:r w:rsidRPr="00CF09D0">
        <w:rPr>
          <w:rFonts w:ascii="Arial" w:hAnsi="Arial" w:cs="Arial"/>
          <w:b/>
          <w:color w:val="000000" w:themeColor="text1"/>
        </w:rPr>
        <w:t>Social/Cognitive/Emotional:</w:t>
      </w:r>
    </w:p>
    <w:p w:rsidR="00E6558E" w:rsidRPr="00E6558E" w:rsidRDefault="00E6558E" w:rsidP="00730921">
      <w:pPr>
        <w:pStyle w:val="ListParagraph"/>
        <w:numPr>
          <w:ilvl w:val="0"/>
          <w:numId w:val="9"/>
        </w:numPr>
        <w:rPr>
          <w:rFonts w:ascii="Arial" w:hAnsi="Arial" w:cs="Arial"/>
          <w:b/>
          <w:color w:val="000000" w:themeColor="text1"/>
        </w:rPr>
      </w:pPr>
      <w:r>
        <w:rPr>
          <w:rFonts w:ascii="Arial" w:hAnsi="Arial" w:cs="Arial"/>
          <w:color w:val="000000" w:themeColor="text1"/>
        </w:rPr>
        <w:t>Information:</w:t>
      </w:r>
    </w:p>
    <w:p w:rsidR="00730921" w:rsidRPr="00E651B2" w:rsidRDefault="00E6558E" w:rsidP="00E6558E">
      <w:pPr>
        <w:pStyle w:val="ListParagraph"/>
        <w:numPr>
          <w:ilvl w:val="1"/>
          <w:numId w:val="9"/>
        </w:numPr>
        <w:rPr>
          <w:rFonts w:ascii="Arial" w:hAnsi="Arial" w:cs="Arial"/>
          <w:b/>
          <w:color w:val="000000" w:themeColor="text1"/>
        </w:rPr>
      </w:pPr>
      <w:r>
        <w:rPr>
          <w:rFonts w:ascii="Arial" w:hAnsi="Arial" w:cs="Arial"/>
          <w:color w:val="000000" w:themeColor="text1"/>
        </w:rPr>
        <w:t>Depression in Older Adults</w:t>
      </w:r>
      <w:r w:rsidR="00730921" w:rsidRPr="00CF09D0">
        <w:rPr>
          <w:rFonts w:ascii="Arial" w:hAnsi="Arial" w:cs="Arial"/>
          <w:color w:val="000000" w:themeColor="text1"/>
        </w:rPr>
        <w:t xml:space="preserve">- </w:t>
      </w:r>
      <w:hyperlink r:id="rId11" w:history="1">
        <w:r w:rsidR="00730921" w:rsidRPr="00CF09D0">
          <w:rPr>
            <w:rStyle w:val="Hyperlink"/>
            <w:rFonts w:ascii="Arial" w:hAnsi="Arial" w:cs="Arial"/>
          </w:rPr>
          <w:t>https://www.helpguide.org/articles/depression/depression-in-older-adults.htm</w:t>
        </w:r>
      </w:hyperlink>
    </w:p>
    <w:p w:rsidR="00E651B2" w:rsidRPr="00E651B2" w:rsidRDefault="00E651B2" w:rsidP="00E651B2">
      <w:pPr>
        <w:pStyle w:val="ListParagraph"/>
        <w:numPr>
          <w:ilvl w:val="1"/>
          <w:numId w:val="9"/>
        </w:numPr>
        <w:rPr>
          <w:rFonts w:ascii="Arial" w:hAnsi="Arial" w:cs="Arial"/>
          <w:b/>
          <w:color w:val="000000" w:themeColor="text1"/>
        </w:rPr>
      </w:pPr>
      <w:r w:rsidRPr="00CF09D0">
        <w:rPr>
          <w:rFonts w:ascii="Arial" w:hAnsi="Arial" w:cs="Arial"/>
          <w:color w:val="000000" w:themeColor="text1"/>
        </w:rPr>
        <w:t>Local Senior Center (provide opportunities for networking, social engagement, and activities)</w:t>
      </w:r>
    </w:p>
    <w:p w:rsidR="00730921" w:rsidRPr="00E6558E" w:rsidRDefault="00E6558E" w:rsidP="00B90AE8">
      <w:pPr>
        <w:pStyle w:val="ListParagraph"/>
        <w:numPr>
          <w:ilvl w:val="0"/>
          <w:numId w:val="9"/>
        </w:numPr>
        <w:rPr>
          <w:rFonts w:ascii="Arial" w:hAnsi="Arial" w:cs="Arial"/>
          <w:b/>
          <w:color w:val="000000" w:themeColor="text1"/>
        </w:rPr>
      </w:pPr>
      <w:r w:rsidRPr="00E6558E">
        <w:rPr>
          <w:rFonts w:ascii="Arial" w:hAnsi="Arial" w:cs="Arial"/>
          <w:color w:val="000000" w:themeColor="text1"/>
        </w:rPr>
        <w:t xml:space="preserve">Emotional, psychological, and social well-being are important parts of healing, QoL, and </w:t>
      </w:r>
      <w:r>
        <w:rPr>
          <w:rFonts w:ascii="Arial" w:hAnsi="Arial" w:cs="Arial"/>
          <w:color w:val="000000" w:themeColor="text1"/>
        </w:rPr>
        <w:t xml:space="preserve">general wellness that are commonly affected both in geriatric patients and also patients with chronic stroke. Post-Stroke depression has also been shown to be </w:t>
      </w:r>
      <w:r w:rsidRPr="00E6558E">
        <w:rPr>
          <w:rFonts w:ascii="Arial" w:hAnsi="Arial" w:cs="Arial"/>
          <w:color w:val="000000" w:themeColor="text1"/>
        </w:rPr>
        <w:t>related to cognitive impairment such as attention, memory, visual perception and construction, and language</w:t>
      </w:r>
      <w:r w:rsidR="00EB6899">
        <w:rPr>
          <w:rFonts w:ascii="Arial" w:hAnsi="Arial" w:cs="Arial"/>
          <w:color w:val="000000" w:themeColor="text1"/>
        </w:rPr>
        <w:t>, further highlighting it’s importance in recovery and QoL.</w:t>
      </w:r>
      <w:r w:rsidR="00EB6899">
        <w:rPr>
          <w:rFonts w:ascii="Arial" w:hAnsi="Arial" w:cs="Arial"/>
          <w:color w:val="000000" w:themeColor="text1"/>
        </w:rPr>
        <w:fldChar w:fldCharType="begin"/>
      </w:r>
      <w:r w:rsidR="00EB6899">
        <w:rPr>
          <w:rFonts w:ascii="Arial" w:hAnsi="Arial" w:cs="Arial"/>
          <w:color w:val="000000" w:themeColor="text1"/>
        </w:rPr>
        <w:instrText>ADDIN F1000_CSL_CITATION&lt;~#@#~&gt;[{"DOI":"10.1159/000478851","First":false,"Last":false,"PMCID":"PMC5624240","PMID":"29033974","abstract":"&lt;strong&gt;BACKGROUND:&lt;/strong&gt; Following stroke, clinicians are challenged to detect and untangle symptoms of cognitive dysfunction and mood disorders. Additionally, they need to evaluate the informative value of self-reports to identify patients in need of further attendance.&lt;br&gt;&lt;br&gt;&lt;strong&gt;AIMS:&lt;/strong&gt; To examine the association between neuropsychological measures, symptoms of depression, and self-reported cognitive function.&lt;br&gt;&lt;br&gt;&lt;strong&gt;METHODS:&lt;/strong&gt; One-hundred and five chronic stroke patients underwent assessment covering 6 cognitive domains and answered the Hospital Anxiety and Depression Scale and the Memory and Thinking Scale from the Stroke Impact Scale 1 year after stroke. Age and gender difference in cognitive impairment were examined; linear regression was used to predict depression scores. Sensitivity and specificity analyses were used to validate self-reported functioning against performance on cognitive tests.&lt;br&gt;&lt;br&gt;&lt;strong&gt;RESULTS:&lt;/strong&gt; Cognitive impairment was observed in 60% of the patients in at least 1 cognitive domain. Cognitive performance was associated with symptoms of depression as well as with self-reported cognitive function. The final analyses revealed low sensitivity and specificity for the Memory and Thinking subscale from the Stroke Impact Scale.&lt;br&gt;&lt;br&gt;&lt;strong&gt;CONCLUSION:&lt;/strong&gt; Cognitive impairment occurs frequently even in patients in a chronic phase after stroke and predicts symptoms of depression. Using the Stroke Impact Scale, clinicians should be aware of low sensitivity of self-reported cognitive function.","author":[{"family":"Nakling","given":"Arne E"},{"family":"Aarsland","given":"Dag"},{"family":"Næss","given":"Halvor"},{"family":"Wollschlaeger","given":"Daniel"},{"family":"Fladby","given":"Tormod"},{"family":"Hofstad","given":"Håkon"},{"family":"Wehling","given":"Eike"}],"authorYearDisplayFormat":false,"citation-label":"7471416","container-title":"Dementia and geriatric cognitive disorders extra","container-title-short":"Dement. Geriatr. Cogn. Dis. Extra","id":"7471416","invisible":false,"issue":"2","issued":{"date-parts":[["2017","8","29"]]},"journalAbbreviation":"Dement. Geriatr. Cogn. Dis. Extra","page":"283-296","suppress-author":false,"title":"Cognitive Deficits in Chronic Stroke Patients: Neuropsychological Assessment, Depression, and Self-Reports.","type":"article-journal","volume":"7"}]</w:instrText>
      </w:r>
      <w:r w:rsidR="00EB6899">
        <w:rPr>
          <w:rFonts w:ascii="Arial" w:hAnsi="Arial" w:cs="Arial"/>
          <w:color w:val="000000" w:themeColor="text1"/>
        </w:rPr>
        <w:fldChar w:fldCharType="separate"/>
      </w:r>
      <w:r w:rsidR="00EB6899" w:rsidRPr="00EB6899">
        <w:rPr>
          <w:rFonts w:ascii="Arial" w:hAnsi="Arial" w:cs="Arial"/>
          <w:noProof/>
          <w:color w:val="000000" w:themeColor="text1"/>
          <w:vertAlign w:val="superscript"/>
        </w:rPr>
        <w:t>4</w:t>
      </w:r>
      <w:r w:rsidR="00EB6899">
        <w:rPr>
          <w:rFonts w:ascii="Arial" w:hAnsi="Arial" w:cs="Arial"/>
          <w:color w:val="000000" w:themeColor="text1"/>
        </w:rPr>
        <w:fldChar w:fldCharType="end"/>
      </w:r>
      <w:r w:rsidR="00EB6899">
        <w:rPr>
          <w:rFonts w:ascii="Arial" w:hAnsi="Arial" w:cs="Arial"/>
          <w:color w:val="000000" w:themeColor="text1"/>
        </w:rPr>
        <w:t xml:space="preserve"> Research has shown for a variety of interventions ranging from behavioral and cognitive therapy to continued exercise and strength training to be effective in reducing depressive symptoms later in life, making these promising routes of referral for these patients.</w:t>
      </w:r>
      <w:r w:rsidR="00EB6899">
        <w:rPr>
          <w:rFonts w:ascii="Arial" w:hAnsi="Arial" w:cs="Arial"/>
          <w:color w:val="000000" w:themeColor="text1"/>
        </w:rPr>
        <w:fldChar w:fldCharType="begin"/>
      </w:r>
      <w:r w:rsidR="00EB6899">
        <w:rPr>
          <w:rFonts w:ascii="Arial" w:hAnsi="Arial" w:cs="Arial"/>
          <w:color w:val="000000" w:themeColor="text1"/>
        </w:rPr>
        <w:instrText>ADDIN F1000_CSL_CITATION&lt;~#@#~&gt;[{"DOI":"10.1146/annurev.clinpsy.032408.153621","First":false,"Last":false,"PMCID":"PMC2852580","PMID":"19327033","abstract":"Depression is less prevalent among older adults than among younger adults, but it can have serious consequences. More than half of cases represent a first onset in later life. Although suicide rates in the elderly are declining, they are still higher than in younger adults and are more closely associated with depression. Depressed older adults are less likely to endorse affective symptoms and more likely to display cognitive changes, somatic symptoms, and loss of interest than are depressed younger adults. Risk factors leading to the development of late-life depression likely comprise complex interactions among genetic vulnerabilities, cognitive diathesis, age-associated neurobiological changes, and stressful events. Insomnia is an often overlooked risk factor for late-life depression. We suggest that a common pathway to depression in older adults, regardless of which predisposing risks are most prominent, may be curtailment of daily activities. Accompanying self-critical thinking may exacerbate and maintain a depressed state. Offsetting the increasing prevalence of certain risk factors in late life are age-related increases in psychological resilience. Other protective factors include higher education and socioeconomic status, engagement in valued activities, and religious or spiritual involvement. Treatments including behavioral therapy, cognitive-behavioral therapy, cognitive bibliotherapy, problem-solving therapy, brief psychodynamic therapy, and life review/reminiscence therapy are effective but are too infrequently used with older adults. Preventive interventions including education for individuals with chronic illness, behavioral activation, cognitive restructuring, problem-solving skills training, group support, and life review have also received support.","author":[{"family":"Fiske","given":"Amy"},{"family":"Wetherell","given":"Julie Loebach"},{"family":"Gatz","given":"Margaret"}],"authorYearDisplayFormat":false,"citation-label":"100731","container-title":"Annual Review of Clinical Psychology","container-title-short":"Annu. Rev. Clin. Psychol.","id":"100731","invisible":false,"issued":{"date-parts":[["2009"]]},"journalAbbreviation":"Annu. Rev. Clin. Psychol.","page":"363-389","suppress-author":false,"title":"Depression in older adults.","type":"article-journal","volume":"5"}]</w:instrText>
      </w:r>
      <w:r w:rsidR="00EB6899">
        <w:rPr>
          <w:rFonts w:ascii="Arial" w:hAnsi="Arial" w:cs="Arial"/>
          <w:color w:val="000000" w:themeColor="text1"/>
        </w:rPr>
        <w:fldChar w:fldCharType="separate"/>
      </w:r>
      <w:r w:rsidR="00EB6899" w:rsidRPr="00EB6899">
        <w:rPr>
          <w:rFonts w:ascii="Arial" w:hAnsi="Arial" w:cs="Arial"/>
          <w:noProof/>
          <w:color w:val="000000" w:themeColor="text1"/>
          <w:vertAlign w:val="superscript"/>
        </w:rPr>
        <w:t>43</w:t>
      </w:r>
      <w:r w:rsidR="00EB6899">
        <w:rPr>
          <w:rFonts w:ascii="Arial" w:hAnsi="Arial" w:cs="Arial"/>
          <w:color w:val="000000" w:themeColor="text1"/>
        </w:rPr>
        <w:fldChar w:fldCharType="end"/>
      </w:r>
      <w:r>
        <w:rPr>
          <w:rFonts w:ascii="Arial" w:hAnsi="Arial" w:cs="Arial"/>
          <w:color w:val="000000" w:themeColor="text1"/>
        </w:rPr>
        <w:t xml:space="preserve"> </w:t>
      </w:r>
      <w:r w:rsidR="00EB6899">
        <w:rPr>
          <w:rFonts w:ascii="Arial" w:hAnsi="Arial" w:cs="Arial"/>
          <w:color w:val="000000" w:themeColor="text1"/>
        </w:rPr>
        <w:t>Further r</w:t>
      </w:r>
      <w:r w:rsidR="00730921" w:rsidRPr="00E6558E">
        <w:rPr>
          <w:rFonts w:ascii="Arial" w:hAnsi="Arial" w:cs="Arial"/>
          <w:color w:val="000000" w:themeColor="text1"/>
        </w:rPr>
        <w:t>eferral</w:t>
      </w:r>
      <w:r w:rsidR="00EB6899">
        <w:rPr>
          <w:rFonts w:ascii="Arial" w:hAnsi="Arial" w:cs="Arial"/>
          <w:color w:val="000000" w:themeColor="text1"/>
        </w:rPr>
        <w:t>s</w:t>
      </w:r>
      <w:r w:rsidR="00730921" w:rsidRPr="00E6558E">
        <w:rPr>
          <w:rFonts w:ascii="Arial" w:hAnsi="Arial" w:cs="Arial"/>
          <w:color w:val="000000" w:themeColor="text1"/>
        </w:rPr>
        <w:t xml:space="preserve"> to counseling services, stroke support groups, Psychiatrist or Psychologist as indicated by questionnaires and subjective interviewing. </w:t>
      </w:r>
    </w:p>
    <w:p w:rsidR="002D1BBE" w:rsidRPr="00CF09D0" w:rsidRDefault="002D1BBE" w:rsidP="00730921">
      <w:pPr>
        <w:pStyle w:val="Heading1"/>
        <w:rPr>
          <w:rFonts w:ascii="Arial" w:hAnsi="Arial" w:cs="Arial"/>
        </w:rPr>
      </w:pPr>
      <w:r w:rsidRPr="00CF09D0">
        <w:rPr>
          <w:rFonts w:ascii="Arial" w:hAnsi="Arial" w:cs="Arial"/>
        </w:rPr>
        <w:t>Bibliography:</w:t>
      </w:r>
    </w:p>
    <w:p w:rsidR="00EB6899" w:rsidRPr="00EB6899" w:rsidRDefault="00730921">
      <w:pPr>
        <w:widowControl w:val="0"/>
        <w:autoSpaceDE w:val="0"/>
        <w:autoSpaceDN w:val="0"/>
        <w:adjustRightInd w:val="0"/>
        <w:rPr>
          <w:rFonts w:ascii="Arial" w:hAnsi="Arial" w:cs="Arial"/>
          <w:noProof/>
        </w:rPr>
      </w:pPr>
      <w:r w:rsidRPr="00CF09D0">
        <w:rPr>
          <w:rFonts w:ascii="Arial" w:hAnsi="Arial" w:cs="Arial"/>
        </w:rPr>
        <w:fldChar w:fldCharType="begin"/>
      </w:r>
      <w:r w:rsidR="00EB6899">
        <w:rPr>
          <w:rFonts w:ascii="Arial" w:hAnsi="Arial" w:cs="Arial"/>
        </w:rPr>
        <w:instrText>ADDIN F1000_CSL_BIBLIOGRAPHY</w:instrText>
      </w:r>
      <w:r w:rsidRPr="00CF09D0">
        <w:rPr>
          <w:rFonts w:ascii="Arial" w:hAnsi="Arial" w:cs="Arial"/>
        </w:rPr>
        <w:fldChar w:fldCharType="separate"/>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 </w:t>
      </w:r>
      <w:r w:rsidRPr="00EB6899">
        <w:rPr>
          <w:rFonts w:ascii="Arial" w:hAnsi="Arial" w:cs="Arial"/>
          <w:noProof/>
        </w:rPr>
        <w:tab/>
        <w:t xml:space="preserve">Kane RL, Shamliyan T, Talley K, Pacala J. The association between geriatric syndromes and survival. </w:t>
      </w:r>
      <w:r w:rsidRPr="00EB6899">
        <w:rPr>
          <w:rFonts w:ascii="Arial" w:hAnsi="Arial" w:cs="Arial"/>
          <w:i/>
          <w:iCs/>
          <w:noProof/>
        </w:rPr>
        <w:t>J Am Geriatr Soc</w:t>
      </w:r>
      <w:r w:rsidRPr="00EB6899">
        <w:rPr>
          <w:rFonts w:ascii="Arial" w:hAnsi="Arial" w:cs="Arial"/>
          <w:noProof/>
        </w:rPr>
        <w:t xml:space="preserve"> 2012;60(5):896-904. </w:t>
      </w:r>
      <w:r w:rsidRPr="00EB6899">
        <w:rPr>
          <w:rFonts w:ascii="Arial" w:hAnsi="Arial" w:cs="Arial"/>
          <w:noProof/>
        </w:rPr>
        <w:lastRenderedPageBreak/>
        <w:t>doi:10.1111/j.1532-5415.2012.03942.x.</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 </w:t>
      </w:r>
      <w:r w:rsidRPr="00EB6899">
        <w:rPr>
          <w:rFonts w:ascii="Arial" w:hAnsi="Arial" w:cs="Arial"/>
          <w:noProof/>
        </w:rPr>
        <w:tab/>
        <w:t xml:space="preserve">Ofori-Asenso R, Chin KL, Mazidi M, et al. Global Incidence of Frailty and Prefrailty Among Community-Dwelling Older Adults: A Systematic Review and Meta-analysis. </w:t>
      </w:r>
      <w:r w:rsidRPr="00EB6899">
        <w:rPr>
          <w:rFonts w:ascii="Arial" w:hAnsi="Arial" w:cs="Arial"/>
          <w:i/>
          <w:iCs/>
          <w:noProof/>
        </w:rPr>
        <w:t>JAMA Netw. Open</w:t>
      </w:r>
      <w:r w:rsidRPr="00EB6899">
        <w:rPr>
          <w:rFonts w:ascii="Arial" w:hAnsi="Arial" w:cs="Arial"/>
          <w:noProof/>
        </w:rPr>
        <w:t xml:space="preserve"> 2019;2(8):e198398. doi:10.1001/jamanetworkopen.2019.8398.</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 </w:t>
      </w:r>
      <w:r w:rsidRPr="00EB6899">
        <w:rPr>
          <w:rFonts w:ascii="Arial" w:hAnsi="Arial" w:cs="Arial"/>
          <w:noProof/>
        </w:rPr>
        <w:tab/>
        <w:t xml:space="preserve">Lee S-G, Kim J-H, Choi I-S, Kim J-G. Deep vein thrombosis and pulmonary embolism in an ambulatory chronic stroke patient. </w:t>
      </w:r>
      <w:r w:rsidRPr="00EB6899">
        <w:rPr>
          <w:rFonts w:ascii="Arial" w:hAnsi="Arial" w:cs="Arial"/>
          <w:i/>
          <w:iCs/>
          <w:noProof/>
        </w:rPr>
        <w:t>Disabil Rehabil</w:t>
      </w:r>
      <w:r w:rsidRPr="00EB6899">
        <w:rPr>
          <w:rFonts w:ascii="Arial" w:hAnsi="Arial" w:cs="Arial"/>
          <w:noProof/>
        </w:rPr>
        <w:t xml:space="preserve"> 2005;27(20):1253-1259. doi:10.1080/09638280500052930.</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4. </w:t>
      </w:r>
      <w:r w:rsidRPr="00EB6899">
        <w:rPr>
          <w:rFonts w:ascii="Arial" w:hAnsi="Arial" w:cs="Arial"/>
          <w:noProof/>
        </w:rPr>
        <w:tab/>
        <w:t xml:space="preserve">Nakling AE, Aarsland D, Næss H, et al. Cognitive Deficits in Chronic Stroke Patients: Neuropsychological Assessment, Depression, and Self-Reports. </w:t>
      </w:r>
      <w:r w:rsidRPr="00EB6899">
        <w:rPr>
          <w:rFonts w:ascii="Arial" w:hAnsi="Arial" w:cs="Arial"/>
          <w:i/>
          <w:iCs/>
          <w:noProof/>
        </w:rPr>
        <w:t>Dement Geriatr Cogn Dis Extra</w:t>
      </w:r>
      <w:r w:rsidRPr="00EB6899">
        <w:rPr>
          <w:rFonts w:ascii="Arial" w:hAnsi="Arial" w:cs="Arial"/>
          <w:noProof/>
        </w:rPr>
        <w:t xml:space="preserve"> 2017;7(2):283-296. doi:10.1159/000478851.</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5. </w:t>
      </w:r>
      <w:r w:rsidRPr="00EB6899">
        <w:rPr>
          <w:rFonts w:ascii="Arial" w:hAnsi="Arial" w:cs="Arial"/>
          <w:noProof/>
        </w:rPr>
        <w:tab/>
        <w:t xml:space="preserve">Eng JJ, Tang P-F. Gait training strategies to optimize walking ability in people with stroke: a synthesis of the evidence. </w:t>
      </w:r>
      <w:r w:rsidRPr="00EB6899">
        <w:rPr>
          <w:rFonts w:ascii="Arial" w:hAnsi="Arial" w:cs="Arial"/>
          <w:i/>
          <w:iCs/>
          <w:noProof/>
        </w:rPr>
        <w:t>Expert Rev Neurother</w:t>
      </w:r>
      <w:r w:rsidRPr="00EB6899">
        <w:rPr>
          <w:rFonts w:ascii="Arial" w:hAnsi="Arial" w:cs="Arial"/>
          <w:noProof/>
        </w:rPr>
        <w:t xml:space="preserve"> 2007;7(10):1417-1436. doi:10.1586/14737175.7.10.1417.</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6. </w:t>
      </w:r>
      <w:r w:rsidRPr="00EB6899">
        <w:rPr>
          <w:rFonts w:ascii="Arial" w:hAnsi="Arial" w:cs="Arial"/>
          <w:noProof/>
        </w:rPr>
        <w:tab/>
        <w:t xml:space="preserve">Mayo NE, Wood-Dauphinee S, Ahmed S, et al. Disablement following stroke. </w:t>
      </w:r>
      <w:r w:rsidRPr="00EB6899">
        <w:rPr>
          <w:rFonts w:ascii="Arial" w:hAnsi="Arial" w:cs="Arial"/>
          <w:i/>
          <w:iCs/>
          <w:noProof/>
        </w:rPr>
        <w:t>Disabil Rehabil</w:t>
      </w:r>
      <w:r w:rsidRPr="00EB6899">
        <w:rPr>
          <w:rFonts w:ascii="Arial" w:hAnsi="Arial" w:cs="Arial"/>
          <w:noProof/>
        </w:rPr>
        <w:t xml:space="preserve"> 1999;21(5-6):258-268. doi:10.1080/096382899297684.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7. </w:t>
      </w:r>
      <w:r w:rsidRPr="00EB6899">
        <w:rPr>
          <w:rFonts w:ascii="Arial" w:hAnsi="Arial" w:cs="Arial"/>
          <w:noProof/>
        </w:rPr>
        <w:tab/>
        <w:t xml:space="preserve">Kaiser MJ, Bauer JM, Ramsch C, et al. Validation of the Mini Nutritional Assessment short-form (MNA-SF): a practical tool for identification of nutritional status. </w:t>
      </w:r>
      <w:r w:rsidRPr="00EB6899">
        <w:rPr>
          <w:rFonts w:ascii="Arial" w:hAnsi="Arial" w:cs="Arial"/>
          <w:i/>
          <w:iCs/>
          <w:noProof/>
        </w:rPr>
        <w:t>J Nutr Health Aging</w:t>
      </w:r>
      <w:r w:rsidRPr="00EB6899">
        <w:rPr>
          <w:rFonts w:ascii="Arial" w:hAnsi="Arial" w:cs="Arial"/>
          <w:noProof/>
        </w:rPr>
        <w:t xml:space="preserve"> 2009;13(9):782-788.</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8. </w:t>
      </w:r>
      <w:r w:rsidRPr="00EB6899">
        <w:rPr>
          <w:rFonts w:ascii="Arial" w:hAnsi="Arial" w:cs="Arial"/>
          <w:noProof/>
        </w:rPr>
        <w:tab/>
        <w:t xml:space="preserve">DiMaria-Ghalili RA, Sobieski D, Amella EJ. Assessing Nutrition in Older Adults. </w:t>
      </w:r>
      <w:r w:rsidRPr="00EB6899">
        <w:rPr>
          <w:rFonts w:ascii="Arial" w:hAnsi="Arial" w:cs="Arial"/>
          <w:i/>
          <w:iCs/>
          <w:noProof/>
        </w:rPr>
        <w:t>The Hartford Institute for Geriatric Nursing, New York University Rory Meyers College of Nursing</w:t>
      </w:r>
      <w:r w:rsidRPr="00EB6899">
        <w:rPr>
          <w:rFonts w:ascii="Arial" w:hAnsi="Arial" w:cs="Arial"/>
          <w:noProof/>
        </w:rPr>
        <w:t xml:space="preserve"> 2019;(9). Available at: https://consultgeri.org/try-this/general-assessment/issue-9. Accessed September 15, 2019.</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9. </w:t>
      </w:r>
      <w:r w:rsidRPr="00EB6899">
        <w:rPr>
          <w:rFonts w:ascii="Arial" w:hAnsi="Arial" w:cs="Arial"/>
          <w:noProof/>
        </w:rPr>
        <w:tab/>
        <w:t xml:space="preserve">Rubenstein LZ, Harker JO, Salvà A, Guigoz Y, Vellas B. Screening for undernutrition in geriatric practice: developing the short-form mini-nutritional assessment (MNA-SF). </w:t>
      </w:r>
      <w:r w:rsidRPr="00EB6899">
        <w:rPr>
          <w:rFonts w:ascii="Arial" w:hAnsi="Arial" w:cs="Arial"/>
          <w:i/>
          <w:iCs/>
          <w:noProof/>
        </w:rPr>
        <w:t>J Gerontol A Biol Sci Med Sci</w:t>
      </w:r>
      <w:r w:rsidRPr="00EB6899">
        <w:rPr>
          <w:rFonts w:ascii="Arial" w:hAnsi="Arial" w:cs="Arial"/>
          <w:noProof/>
        </w:rPr>
        <w:t xml:space="preserve"> 2001;56(6):M366-72. doi:10.1093/gerona/56.6.m366.</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10. </w:t>
      </w:r>
      <w:r w:rsidRPr="00EB6899">
        <w:rPr>
          <w:rFonts w:ascii="Arial" w:hAnsi="Arial" w:cs="Arial"/>
          <w:noProof/>
        </w:rPr>
        <w:tab/>
        <w:t xml:space="preserve">Buysse DJ, Reynolds CF, Monk TH, Berman SR, Kupfer DJ. The Pittsburgh Sleep Quality Index: a new instrument for psychiatric practice and research. </w:t>
      </w:r>
      <w:r w:rsidRPr="00EB6899">
        <w:rPr>
          <w:rFonts w:ascii="Arial" w:hAnsi="Arial" w:cs="Arial"/>
          <w:i/>
          <w:iCs/>
          <w:noProof/>
        </w:rPr>
        <w:t>Psychiatry Res</w:t>
      </w:r>
      <w:r w:rsidRPr="00EB6899">
        <w:rPr>
          <w:rFonts w:ascii="Arial" w:hAnsi="Arial" w:cs="Arial"/>
          <w:noProof/>
        </w:rPr>
        <w:t xml:space="preserve"> 1989;28(2):193-213. doi:10.1016/0165-1781(89)90047-4.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11. </w:t>
      </w:r>
      <w:r w:rsidRPr="00EB6899">
        <w:rPr>
          <w:rFonts w:ascii="Arial" w:hAnsi="Arial" w:cs="Arial"/>
          <w:noProof/>
        </w:rPr>
        <w:tab/>
        <w:t xml:space="preserve">Duss SB, Seiler A, Schmidt MH, et al. The role of sleep in recovery following ischemic stroke: A review of human and animal data. </w:t>
      </w:r>
      <w:r w:rsidRPr="00EB6899">
        <w:rPr>
          <w:rFonts w:ascii="Arial" w:hAnsi="Arial" w:cs="Arial"/>
          <w:i/>
          <w:iCs/>
          <w:noProof/>
        </w:rPr>
        <w:t>Neurobiol. Sleep Circadian Rhythms</w:t>
      </w:r>
      <w:r w:rsidRPr="00EB6899">
        <w:rPr>
          <w:rFonts w:ascii="Arial" w:hAnsi="Arial" w:cs="Arial"/>
          <w:noProof/>
        </w:rPr>
        <w:t xml:space="preserve"> 2017;2:94-105. doi:10.1016/j.nbscr.2016.11.003.</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12. </w:t>
      </w:r>
      <w:r w:rsidRPr="00EB6899">
        <w:rPr>
          <w:rFonts w:ascii="Arial" w:hAnsi="Arial" w:cs="Arial"/>
          <w:noProof/>
        </w:rPr>
        <w:tab/>
        <w:t xml:space="preserve">Siengsukon CF, Al-Dughmi M, Stevens S. Sleep health promotion: practical information for physical therapists. </w:t>
      </w:r>
      <w:r w:rsidRPr="00EB6899">
        <w:rPr>
          <w:rFonts w:ascii="Arial" w:hAnsi="Arial" w:cs="Arial"/>
          <w:i/>
          <w:iCs/>
          <w:noProof/>
        </w:rPr>
        <w:t>Phys Ther</w:t>
      </w:r>
      <w:r w:rsidRPr="00EB6899">
        <w:rPr>
          <w:rFonts w:ascii="Arial" w:hAnsi="Arial" w:cs="Arial"/>
          <w:noProof/>
        </w:rPr>
        <w:t xml:space="preserve"> 2017;97(8):826-836. doi:10.1093/ptj/pzx057.</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13. </w:t>
      </w:r>
      <w:r w:rsidRPr="00EB6899">
        <w:rPr>
          <w:rFonts w:ascii="Arial" w:hAnsi="Arial" w:cs="Arial"/>
          <w:noProof/>
        </w:rPr>
        <w:tab/>
        <w:t xml:space="preserve">Ekstrand E, Lexell J, Brogårdh C. Test-retest reliability of the Life Satisfaction Questionnaire (LiSat-11) and association between items in individuals with chronic stroke. </w:t>
      </w:r>
      <w:r w:rsidRPr="00EB6899">
        <w:rPr>
          <w:rFonts w:ascii="Arial" w:hAnsi="Arial" w:cs="Arial"/>
          <w:i/>
          <w:iCs/>
          <w:noProof/>
        </w:rPr>
        <w:t>J Rehabil Med</w:t>
      </w:r>
      <w:r w:rsidRPr="00EB6899">
        <w:rPr>
          <w:rFonts w:ascii="Arial" w:hAnsi="Arial" w:cs="Arial"/>
          <w:noProof/>
        </w:rPr>
        <w:t xml:space="preserve"> 2018;50(8):713-718. doi:10.2340/16501977-2362.</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14. </w:t>
      </w:r>
      <w:r w:rsidRPr="00EB6899">
        <w:rPr>
          <w:rFonts w:ascii="Arial" w:hAnsi="Arial" w:cs="Arial"/>
          <w:noProof/>
        </w:rPr>
        <w:tab/>
        <w:t xml:space="preserve">Visser-Meily A, Post M, van de Port I, van Heugten C, van den Bos T. Psychosocial functioning of spouses in the chronic phase after stroke: improvement or deterioration between 1 and 3 years after stroke? </w:t>
      </w:r>
      <w:r w:rsidRPr="00EB6899">
        <w:rPr>
          <w:rFonts w:ascii="Arial" w:hAnsi="Arial" w:cs="Arial"/>
          <w:i/>
          <w:iCs/>
          <w:noProof/>
        </w:rPr>
        <w:t>Patient Educ Couns</w:t>
      </w:r>
      <w:r w:rsidRPr="00EB6899">
        <w:rPr>
          <w:rFonts w:ascii="Arial" w:hAnsi="Arial" w:cs="Arial"/>
          <w:noProof/>
        </w:rPr>
        <w:t xml:space="preserve"> 2008;73(1):153-158. doi:10.1016/j.pec.2008.03.011.</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15. </w:t>
      </w:r>
      <w:r w:rsidRPr="00EB6899">
        <w:rPr>
          <w:rFonts w:ascii="Arial" w:hAnsi="Arial" w:cs="Arial"/>
          <w:noProof/>
        </w:rPr>
        <w:tab/>
        <w:t xml:space="preserve">Olsson IN, Runnamo R, Engfeldt P. Medication quality and quality of life in the elderly, a cohort study. </w:t>
      </w:r>
      <w:r w:rsidRPr="00EB6899">
        <w:rPr>
          <w:rFonts w:ascii="Arial" w:hAnsi="Arial" w:cs="Arial"/>
          <w:i/>
          <w:iCs/>
          <w:noProof/>
        </w:rPr>
        <w:t>Health Qual Life Outcomes</w:t>
      </w:r>
      <w:r w:rsidRPr="00EB6899">
        <w:rPr>
          <w:rFonts w:ascii="Arial" w:hAnsi="Arial" w:cs="Arial"/>
          <w:noProof/>
        </w:rPr>
        <w:t xml:space="preserve"> 2011;9:95. doi:10.1186/1477-7525-9-95.</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lastRenderedPageBreak/>
        <w:t xml:space="preserve">16. </w:t>
      </w:r>
      <w:r w:rsidRPr="00EB6899">
        <w:rPr>
          <w:rFonts w:ascii="Arial" w:hAnsi="Arial" w:cs="Arial"/>
          <w:noProof/>
        </w:rPr>
        <w:tab/>
        <w:t xml:space="preserve">Lam K, Kwan JSK, Wai Kwan C, et al. Factors Associated With the Trend of Physical and Chemical Restraint Use Among Long-Term Care Facility Residents in Hong Kong: Data From an 11-Year Observational Study. </w:t>
      </w:r>
      <w:r w:rsidRPr="00EB6899">
        <w:rPr>
          <w:rFonts w:ascii="Arial" w:hAnsi="Arial" w:cs="Arial"/>
          <w:i/>
          <w:iCs/>
          <w:noProof/>
        </w:rPr>
        <w:t>J Am Med Dir Assoc</w:t>
      </w:r>
      <w:r w:rsidRPr="00EB6899">
        <w:rPr>
          <w:rFonts w:ascii="Arial" w:hAnsi="Arial" w:cs="Arial"/>
          <w:noProof/>
        </w:rPr>
        <w:t xml:space="preserve"> 2017;18(12):1043-1048. doi:10.1016/j.jamda.2017.06.018.</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17. </w:t>
      </w:r>
      <w:r w:rsidRPr="00EB6899">
        <w:rPr>
          <w:rFonts w:ascii="Arial" w:hAnsi="Arial" w:cs="Arial"/>
          <w:noProof/>
        </w:rPr>
        <w:tab/>
        <w:t xml:space="preserve">Steinman MA, Landefeld CS, Rosenthal GE, Berthenthal D, Sen S, Kaboli PJ. Polypharmacy and prescribing quality in older people. </w:t>
      </w:r>
      <w:r w:rsidRPr="00EB6899">
        <w:rPr>
          <w:rFonts w:ascii="Arial" w:hAnsi="Arial" w:cs="Arial"/>
          <w:i/>
          <w:iCs/>
          <w:noProof/>
        </w:rPr>
        <w:t>J Am Geriatr Soc</w:t>
      </w:r>
      <w:r w:rsidRPr="00EB6899">
        <w:rPr>
          <w:rFonts w:ascii="Arial" w:hAnsi="Arial" w:cs="Arial"/>
          <w:noProof/>
        </w:rPr>
        <w:t xml:space="preserve"> 2006;54(10):1516-1523. doi:10.1111/j.1532-5415.2006.00889.x.</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18. </w:t>
      </w:r>
      <w:r w:rsidRPr="00EB6899">
        <w:rPr>
          <w:rFonts w:ascii="Arial" w:hAnsi="Arial" w:cs="Arial"/>
          <w:noProof/>
        </w:rPr>
        <w:tab/>
        <w:t xml:space="preserve">Smith EM, Shah AA. Screening for geriatric syndromes: falls, urinary/fecal incontinence, and osteoporosis. </w:t>
      </w:r>
      <w:r w:rsidRPr="00EB6899">
        <w:rPr>
          <w:rFonts w:ascii="Arial" w:hAnsi="Arial" w:cs="Arial"/>
          <w:i/>
          <w:iCs/>
          <w:noProof/>
        </w:rPr>
        <w:t>Clin Geriatr Med</w:t>
      </w:r>
      <w:r w:rsidRPr="00EB6899">
        <w:rPr>
          <w:rFonts w:ascii="Arial" w:hAnsi="Arial" w:cs="Arial"/>
          <w:noProof/>
        </w:rPr>
        <w:t xml:space="preserve"> 2018;34(1):55-67. doi:10.1016/j.cger.2017.08.002.</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19. </w:t>
      </w:r>
      <w:r w:rsidRPr="00EB6899">
        <w:rPr>
          <w:rFonts w:ascii="Arial" w:hAnsi="Arial" w:cs="Arial"/>
          <w:noProof/>
        </w:rPr>
        <w:tab/>
        <w:t xml:space="preserve">Billinger SA, Arena R, Bernhardt J, et al. Physical activity and exercise recommendations for stroke survivors: a statement for healthcare professionals from the American Heart Association/American Stroke Association. </w:t>
      </w:r>
      <w:r w:rsidRPr="00EB6899">
        <w:rPr>
          <w:rFonts w:ascii="Arial" w:hAnsi="Arial" w:cs="Arial"/>
          <w:i/>
          <w:iCs/>
          <w:noProof/>
        </w:rPr>
        <w:t>Stroke</w:t>
      </w:r>
      <w:r w:rsidRPr="00EB6899">
        <w:rPr>
          <w:rFonts w:ascii="Arial" w:hAnsi="Arial" w:cs="Arial"/>
          <w:noProof/>
        </w:rPr>
        <w:t xml:space="preserve"> 2014;45(8):2532-2553. doi:10.1161/STR.0000000000000022.</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20. </w:t>
      </w:r>
      <w:r w:rsidRPr="00EB6899">
        <w:rPr>
          <w:rFonts w:ascii="Arial" w:hAnsi="Arial" w:cs="Arial"/>
          <w:noProof/>
        </w:rPr>
        <w:tab/>
        <w:t xml:space="preserve">Morris DM, Kitchin EM, Clark DE. Strategies for optimizing nutrition and weight reduction in physical therapy practice: the evidence. </w:t>
      </w:r>
      <w:r w:rsidRPr="00EB6899">
        <w:rPr>
          <w:rFonts w:ascii="Arial" w:hAnsi="Arial" w:cs="Arial"/>
          <w:i/>
          <w:iCs/>
          <w:noProof/>
        </w:rPr>
        <w:t>Physiother Theory Pract</w:t>
      </w:r>
      <w:r w:rsidRPr="00EB6899">
        <w:rPr>
          <w:rFonts w:ascii="Arial" w:hAnsi="Arial" w:cs="Arial"/>
          <w:noProof/>
        </w:rPr>
        <w:t xml:space="preserve"> 2009;25(5-6):408-423. doi:10.1080/09593980902835369.</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21. </w:t>
      </w:r>
      <w:r w:rsidRPr="00EB6899">
        <w:rPr>
          <w:rFonts w:ascii="Arial" w:hAnsi="Arial" w:cs="Arial"/>
          <w:noProof/>
        </w:rPr>
        <w:tab/>
        <w:t xml:space="preserve">Dean E. Physical therapy in the 21st century (Part II): evidence-based practice within the context of evidence-informed practice. </w:t>
      </w:r>
      <w:r w:rsidRPr="00EB6899">
        <w:rPr>
          <w:rFonts w:ascii="Arial" w:hAnsi="Arial" w:cs="Arial"/>
          <w:i/>
          <w:iCs/>
          <w:noProof/>
        </w:rPr>
        <w:t>Physiother Theory Pract</w:t>
      </w:r>
      <w:r w:rsidRPr="00EB6899">
        <w:rPr>
          <w:rFonts w:ascii="Arial" w:hAnsi="Arial" w:cs="Arial"/>
          <w:noProof/>
        </w:rPr>
        <w:t xml:space="preserve"> 2009;25(5-6):354-368. doi:10.1080/09593980902813416.</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22. </w:t>
      </w:r>
      <w:r w:rsidRPr="00EB6899">
        <w:rPr>
          <w:rFonts w:ascii="Arial" w:hAnsi="Arial" w:cs="Arial"/>
          <w:noProof/>
        </w:rPr>
        <w:tab/>
        <w:t xml:space="preserve">Amarenco P, Goldstein LB, Sillesen H, et al. Coronary heart disease risk in patients with stroke or transient ischemic attack and no known coronary heart disease: findings from the Stroke Prevention by Aggressive Reduction in Cholesterol Levels (SPARCL) trial. </w:t>
      </w:r>
      <w:r w:rsidRPr="00EB6899">
        <w:rPr>
          <w:rFonts w:ascii="Arial" w:hAnsi="Arial" w:cs="Arial"/>
          <w:i/>
          <w:iCs/>
          <w:noProof/>
        </w:rPr>
        <w:t>Stroke</w:t>
      </w:r>
      <w:r w:rsidRPr="00EB6899">
        <w:rPr>
          <w:rFonts w:ascii="Arial" w:hAnsi="Arial" w:cs="Arial"/>
          <w:noProof/>
        </w:rPr>
        <w:t xml:space="preserve"> 2010;41(3):426-430. doi:10.1161/STROKEAHA.109.564781.</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23. </w:t>
      </w:r>
      <w:r w:rsidRPr="00EB6899">
        <w:rPr>
          <w:rFonts w:ascii="Arial" w:hAnsi="Arial" w:cs="Arial"/>
          <w:noProof/>
        </w:rPr>
        <w:tab/>
        <w:t xml:space="preserve">Bodner ME, Dean E. Advice as a smoking cessation strategy: a systematic review and implications for physical therapists. </w:t>
      </w:r>
      <w:r w:rsidRPr="00EB6899">
        <w:rPr>
          <w:rFonts w:ascii="Arial" w:hAnsi="Arial" w:cs="Arial"/>
          <w:i/>
          <w:iCs/>
          <w:noProof/>
        </w:rPr>
        <w:t>Physiother Theory Pract</w:t>
      </w:r>
      <w:r w:rsidRPr="00EB6899">
        <w:rPr>
          <w:rFonts w:ascii="Arial" w:hAnsi="Arial" w:cs="Arial"/>
          <w:noProof/>
        </w:rPr>
        <w:t xml:space="preserve"> 2009;25(5-6):369-407. doi:10.1080/09593980903011887.</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24. </w:t>
      </w:r>
      <w:r w:rsidRPr="00EB6899">
        <w:rPr>
          <w:rFonts w:ascii="Arial" w:hAnsi="Arial" w:cs="Arial"/>
          <w:noProof/>
        </w:rPr>
        <w:tab/>
        <w:t>Understanding Blood Pressure Readings | American Heart Association. Available at: https://www.heart.org/en/health-topics/high-blood-pressure/understanding-blood-pressure-readings. Accessed September 16, 2019.</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25. </w:t>
      </w:r>
      <w:r w:rsidRPr="00EB6899">
        <w:rPr>
          <w:rFonts w:ascii="Arial" w:hAnsi="Arial" w:cs="Arial"/>
          <w:noProof/>
        </w:rPr>
        <w:tab/>
        <w:t>Basic Facts about Arrhythmias | Aging &amp; Health A-Z | American Geriatrics Society | HealthInAging.org. Available at: https://www.healthinaging.org/a-z-topic/arrhythmias/basic-facts. Accessed September 16, 2019.</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26. </w:t>
      </w:r>
      <w:r w:rsidRPr="00EB6899">
        <w:rPr>
          <w:rFonts w:ascii="Arial" w:hAnsi="Arial" w:cs="Arial"/>
          <w:noProof/>
        </w:rPr>
        <w:tab/>
        <w:t xml:space="preserve">Winter JE, MacInnis RJ, Wattanapenpaiboon N, Nowson CA. BMI and all-cause mortality in older adults: a meta-analysis. </w:t>
      </w:r>
      <w:r w:rsidRPr="00EB6899">
        <w:rPr>
          <w:rFonts w:ascii="Arial" w:hAnsi="Arial" w:cs="Arial"/>
          <w:i/>
          <w:iCs/>
          <w:noProof/>
        </w:rPr>
        <w:t>Am J Clin Nutr</w:t>
      </w:r>
      <w:r w:rsidRPr="00EB6899">
        <w:rPr>
          <w:rFonts w:ascii="Arial" w:hAnsi="Arial" w:cs="Arial"/>
          <w:noProof/>
        </w:rPr>
        <w:t xml:space="preserve"> 2014;99(4):875-890. doi:10.3945/ajcn.113.068122.</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27. </w:t>
      </w:r>
      <w:r w:rsidRPr="00EB6899">
        <w:rPr>
          <w:rFonts w:ascii="Arial" w:hAnsi="Arial" w:cs="Arial"/>
          <w:noProof/>
        </w:rPr>
        <w:tab/>
        <w:t xml:space="preserve">Chan JM, Rimm EB, Colditz GA, Stampfer MJ, Willett WC. Obesity, fat distribution, and weight gain as risk factors for clinical diabetes in men. </w:t>
      </w:r>
      <w:r w:rsidRPr="00EB6899">
        <w:rPr>
          <w:rFonts w:ascii="Arial" w:hAnsi="Arial" w:cs="Arial"/>
          <w:i/>
          <w:iCs/>
          <w:noProof/>
        </w:rPr>
        <w:t>Diabetes Care</w:t>
      </w:r>
      <w:r w:rsidRPr="00EB6899">
        <w:rPr>
          <w:rFonts w:ascii="Arial" w:hAnsi="Arial" w:cs="Arial"/>
          <w:noProof/>
        </w:rPr>
        <w:t xml:space="preserve"> 1994;17(9):961-969. doi:10.2337/diacare.17.9.961.</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28. </w:t>
      </w:r>
      <w:r w:rsidRPr="00EB6899">
        <w:rPr>
          <w:rFonts w:ascii="Arial" w:hAnsi="Arial" w:cs="Arial"/>
          <w:noProof/>
        </w:rPr>
        <w:tab/>
        <w:t xml:space="preserve">Yusuf S, Hawken S, Ounpuu S, et al. Obesity and the risk of myocardial infarction in 27,000 participants from 52 countries: a case-control study. </w:t>
      </w:r>
      <w:r w:rsidRPr="00EB6899">
        <w:rPr>
          <w:rFonts w:ascii="Arial" w:hAnsi="Arial" w:cs="Arial"/>
          <w:i/>
          <w:iCs/>
          <w:noProof/>
        </w:rPr>
        <w:t>The Lancet</w:t>
      </w:r>
      <w:r w:rsidRPr="00EB6899">
        <w:rPr>
          <w:rFonts w:ascii="Arial" w:hAnsi="Arial" w:cs="Arial"/>
          <w:noProof/>
        </w:rPr>
        <w:t xml:space="preserve"> 2005;366(9497):1640-1649. doi:10.1016/S0140-6736(05)67663-5.</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29. </w:t>
      </w:r>
      <w:r w:rsidRPr="00EB6899">
        <w:rPr>
          <w:rFonts w:ascii="Arial" w:hAnsi="Arial" w:cs="Arial"/>
          <w:noProof/>
        </w:rPr>
        <w:tab/>
        <w:t xml:space="preserve">English C, Hillier SL, Lynch EA. Circuit class therapy for improving mobility after stroke. </w:t>
      </w:r>
      <w:r w:rsidRPr="00EB6899">
        <w:rPr>
          <w:rFonts w:ascii="Arial" w:hAnsi="Arial" w:cs="Arial"/>
          <w:i/>
          <w:iCs/>
          <w:noProof/>
        </w:rPr>
        <w:t>Cochrane Database Syst Rev</w:t>
      </w:r>
      <w:r w:rsidRPr="00EB6899">
        <w:rPr>
          <w:rFonts w:ascii="Arial" w:hAnsi="Arial" w:cs="Arial"/>
          <w:noProof/>
        </w:rPr>
        <w:t xml:space="preserve"> 2017;6:CD007513. doi:10.1002/14651858.CD007513.pub3.</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lastRenderedPageBreak/>
        <w:t xml:space="preserve">30. </w:t>
      </w:r>
      <w:r w:rsidRPr="00EB6899">
        <w:rPr>
          <w:rFonts w:ascii="Arial" w:hAnsi="Arial" w:cs="Arial"/>
          <w:noProof/>
        </w:rPr>
        <w:tab/>
        <w:t xml:space="preserve">Andersson AG, Kamwendo K, Seiger A, Appelros P. How to identify potential fallers in a stroke unit: validity indexes of 4 test methods. </w:t>
      </w:r>
      <w:r w:rsidRPr="00EB6899">
        <w:rPr>
          <w:rFonts w:ascii="Arial" w:hAnsi="Arial" w:cs="Arial"/>
          <w:i/>
          <w:iCs/>
          <w:noProof/>
        </w:rPr>
        <w:t>J Rehabil Med</w:t>
      </w:r>
      <w:r w:rsidRPr="00EB6899">
        <w:rPr>
          <w:rFonts w:ascii="Arial" w:hAnsi="Arial" w:cs="Arial"/>
          <w:noProof/>
        </w:rPr>
        <w:t xml:space="preserve"> 2006;38(3):186-191. doi:10.1080/16501970500478023.</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31. </w:t>
      </w:r>
      <w:r w:rsidRPr="00EB6899">
        <w:rPr>
          <w:rFonts w:ascii="Arial" w:hAnsi="Arial" w:cs="Arial"/>
          <w:noProof/>
        </w:rPr>
        <w:tab/>
        <w:t xml:space="preserve">Flansbjer U-B, Holmbäck AM, Downham D, Patten C, Lexell J. Reliability of gait performance tests in men and women with hemiparesis after stroke. </w:t>
      </w:r>
      <w:r w:rsidRPr="00EB6899">
        <w:rPr>
          <w:rFonts w:ascii="Arial" w:hAnsi="Arial" w:cs="Arial"/>
          <w:i/>
          <w:iCs/>
          <w:noProof/>
        </w:rPr>
        <w:t>J Rehabil Med</w:t>
      </w:r>
      <w:r w:rsidRPr="00EB6899">
        <w:rPr>
          <w:rFonts w:ascii="Arial" w:hAnsi="Arial" w:cs="Arial"/>
          <w:noProof/>
        </w:rPr>
        <w:t xml:space="preserve"> 2005;37(2):75-82. doi:10.1080/16501970410017215.</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32. </w:t>
      </w:r>
      <w:r w:rsidRPr="00EB6899">
        <w:rPr>
          <w:rFonts w:ascii="Arial" w:hAnsi="Arial" w:cs="Arial"/>
          <w:noProof/>
        </w:rPr>
        <w:tab/>
        <w:t xml:space="preserve">Doğan A, Mengüllüoğlu M, Özgirgin N. Evaluation of the effect of ankle-foot orthosis use on balance and mobility in hemiparetic stroke patients. </w:t>
      </w:r>
      <w:r w:rsidRPr="00EB6899">
        <w:rPr>
          <w:rFonts w:ascii="Arial" w:hAnsi="Arial" w:cs="Arial"/>
          <w:i/>
          <w:iCs/>
          <w:noProof/>
        </w:rPr>
        <w:t>Disabil Rehabil</w:t>
      </w:r>
      <w:r w:rsidRPr="00EB6899">
        <w:rPr>
          <w:rFonts w:ascii="Arial" w:hAnsi="Arial" w:cs="Arial"/>
          <w:noProof/>
        </w:rPr>
        <w:t xml:space="preserve"> 2011;33(15-16):1433-1439. doi:10.3109/09638288.2010.533243.</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33. </w:t>
      </w:r>
      <w:r w:rsidRPr="00EB6899">
        <w:rPr>
          <w:rFonts w:ascii="Arial" w:hAnsi="Arial" w:cs="Arial"/>
          <w:noProof/>
        </w:rPr>
        <w:tab/>
        <w:t xml:space="preserve">Flansbjer U-B, Blom J, Brogårdh C. The reproducibility of Berg Balance Scale and the Single-leg Stance in chronic stroke and the relationship between the two tests. </w:t>
      </w:r>
      <w:r w:rsidRPr="00EB6899">
        <w:rPr>
          <w:rFonts w:ascii="Arial" w:hAnsi="Arial" w:cs="Arial"/>
          <w:i/>
          <w:iCs/>
          <w:noProof/>
        </w:rPr>
        <w:t>PM R</w:t>
      </w:r>
      <w:r w:rsidRPr="00EB6899">
        <w:rPr>
          <w:rFonts w:ascii="Arial" w:hAnsi="Arial" w:cs="Arial"/>
          <w:noProof/>
        </w:rPr>
        <w:t xml:space="preserve"> 2012;4(3):165-170. doi:10.1016/j.pmrj.2011.11.004.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34. </w:t>
      </w:r>
      <w:r w:rsidRPr="00EB6899">
        <w:rPr>
          <w:rFonts w:ascii="Arial" w:hAnsi="Arial" w:cs="Arial"/>
          <w:noProof/>
        </w:rPr>
        <w:tab/>
        <w:t xml:space="preserve">Nasreddine ZS, Phillips NA, Bédirian V, et al. The Montreal Cognitive Assessment, MoCA: a brief screening tool for mild cognitive impairment. </w:t>
      </w:r>
      <w:r w:rsidRPr="00EB6899">
        <w:rPr>
          <w:rFonts w:ascii="Arial" w:hAnsi="Arial" w:cs="Arial"/>
          <w:i/>
          <w:iCs/>
          <w:noProof/>
        </w:rPr>
        <w:t>J Am Geriatr Soc</w:t>
      </w:r>
      <w:r w:rsidRPr="00EB6899">
        <w:rPr>
          <w:rFonts w:ascii="Arial" w:hAnsi="Arial" w:cs="Arial"/>
          <w:noProof/>
        </w:rPr>
        <w:t xml:space="preserve"> 2005;53(4):695-699. doi:10.1111/j.1532-5415.2005.53221.x.</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35. </w:t>
      </w:r>
      <w:r w:rsidRPr="00EB6899">
        <w:rPr>
          <w:rFonts w:ascii="Arial" w:hAnsi="Arial" w:cs="Arial"/>
          <w:noProof/>
        </w:rPr>
        <w:tab/>
        <w:t xml:space="preserve">Toglia J, Fitzgerald KA, O’Dell MW, Mastrogiovanni AR, Lin CD. The Mini-Mental State Examination and Montreal Cognitive Assessment in persons with mild subacute stroke: relationship to functional outcome. </w:t>
      </w:r>
      <w:r w:rsidRPr="00EB6899">
        <w:rPr>
          <w:rFonts w:ascii="Arial" w:hAnsi="Arial" w:cs="Arial"/>
          <w:i/>
          <w:iCs/>
          <w:noProof/>
        </w:rPr>
        <w:t>Arch Phys Med Rehabil</w:t>
      </w:r>
      <w:r w:rsidRPr="00EB6899">
        <w:rPr>
          <w:rFonts w:ascii="Arial" w:hAnsi="Arial" w:cs="Arial"/>
          <w:noProof/>
        </w:rPr>
        <w:t xml:space="preserve"> 2011;92(5):792-798. doi:10.1016/j.apmr.2010.12.034.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36. </w:t>
      </w:r>
      <w:r w:rsidRPr="00EB6899">
        <w:rPr>
          <w:rFonts w:ascii="Arial" w:hAnsi="Arial" w:cs="Arial"/>
          <w:noProof/>
        </w:rPr>
        <w:tab/>
        <w:t xml:space="preserve">Brewer L, Horgan F, Hickey A, Williams D. Stroke rehabilitation: recent advances and future therapies. </w:t>
      </w:r>
      <w:r w:rsidRPr="00EB6899">
        <w:rPr>
          <w:rFonts w:ascii="Arial" w:hAnsi="Arial" w:cs="Arial"/>
          <w:i/>
          <w:iCs/>
          <w:noProof/>
        </w:rPr>
        <w:t>QJM</w:t>
      </w:r>
      <w:r w:rsidRPr="00EB6899">
        <w:rPr>
          <w:rFonts w:ascii="Arial" w:hAnsi="Arial" w:cs="Arial"/>
          <w:noProof/>
        </w:rPr>
        <w:t xml:space="preserve"> 2013;106(1):11-25. doi:10.1093/qjmed/hcs174.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37. </w:t>
      </w:r>
      <w:r w:rsidRPr="00EB6899">
        <w:rPr>
          <w:rFonts w:ascii="Arial" w:hAnsi="Arial" w:cs="Arial"/>
          <w:noProof/>
        </w:rPr>
        <w:tab/>
        <w:t xml:space="preserve">Serra MC. The Importance of Assessing Nutritional Status to Ensure Optimal Recovery during the Chronic Phase of Stroke. </w:t>
      </w:r>
      <w:r w:rsidRPr="00EB6899">
        <w:rPr>
          <w:rFonts w:ascii="Arial" w:hAnsi="Arial" w:cs="Arial"/>
          <w:i/>
          <w:iCs/>
          <w:noProof/>
        </w:rPr>
        <w:t>Stroke Res Treat</w:t>
      </w:r>
      <w:r w:rsidRPr="00EB6899">
        <w:rPr>
          <w:rFonts w:ascii="Arial" w:hAnsi="Arial" w:cs="Arial"/>
          <w:noProof/>
        </w:rPr>
        <w:t xml:space="preserve"> 2018;2018:1297846. doi:10.1155/2018/1297846.</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38. </w:t>
      </w:r>
      <w:r w:rsidRPr="00EB6899">
        <w:rPr>
          <w:rFonts w:ascii="Arial" w:hAnsi="Arial" w:cs="Arial"/>
          <w:noProof/>
        </w:rPr>
        <w:tab/>
        <w:t xml:space="preserve">Winstein CJ, Stein J, Arena R, et al. Guidelines for adult stroke rehabilitation and recovery: A guideline for healthcare professionals from the american heart association/american stroke association. </w:t>
      </w:r>
      <w:r w:rsidRPr="00EB6899">
        <w:rPr>
          <w:rFonts w:ascii="Arial" w:hAnsi="Arial" w:cs="Arial"/>
          <w:i/>
          <w:iCs/>
          <w:noProof/>
        </w:rPr>
        <w:t>Stroke</w:t>
      </w:r>
      <w:r w:rsidRPr="00EB6899">
        <w:rPr>
          <w:rFonts w:ascii="Arial" w:hAnsi="Arial" w:cs="Arial"/>
          <w:noProof/>
        </w:rPr>
        <w:t xml:space="preserve"> 2016;47(6):e98-e169. doi:10.1161/STR.0000000000000098.</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39. </w:t>
      </w:r>
      <w:r w:rsidRPr="00EB6899">
        <w:rPr>
          <w:rFonts w:ascii="Arial" w:hAnsi="Arial" w:cs="Arial"/>
          <w:noProof/>
        </w:rPr>
        <w:tab/>
        <w:t xml:space="preserve">Taylor-Piliae RE, Hoke TM, Hepworth JT, Latt LD, Najafi B, Coull BM. Effect of Tai Chi on physical function, fall rates and quality of life among older stroke survivors. </w:t>
      </w:r>
      <w:r w:rsidRPr="00EB6899">
        <w:rPr>
          <w:rFonts w:ascii="Arial" w:hAnsi="Arial" w:cs="Arial"/>
          <w:i/>
          <w:iCs/>
          <w:noProof/>
        </w:rPr>
        <w:t>Arch Phys Med Rehabil</w:t>
      </w:r>
      <w:r w:rsidRPr="00EB6899">
        <w:rPr>
          <w:rFonts w:ascii="Arial" w:hAnsi="Arial" w:cs="Arial"/>
          <w:noProof/>
        </w:rPr>
        <w:t xml:space="preserve"> 2014;95(5):816-824. doi:10.1016/j.apmr.2014.01.001.</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40. </w:t>
      </w:r>
      <w:r w:rsidRPr="00EB6899">
        <w:rPr>
          <w:rFonts w:ascii="Arial" w:hAnsi="Arial" w:cs="Arial"/>
          <w:noProof/>
        </w:rPr>
        <w:tab/>
        <w:t xml:space="preserve">Chen T-Y, Edwards JD, Janke MC. The effects of the A matter of balance program on falls and physical risk of falls, tampa, florida, 2013. </w:t>
      </w:r>
      <w:r w:rsidRPr="00EB6899">
        <w:rPr>
          <w:rFonts w:ascii="Arial" w:hAnsi="Arial" w:cs="Arial"/>
          <w:i/>
          <w:iCs/>
          <w:noProof/>
        </w:rPr>
        <w:t>Prev Chronic Dis</w:t>
      </w:r>
      <w:r w:rsidRPr="00EB6899">
        <w:rPr>
          <w:rFonts w:ascii="Arial" w:hAnsi="Arial" w:cs="Arial"/>
          <w:noProof/>
        </w:rPr>
        <w:t xml:space="preserve"> 2015;12:E157. doi:10.5888/pcd12.150096.</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41. </w:t>
      </w:r>
      <w:r w:rsidRPr="00EB6899">
        <w:rPr>
          <w:rFonts w:ascii="Arial" w:hAnsi="Arial" w:cs="Arial"/>
          <w:noProof/>
        </w:rPr>
        <w:tab/>
        <w:t xml:space="preserve">Teixeira R, Perez L, Lambeck J, Neto F. The influence of ai chi on balance and fear of falling in older adults: A randomized clinical trial. </w:t>
      </w:r>
      <w:r w:rsidRPr="00EB6899">
        <w:rPr>
          <w:rFonts w:ascii="Arial" w:hAnsi="Arial" w:cs="Arial"/>
          <w:i/>
          <w:iCs/>
          <w:noProof/>
        </w:rPr>
        <w:t>Physiotherapy</w:t>
      </w:r>
      <w:r w:rsidRPr="00EB6899">
        <w:rPr>
          <w:rFonts w:ascii="Arial" w:hAnsi="Arial" w:cs="Arial"/>
          <w:noProof/>
        </w:rPr>
        <w:t xml:space="preserve"> 2011;97:eS654.</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42. </w:t>
      </w:r>
      <w:r w:rsidRPr="00EB6899">
        <w:rPr>
          <w:rFonts w:ascii="Arial" w:hAnsi="Arial" w:cs="Arial"/>
          <w:noProof/>
        </w:rPr>
        <w:tab/>
        <w:t xml:space="preserve">Howe TE, Rochester L, Neil F, Skelton DA, Ballinger C. Exercise for improving balance in older people. </w:t>
      </w:r>
      <w:r w:rsidRPr="00EB6899">
        <w:rPr>
          <w:rFonts w:ascii="Arial" w:hAnsi="Arial" w:cs="Arial"/>
          <w:i/>
          <w:iCs/>
          <w:noProof/>
        </w:rPr>
        <w:t>Cochrane Database Syst Rev</w:t>
      </w:r>
      <w:r w:rsidRPr="00EB6899">
        <w:rPr>
          <w:rFonts w:ascii="Arial" w:hAnsi="Arial" w:cs="Arial"/>
          <w:noProof/>
        </w:rPr>
        <w:t xml:space="preserve"> 2011;(11):CD004963. doi:10.1002/14651858.CD004963.pub3.</w:t>
      </w:r>
    </w:p>
    <w:p w:rsidR="00EB6899" w:rsidRPr="00EB6899" w:rsidRDefault="00EB6899">
      <w:pPr>
        <w:widowControl w:val="0"/>
        <w:autoSpaceDE w:val="0"/>
        <w:autoSpaceDN w:val="0"/>
        <w:adjustRightInd w:val="0"/>
        <w:ind w:left="560" w:hanging="560"/>
        <w:rPr>
          <w:rFonts w:ascii="Arial" w:hAnsi="Arial" w:cs="Arial"/>
          <w:noProof/>
        </w:rPr>
      </w:pPr>
      <w:r w:rsidRPr="00EB6899">
        <w:rPr>
          <w:rFonts w:ascii="Arial" w:hAnsi="Arial" w:cs="Arial"/>
          <w:noProof/>
        </w:rPr>
        <w:t xml:space="preserve">43. </w:t>
      </w:r>
      <w:r w:rsidRPr="00EB6899">
        <w:rPr>
          <w:rFonts w:ascii="Arial" w:hAnsi="Arial" w:cs="Arial"/>
          <w:noProof/>
        </w:rPr>
        <w:tab/>
        <w:t xml:space="preserve">Fiske A, Wetherell JL, Gatz M. Depression in older adults. </w:t>
      </w:r>
      <w:r w:rsidRPr="00EB6899">
        <w:rPr>
          <w:rFonts w:ascii="Arial" w:hAnsi="Arial" w:cs="Arial"/>
          <w:i/>
          <w:iCs/>
          <w:noProof/>
        </w:rPr>
        <w:t>Annu Rev Clin Psychol</w:t>
      </w:r>
      <w:r w:rsidRPr="00EB6899">
        <w:rPr>
          <w:rFonts w:ascii="Arial" w:hAnsi="Arial" w:cs="Arial"/>
          <w:noProof/>
        </w:rPr>
        <w:t xml:space="preserve"> 2009;5:363-389. doi:10.1146/annurev.clinpsy.032408.153621.</w:t>
      </w:r>
    </w:p>
    <w:p w:rsidR="002D1BBE" w:rsidRPr="00EB6899" w:rsidRDefault="00730921" w:rsidP="00EB6899">
      <w:pPr>
        <w:pStyle w:val="Heading1"/>
        <w:rPr>
          <w:rFonts w:ascii="Arial" w:hAnsi="Arial" w:cs="Arial"/>
          <w:color w:val="3A3838"/>
          <w14:textFill>
            <w14:solidFill>
              <w14:srgbClr w14:val="3A3838">
                <w14:lumMod w14:val="50000"/>
              </w14:srgbClr>
            </w14:solidFill>
          </w14:textFill>
        </w:rPr>
      </w:pPr>
      <w:r w:rsidRPr="00CF09D0">
        <w:fldChar w:fldCharType="end"/>
      </w:r>
      <w:r w:rsidR="0055579B" w:rsidRPr="00EB6899">
        <w:rPr>
          <w:rFonts w:ascii="Arial" w:hAnsi="Arial" w:cs="Arial"/>
        </w:rPr>
        <w:t>Appendix</w:t>
      </w:r>
      <w:r w:rsidR="002D1BBE" w:rsidRPr="00EB6899">
        <w:rPr>
          <w:rFonts w:ascii="Arial" w:hAnsi="Arial" w:cs="Arial"/>
        </w:rPr>
        <w:t>:</w:t>
      </w:r>
    </w:p>
    <w:p w:rsidR="00E80883" w:rsidRPr="00CF09D0" w:rsidRDefault="00E80883" w:rsidP="0055579B">
      <w:pPr>
        <w:rPr>
          <w:rFonts w:ascii="Arial" w:eastAsia="Times New Roman" w:hAnsi="Arial" w:cs="Arial"/>
          <w:sz w:val="20"/>
          <w:szCs w:val="20"/>
          <w:u w:val="single"/>
        </w:rPr>
      </w:pPr>
    </w:p>
    <w:p w:rsidR="00E80883" w:rsidRPr="00CF09D0" w:rsidRDefault="00E80883" w:rsidP="00031BCF">
      <w:pPr>
        <w:pStyle w:val="ListParagraph"/>
        <w:numPr>
          <w:ilvl w:val="0"/>
          <w:numId w:val="5"/>
        </w:numPr>
        <w:rPr>
          <w:rFonts w:ascii="Arial" w:eastAsia="Times New Roman" w:hAnsi="Arial" w:cs="Arial"/>
          <w:b/>
          <w:u w:val="single"/>
        </w:rPr>
      </w:pPr>
      <w:r w:rsidRPr="00CF09D0">
        <w:rPr>
          <w:rFonts w:ascii="Arial" w:eastAsia="Times New Roman" w:hAnsi="Arial" w:cs="Arial"/>
          <w:b/>
          <w:u w:val="single"/>
        </w:rPr>
        <w:t>Mini-Nutritional Short Form</w:t>
      </w:r>
    </w:p>
    <w:p w:rsidR="00E80883" w:rsidRPr="00CF09D0" w:rsidRDefault="00E80883" w:rsidP="0025227B">
      <w:pPr>
        <w:pStyle w:val="ListParagraph"/>
        <w:spacing w:before="100" w:beforeAutospacing="1" w:after="100" w:afterAutospacing="1" w:line="276" w:lineRule="auto"/>
        <w:rPr>
          <w:rFonts w:ascii="Arial" w:eastAsia="Times New Roman" w:hAnsi="Arial" w:cs="Arial"/>
        </w:rPr>
      </w:pPr>
      <w:r w:rsidRPr="00CF09D0">
        <w:rPr>
          <w:rFonts w:ascii="Arial" w:eastAsia="Times New Roman" w:hAnsi="Arial" w:cs="Arial"/>
        </w:rPr>
        <w:lastRenderedPageBreak/>
        <w:t xml:space="preserve">Complete the screen by filling in the boxes with the appropriate numbers. Total the numbers for the final screening score. </w:t>
      </w:r>
    </w:p>
    <w:p w:rsidR="00EB6899" w:rsidRDefault="00EB6899" w:rsidP="00EB6899">
      <w:pPr>
        <w:pStyle w:val="ListParagraph"/>
        <w:spacing w:before="100" w:beforeAutospacing="1" w:after="100" w:afterAutospacing="1" w:line="360" w:lineRule="auto"/>
        <w:rPr>
          <w:rFonts w:ascii="Arial" w:eastAsia="Times New Roman" w:hAnsi="Arial" w:cs="Arial"/>
        </w:rPr>
      </w:pPr>
    </w:p>
    <w:p w:rsidR="0025227B" w:rsidRDefault="00EB6899" w:rsidP="00EB6899">
      <w:pPr>
        <w:pStyle w:val="ListParagraph"/>
        <w:spacing w:before="100" w:beforeAutospacing="1" w:after="100" w:afterAutospacing="1" w:line="360" w:lineRule="auto"/>
        <w:rPr>
          <w:rFonts w:ascii="Arial" w:eastAsia="Times New Roman" w:hAnsi="Arial" w:cs="Arial"/>
        </w:rPr>
      </w:pPr>
      <w:r>
        <w:rPr>
          <w:rFonts w:ascii="Arial" w:eastAsia="Times New Roman" w:hAnsi="Arial" w:cs="Arial"/>
        </w:rPr>
        <w:t xml:space="preserve">Last name: </w:t>
      </w:r>
      <w:r>
        <w:rPr>
          <w:rFonts w:ascii="Arial" w:eastAsia="Times New Roman" w:hAnsi="Arial" w:cs="Arial"/>
        </w:rPr>
        <w:tab/>
      </w:r>
      <w:r>
        <w:rPr>
          <w:rFonts w:ascii="Arial" w:eastAsia="Times New Roman" w:hAnsi="Arial" w:cs="Arial"/>
        </w:rPr>
        <w:tab/>
      </w:r>
      <w:r w:rsidR="00E80883" w:rsidRPr="00CF09D0">
        <w:rPr>
          <w:rFonts w:ascii="Arial" w:eastAsia="Times New Roman" w:hAnsi="Arial" w:cs="Arial"/>
        </w:rPr>
        <w:tab/>
        <w:t>First name:</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CF09D0">
        <w:rPr>
          <w:rFonts w:ascii="Arial" w:eastAsia="Times New Roman" w:hAnsi="Arial" w:cs="Arial"/>
        </w:rPr>
        <w:t>Date: __________</w:t>
      </w:r>
      <w:r w:rsidR="00E80883" w:rsidRPr="00EB6899">
        <w:rPr>
          <w:rFonts w:ascii="Arial" w:eastAsia="Times New Roman" w:hAnsi="Arial" w:cs="Arial"/>
        </w:rPr>
        <w:br/>
        <w:t>Sex: ________ A</w:t>
      </w:r>
      <w:r w:rsidRPr="00EB6899">
        <w:rPr>
          <w:rFonts w:ascii="Arial" w:eastAsia="Times New Roman" w:hAnsi="Arial" w:cs="Arial"/>
        </w:rPr>
        <w:t>ge: ________ Weight, kg: ______</w:t>
      </w:r>
      <w:r w:rsidR="00E80883" w:rsidRPr="00EB6899">
        <w:rPr>
          <w:rFonts w:ascii="Arial" w:eastAsia="Times New Roman" w:hAnsi="Arial" w:cs="Arial"/>
        </w:rPr>
        <w:t xml:space="preserve">___ Height, cm: __________ </w:t>
      </w:r>
    </w:p>
    <w:p w:rsidR="00EB6899" w:rsidRPr="00EB6899" w:rsidRDefault="00EB6899" w:rsidP="00EB6899">
      <w:pPr>
        <w:pStyle w:val="ListParagraph"/>
        <w:spacing w:before="100" w:beforeAutospacing="1" w:after="100" w:afterAutospacing="1" w:line="360" w:lineRule="auto"/>
        <w:rPr>
          <w:rFonts w:ascii="Arial" w:eastAsia="Times New Roman" w:hAnsi="Arial" w:cs="Arial"/>
        </w:rPr>
      </w:pPr>
    </w:p>
    <w:p w:rsidR="00E80883" w:rsidRPr="00CF09D0" w:rsidRDefault="00E80883" w:rsidP="0025227B">
      <w:pPr>
        <w:pStyle w:val="ListParagraph"/>
        <w:numPr>
          <w:ilvl w:val="0"/>
          <w:numId w:val="7"/>
        </w:numPr>
        <w:spacing w:before="100" w:beforeAutospacing="1" w:after="100" w:afterAutospacing="1" w:line="360" w:lineRule="auto"/>
        <w:rPr>
          <w:rFonts w:ascii="Arial" w:eastAsia="Times New Roman" w:hAnsi="Arial" w:cs="Arial"/>
        </w:rPr>
      </w:pPr>
      <w:r w:rsidRPr="00CF09D0">
        <w:rPr>
          <w:rFonts w:ascii="Arial" w:eastAsia="Times New Roman" w:hAnsi="Arial" w:cs="Arial"/>
          <w:b/>
          <w:bCs/>
        </w:rPr>
        <w:t>Has food intake declined over the past 3 months due to loss of appetite, digestive problems, chewing or swallowing difficulties?</w:t>
      </w:r>
      <w:r w:rsidRPr="00CF09D0">
        <w:rPr>
          <w:rFonts w:ascii="Arial" w:eastAsia="Times New Roman" w:hAnsi="Arial" w:cs="Arial"/>
          <w:b/>
          <w:bCs/>
        </w:rPr>
        <w:br/>
      </w:r>
      <w:r w:rsidRPr="00CF09D0">
        <w:rPr>
          <w:rFonts w:ascii="Arial" w:eastAsia="Times New Roman" w:hAnsi="Arial" w:cs="Arial"/>
        </w:rPr>
        <w:t>0 = severe decrease in food intake</w:t>
      </w:r>
      <w:r w:rsidRPr="00CF09D0">
        <w:rPr>
          <w:rFonts w:ascii="Arial" w:eastAsia="Times New Roman" w:hAnsi="Arial" w:cs="Arial"/>
        </w:rPr>
        <w:br/>
        <w:t xml:space="preserve">1 = moderate decrease in food intake </w:t>
      </w:r>
    </w:p>
    <w:p w:rsidR="00E80883" w:rsidRPr="00CF09D0" w:rsidRDefault="00E80883" w:rsidP="00EB2DE3">
      <w:pPr>
        <w:pStyle w:val="ListParagraph"/>
        <w:spacing w:before="100" w:beforeAutospacing="1" w:after="100" w:afterAutospacing="1" w:line="360" w:lineRule="auto"/>
        <w:ind w:left="1080"/>
        <w:rPr>
          <w:rFonts w:ascii="Arial" w:eastAsia="Times New Roman" w:hAnsi="Arial" w:cs="Arial"/>
        </w:rPr>
      </w:pPr>
      <w:r w:rsidRPr="00CF09D0">
        <w:rPr>
          <w:rFonts w:ascii="Arial" w:eastAsia="Times New Roman" w:hAnsi="Arial" w:cs="Arial"/>
        </w:rPr>
        <w:t xml:space="preserve">2 = no decrease in food intake </w:t>
      </w:r>
    </w:p>
    <w:p w:rsidR="00E80883" w:rsidRPr="00CF09D0" w:rsidRDefault="00E80883" w:rsidP="0025227B">
      <w:pPr>
        <w:pStyle w:val="ListParagraph"/>
        <w:numPr>
          <w:ilvl w:val="0"/>
          <w:numId w:val="7"/>
        </w:numPr>
        <w:spacing w:before="100" w:beforeAutospacing="1" w:after="100" w:afterAutospacing="1" w:line="360" w:lineRule="auto"/>
        <w:rPr>
          <w:rFonts w:ascii="Arial" w:eastAsia="Times New Roman" w:hAnsi="Arial" w:cs="Arial"/>
        </w:rPr>
      </w:pPr>
      <w:r w:rsidRPr="00CF09D0">
        <w:rPr>
          <w:rFonts w:ascii="Arial" w:eastAsia="Times New Roman" w:hAnsi="Arial" w:cs="Arial"/>
          <w:b/>
          <w:bCs/>
        </w:rPr>
        <w:t xml:space="preserve">Weight loss during the last 3 months </w:t>
      </w:r>
    </w:p>
    <w:p w:rsidR="00E80883" w:rsidRPr="00CF09D0" w:rsidRDefault="00E80883" w:rsidP="00EB2DE3">
      <w:pPr>
        <w:pStyle w:val="ListParagraph"/>
        <w:spacing w:before="100" w:beforeAutospacing="1" w:after="100" w:afterAutospacing="1" w:line="360" w:lineRule="auto"/>
        <w:ind w:left="1080"/>
        <w:rPr>
          <w:rFonts w:ascii="Arial" w:eastAsia="Times New Roman" w:hAnsi="Arial" w:cs="Arial"/>
        </w:rPr>
      </w:pPr>
      <w:r w:rsidRPr="00CF09D0">
        <w:rPr>
          <w:rFonts w:ascii="Arial" w:eastAsia="Times New Roman" w:hAnsi="Arial" w:cs="Arial"/>
        </w:rPr>
        <w:t xml:space="preserve">0 = weight loss greater than 3 kg (6.6 </w:t>
      </w:r>
      <w:proofErr w:type="spellStart"/>
      <w:r w:rsidRPr="00CF09D0">
        <w:rPr>
          <w:rFonts w:ascii="Arial" w:eastAsia="Times New Roman" w:hAnsi="Arial" w:cs="Arial"/>
        </w:rPr>
        <w:t>lbs</w:t>
      </w:r>
      <w:proofErr w:type="spellEnd"/>
      <w:r w:rsidRPr="00CF09D0">
        <w:rPr>
          <w:rFonts w:ascii="Arial" w:eastAsia="Times New Roman" w:hAnsi="Arial" w:cs="Arial"/>
        </w:rPr>
        <w:t>)</w:t>
      </w:r>
      <w:r w:rsidRPr="00CF09D0">
        <w:rPr>
          <w:rFonts w:ascii="Arial" w:eastAsia="Times New Roman" w:hAnsi="Arial" w:cs="Arial"/>
        </w:rPr>
        <w:br/>
        <w:t>1 = does not know</w:t>
      </w:r>
      <w:r w:rsidRPr="00CF09D0">
        <w:rPr>
          <w:rFonts w:ascii="Arial" w:eastAsia="Times New Roman" w:hAnsi="Arial" w:cs="Arial"/>
        </w:rPr>
        <w:br/>
        <w:t xml:space="preserve">2 = weight loss between 1 and 3 kg (2.2 and 6.6 </w:t>
      </w:r>
      <w:proofErr w:type="spellStart"/>
      <w:r w:rsidRPr="00CF09D0">
        <w:rPr>
          <w:rFonts w:ascii="Arial" w:eastAsia="Times New Roman" w:hAnsi="Arial" w:cs="Arial"/>
        </w:rPr>
        <w:t>lbs</w:t>
      </w:r>
      <w:proofErr w:type="spellEnd"/>
      <w:r w:rsidRPr="00CF09D0">
        <w:rPr>
          <w:rFonts w:ascii="Arial" w:eastAsia="Times New Roman" w:hAnsi="Arial" w:cs="Arial"/>
        </w:rPr>
        <w:t xml:space="preserve">) 3 = no weight loss </w:t>
      </w:r>
    </w:p>
    <w:p w:rsidR="00EB2DE3" w:rsidRPr="00CF09D0" w:rsidRDefault="00EB2DE3" w:rsidP="00EB2DE3">
      <w:pPr>
        <w:pStyle w:val="ListParagraph"/>
        <w:numPr>
          <w:ilvl w:val="0"/>
          <w:numId w:val="7"/>
        </w:numPr>
        <w:spacing w:before="100" w:beforeAutospacing="1" w:after="100" w:afterAutospacing="1" w:line="360" w:lineRule="auto"/>
        <w:rPr>
          <w:rFonts w:ascii="Arial" w:eastAsia="Times New Roman" w:hAnsi="Arial" w:cs="Arial"/>
        </w:rPr>
      </w:pPr>
      <w:r w:rsidRPr="00CF09D0">
        <w:rPr>
          <w:rFonts w:ascii="Arial" w:eastAsia="Times New Roman" w:hAnsi="Arial" w:cs="Arial"/>
          <w:b/>
          <w:bCs/>
        </w:rPr>
        <w:t>Mobi</w:t>
      </w:r>
      <w:r w:rsidR="00E80883" w:rsidRPr="00CF09D0">
        <w:rPr>
          <w:rFonts w:ascii="Arial" w:eastAsia="Times New Roman" w:hAnsi="Arial" w:cs="Arial"/>
          <w:b/>
          <w:bCs/>
        </w:rPr>
        <w:t xml:space="preserve">lity </w:t>
      </w:r>
    </w:p>
    <w:p w:rsidR="00E80883" w:rsidRPr="00CF09D0" w:rsidRDefault="00E80883" w:rsidP="00EB2DE3">
      <w:pPr>
        <w:pStyle w:val="ListParagraph"/>
        <w:spacing w:before="100" w:beforeAutospacing="1" w:after="100" w:afterAutospacing="1" w:line="360" w:lineRule="auto"/>
        <w:ind w:left="1080"/>
        <w:rPr>
          <w:rFonts w:ascii="Arial" w:eastAsia="Times New Roman" w:hAnsi="Arial" w:cs="Arial"/>
        </w:rPr>
      </w:pPr>
      <w:r w:rsidRPr="00CF09D0">
        <w:rPr>
          <w:rFonts w:ascii="Arial" w:eastAsia="Times New Roman" w:hAnsi="Arial" w:cs="Arial"/>
        </w:rPr>
        <w:t>0 = bed or chair bound</w:t>
      </w:r>
      <w:r w:rsidRPr="00CF09D0">
        <w:rPr>
          <w:rFonts w:ascii="Arial" w:eastAsia="Times New Roman" w:hAnsi="Arial" w:cs="Arial"/>
        </w:rPr>
        <w:br/>
        <w:t xml:space="preserve">1 = able to get out of bed / chair but does not go out 2 = goes out </w:t>
      </w:r>
    </w:p>
    <w:p w:rsidR="00EB2DE3" w:rsidRPr="00CF09D0" w:rsidRDefault="00E80883" w:rsidP="00EB2DE3">
      <w:pPr>
        <w:pStyle w:val="ListParagraph"/>
        <w:numPr>
          <w:ilvl w:val="0"/>
          <w:numId w:val="7"/>
        </w:numPr>
        <w:spacing w:before="100" w:beforeAutospacing="1" w:after="100" w:afterAutospacing="1" w:line="360" w:lineRule="auto"/>
        <w:rPr>
          <w:rFonts w:ascii="Arial" w:eastAsia="Times New Roman" w:hAnsi="Arial" w:cs="Arial"/>
        </w:rPr>
      </w:pPr>
      <w:r w:rsidRPr="00CF09D0">
        <w:rPr>
          <w:rFonts w:ascii="Arial" w:eastAsia="Times New Roman" w:hAnsi="Arial" w:cs="Arial"/>
          <w:b/>
          <w:bCs/>
        </w:rPr>
        <w:t xml:space="preserve">Has suffered psychological stress or acute disease in the past 3 months? </w:t>
      </w:r>
    </w:p>
    <w:p w:rsidR="00E80883" w:rsidRPr="00CF09D0" w:rsidRDefault="00E80883" w:rsidP="00EB2DE3">
      <w:pPr>
        <w:pStyle w:val="ListParagraph"/>
        <w:spacing w:before="100" w:beforeAutospacing="1" w:after="100" w:afterAutospacing="1" w:line="360" w:lineRule="auto"/>
        <w:ind w:left="1080"/>
        <w:rPr>
          <w:rFonts w:ascii="Arial" w:eastAsia="Times New Roman" w:hAnsi="Arial" w:cs="Arial"/>
        </w:rPr>
      </w:pPr>
      <w:r w:rsidRPr="00CF09D0">
        <w:rPr>
          <w:rFonts w:ascii="Arial" w:eastAsia="Times New Roman" w:hAnsi="Arial" w:cs="Arial"/>
        </w:rPr>
        <w:t xml:space="preserve">0 = yes 2 = no </w:t>
      </w:r>
    </w:p>
    <w:p w:rsidR="00E80883" w:rsidRPr="00CF09D0" w:rsidRDefault="00E80883" w:rsidP="00EB6899">
      <w:pPr>
        <w:pStyle w:val="ListParagraph"/>
        <w:numPr>
          <w:ilvl w:val="0"/>
          <w:numId w:val="7"/>
        </w:numPr>
        <w:spacing w:line="360" w:lineRule="auto"/>
        <w:rPr>
          <w:rFonts w:ascii="Arial" w:eastAsia="Times New Roman" w:hAnsi="Arial" w:cs="Arial"/>
        </w:rPr>
      </w:pPr>
      <w:r w:rsidRPr="00CF09D0">
        <w:rPr>
          <w:rFonts w:ascii="Arial" w:eastAsia="Times New Roman" w:hAnsi="Arial" w:cs="Arial"/>
          <w:b/>
          <w:bCs/>
        </w:rPr>
        <w:t xml:space="preserve">Neuropsychological problems </w:t>
      </w:r>
    </w:p>
    <w:p w:rsidR="00E80883" w:rsidRPr="00CF09D0" w:rsidRDefault="00E80883" w:rsidP="00EB6899">
      <w:pPr>
        <w:spacing w:line="360" w:lineRule="auto"/>
        <w:ind w:left="1080"/>
        <w:rPr>
          <w:rFonts w:ascii="Arial" w:eastAsia="Times New Roman" w:hAnsi="Arial" w:cs="Arial"/>
        </w:rPr>
      </w:pPr>
      <w:r w:rsidRPr="00CF09D0">
        <w:rPr>
          <w:rFonts w:ascii="Arial" w:eastAsia="Times New Roman" w:hAnsi="Arial" w:cs="Arial"/>
        </w:rPr>
        <w:t>0 = severe dementia or depression 1 = mild dementia</w:t>
      </w:r>
      <w:r w:rsidRPr="00CF09D0">
        <w:rPr>
          <w:rFonts w:ascii="Arial" w:eastAsia="Times New Roman" w:hAnsi="Arial" w:cs="Arial"/>
        </w:rPr>
        <w:br/>
        <w:t xml:space="preserve">2 = no psychological problems </w:t>
      </w:r>
    </w:p>
    <w:p w:rsidR="00E80883" w:rsidRPr="00CF09D0" w:rsidRDefault="00E80883" w:rsidP="00EB6899">
      <w:pPr>
        <w:pStyle w:val="ListParagraph"/>
        <w:numPr>
          <w:ilvl w:val="0"/>
          <w:numId w:val="7"/>
        </w:numPr>
        <w:spacing w:line="360" w:lineRule="auto"/>
        <w:rPr>
          <w:rFonts w:ascii="Arial" w:eastAsia="Times New Roman" w:hAnsi="Arial" w:cs="Arial"/>
        </w:rPr>
      </w:pPr>
      <w:r w:rsidRPr="00CF09D0">
        <w:rPr>
          <w:rFonts w:ascii="Arial" w:eastAsia="Times New Roman" w:hAnsi="Arial" w:cs="Arial"/>
          <w:b/>
          <w:bCs/>
        </w:rPr>
        <w:t>1 - Body Mass Index (BMI) (weight in kg) / (height in m</w:t>
      </w:r>
      <w:r w:rsidRPr="00CF09D0">
        <w:rPr>
          <w:rFonts w:ascii="Arial" w:eastAsia="Times New Roman" w:hAnsi="Arial" w:cs="Arial"/>
        </w:rPr>
        <w:t>)</w:t>
      </w:r>
      <w:r w:rsidRPr="00CF09D0">
        <w:rPr>
          <w:rFonts w:ascii="Arial" w:eastAsia="Times New Roman" w:hAnsi="Arial" w:cs="Arial"/>
          <w:b/>
          <w:bCs/>
          <w:position w:val="8"/>
        </w:rPr>
        <w:t xml:space="preserve">2 </w:t>
      </w:r>
    </w:p>
    <w:p w:rsidR="00E80883" w:rsidRPr="00CF09D0" w:rsidRDefault="00E80883" w:rsidP="0025227B">
      <w:pPr>
        <w:pStyle w:val="ListParagraph"/>
        <w:spacing w:before="100" w:beforeAutospacing="1" w:after="100" w:afterAutospacing="1" w:line="360" w:lineRule="auto"/>
        <w:ind w:left="1440"/>
        <w:rPr>
          <w:rFonts w:ascii="Arial" w:eastAsia="Times New Roman" w:hAnsi="Arial" w:cs="Arial"/>
        </w:rPr>
      </w:pPr>
      <w:r w:rsidRPr="00CF09D0">
        <w:rPr>
          <w:rFonts w:ascii="Arial" w:eastAsia="Times New Roman" w:hAnsi="Arial" w:cs="Arial"/>
        </w:rPr>
        <w:t>0 = BMI less than 19</w:t>
      </w:r>
      <w:r w:rsidRPr="00CF09D0">
        <w:rPr>
          <w:rFonts w:ascii="Arial" w:eastAsia="Times New Roman" w:hAnsi="Arial" w:cs="Arial"/>
        </w:rPr>
        <w:br/>
        <w:t>1 = BMI 19 to less than 21</w:t>
      </w:r>
      <w:r w:rsidRPr="00CF09D0">
        <w:rPr>
          <w:rFonts w:ascii="Arial" w:eastAsia="Times New Roman" w:hAnsi="Arial" w:cs="Arial"/>
        </w:rPr>
        <w:br/>
        <w:t xml:space="preserve">2 = BMI 21 to less than 23 </w:t>
      </w:r>
    </w:p>
    <w:p w:rsidR="00E80883" w:rsidRPr="00CF09D0" w:rsidRDefault="00E80883" w:rsidP="0055579B">
      <w:pPr>
        <w:pStyle w:val="ListParagraph"/>
        <w:spacing w:before="100" w:beforeAutospacing="1" w:after="100" w:afterAutospacing="1" w:line="360" w:lineRule="auto"/>
        <w:ind w:left="1440"/>
        <w:rPr>
          <w:rFonts w:ascii="Arial" w:eastAsia="Times New Roman" w:hAnsi="Arial" w:cs="Arial"/>
        </w:rPr>
      </w:pPr>
      <w:r w:rsidRPr="00CF09D0">
        <w:rPr>
          <w:rFonts w:ascii="Arial" w:eastAsia="Times New Roman" w:hAnsi="Arial" w:cs="Arial"/>
        </w:rPr>
        <w:t xml:space="preserve">3 = BMI 23 or greater </w:t>
      </w:r>
    </w:p>
    <w:p w:rsidR="00E80883" w:rsidRPr="00CF09D0" w:rsidRDefault="00E80883" w:rsidP="0025227B">
      <w:pPr>
        <w:pStyle w:val="ListParagraph"/>
        <w:spacing w:before="100" w:beforeAutospacing="1" w:after="100" w:afterAutospacing="1" w:line="360" w:lineRule="auto"/>
        <w:ind w:left="1080"/>
        <w:rPr>
          <w:rFonts w:ascii="Arial" w:eastAsia="Times New Roman" w:hAnsi="Arial" w:cs="Arial"/>
          <w:b/>
          <w:bCs/>
        </w:rPr>
      </w:pPr>
      <w:r w:rsidRPr="00CF09D0">
        <w:rPr>
          <w:rFonts w:ascii="Arial" w:eastAsia="Times New Roman" w:hAnsi="Arial" w:cs="Arial"/>
          <w:b/>
          <w:bCs/>
        </w:rPr>
        <w:t xml:space="preserve">2 - Calf circumference (CC) in cm </w:t>
      </w:r>
    </w:p>
    <w:p w:rsidR="00E80883" w:rsidRPr="00CF09D0" w:rsidRDefault="00E80883" w:rsidP="0025227B">
      <w:pPr>
        <w:pStyle w:val="ListParagraph"/>
        <w:spacing w:before="100" w:beforeAutospacing="1" w:after="100" w:afterAutospacing="1" w:line="360" w:lineRule="auto"/>
        <w:ind w:left="1080" w:firstLine="360"/>
        <w:rPr>
          <w:rFonts w:ascii="Arial" w:eastAsia="Times New Roman" w:hAnsi="Arial" w:cs="Arial"/>
        </w:rPr>
      </w:pPr>
      <w:r w:rsidRPr="00CF09D0">
        <w:rPr>
          <w:rFonts w:ascii="Arial" w:eastAsia="Times New Roman" w:hAnsi="Arial" w:cs="Arial"/>
        </w:rPr>
        <w:t>0 = CC less than 31 3 = CC 31 or greater</w:t>
      </w:r>
    </w:p>
    <w:p w:rsidR="00E80883" w:rsidRPr="00CF09D0" w:rsidRDefault="00E80883" w:rsidP="0025227B">
      <w:pPr>
        <w:spacing w:before="100" w:beforeAutospacing="1" w:after="100" w:afterAutospacing="1" w:line="360" w:lineRule="auto"/>
        <w:ind w:left="360"/>
        <w:jc w:val="right"/>
        <w:rPr>
          <w:rFonts w:ascii="Arial" w:eastAsia="Times New Roman" w:hAnsi="Arial" w:cs="Arial"/>
        </w:rPr>
      </w:pPr>
      <w:r w:rsidRPr="00CF09D0">
        <w:rPr>
          <w:rFonts w:ascii="Arial" w:eastAsia="Times New Roman" w:hAnsi="Arial" w:cs="Arial"/>
          <w:b/>
        </w:rPr>
        <w:lastRenderedPageBreak/>
        <w:t>Score: _____</w:t>
      </w:r>
      <w:r w:rsidRPr="00CF09D0">
        <w:rPr>
          <w:rFonts w:ascii="Arial" w:eastAsia="Times New Roman" w:hAnsi="Arial" w:cs="Arial"/>
          <w:b/>
        </w:rPr>
        <w:br/>
      </w:r>
      <w:r w:rsidRPr="00CF09D0">
        <w:rPr>
          <w:rFonts w:ascii="Arial" w:eastAsia="Times New Roman" w:hAnsi="Arial" w:cs="Arial"/>
        </w:rPr>
        <w:t>(</w:t>
      </w:r>
      <w:r w:rsidR="0025227B" w:rsidRPr="00CF09D0">
        <w:rPr>
          <w:rFonts w:ascii="Arial" w:eastAsia="Times New Roman" w:hAnsi="Arial" w:cs="Arial"/>
        </w:rPr>
        <w:t>12-14: normal nutritional status; 8-11: at risk of malnutrition; 0-7: malnourished)</w:t>
      </w:r>
      <w:r w:rsidRPr="00CF09D0">
        <w:rPr>
          <w:rFonts w:ascii="Arial" w:eastAsia="Times New Roman" w:hAnsi="Arial" w:cs="Arial"/>
        </w:rPr>
        <w:fldChar w:fldCharType="begin"/>
      </w:r>
      <w:r w:rsidRPr="00CF09D0">
        <w:rPr>
          <w:rFonts w:ascii="Arial" w:eastAsia="Times New Roman" w:hAnsi="Arial" w:cs="Arial"/>
        </w:rPr>
        <w:instrText xml:space="preserve"> INCLUDEPICTURE "/var/folders/ls/1q4llhys0hd0y6vfs42bb_wr0000gn/T/com.microsoft.Word/WebArchiveCopyPasteTempFiles/page1image465883584" \* MERGEFORMATINET </w:instrText>
      </w:r>
      <w:r w:rsidRPr="00CF09D0">
        <w:rPr>
          <w:rFonts w:ascii="Arial" w:eastAsia="Times New Roman" w:hAnsi="Arial" w:cs="Arial"/>
        </w:rPr>
        <w:fldChar w:fldCharType="separate"/>
      </w:r>
      <w:r w:rsidRPr="00CF09D0">
        <w:rPr>
          <w:rFonts w:ascii="Arial" w:hAnsi="Arial" w:cs="Arial"/>
          <w:noProof/>
        </w:rPr>
        <w:drawing>
          <wp:inline distT="0" distB="0" distL="0" distR="0">
            <wp:extent cx="109855" cy="109855"/>
            <wp:effectExtent l="0" t="0" r="4445" b="4445"/>
            <wp:docPr id="6" name="Picture 6" descr="page1image46588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465883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rsidRPr="00CF09D0">
        <w:rPr>
          <w:rFonts w:ascii="Arial" w:eastAsia="Times New Roman" w:hAnsi="Arial" w:cs="Arial"/>
        </w:rPr>
        <w:fldChar w:fldCharType="end"/>
      </w:r>
    </w:p>
    <w:p w:rsidR="00E80883" w:rsidRPr="00CF09D0" w:rsidRDefault="00E80883" w:rsidP="00E80883">
      <w:pPr>
        <w:pStyle w:val="ListParagraph"/>
        <w:ind w:left="1440"/>
        <w:rPr>
          <w:rFonts w:ascii="Arial" w:eastAsia="Times New Roman" w:hAnsi="Arial" w:cs="Arial"/>
          <w:b/>
          <w:u w:val="single"/>
        </w:rPr>
      </w:pPr>
    </w:p>
    <w:p w:rsidR="00031BCF" w:rsidRPr="00CF09D0" w:rsidRDefault="00031BCF" w:rsidP="00031BCF">
      <w:pPr>
        <w:pStyle w:val="ListParagraph"/>
        <w:numPr>
          <w:ilvl w:val="0"/>
          <w:numId w:val="5"/>
        </w:numPr>
        <w:rPr>
          <w:rFonts w:ascii="Arial" w:eastAsia="Times New Roman" w:hAnsi="Arial" w:cs="Arial"/>
          <w:sz w:val="20"/>
          <w:szCs w:val="20"/>
          <w:u w:val="single"/>
        </w:rPr>
      </w:pPr>
      <w:r w:rsidRPr="00CF09D0">
        <w:rPr>
          <w:rFonts w:ascii="Arial" w:hAnsi="Arial" w:cs="Arial"/>
          <w:b/>
          <w:u w:val="single"/>
        </w:rPr>
        <w:t>Pittsburg Sleep Quality Index (PSQI)</w:t>
      </w:r>
    </w:p>
    <w:p w:rsidR="00F36EDE" w:rsidRPr="00EB6899" w:rsidRDefault="00F36EDE" w:rsidP="00F36EDE">
      <w:pPr>
        <w:pStyle w:val="ListParagraph"/>
        <w:spacing w:before="100" w:beforeAutospacing="1" w:after="100" w:afterAutospacing="1"/>
        <w:rPr>
          <w:rFonts w:ascii="Arial" w:eastAsia="Times New Roman" w:hAnsi="Arial" w:cs="Arial"/>
          <w:sz w:val="40"/>
        </w:rPr>
      </w:pPr>
      <w:r w:rsidRPr="00EB6899">
        <w:rPr>
          <w:rFonts w:ascii="Arial" w:eastAsia="Times New Roman" w:hAnsi="Arial" w:cs="Arial"/>
          <w:szCs w:val="18"/>
        </w:rPr>
        <w:t xml:space="preserve">Instructions: The following questions relate to your usual sleep habits during the past month only. Your answers should indicate the most accurate reply for the majority of days and nights in the past month. Please answer all questions. During the past month, </w:t>
      </w:r>
    </w:p>
    <w:p w:rsidR="00F36EDE" w:rsidRPr="00CF09D0" w:rsidRDefault="00F36EDE" w:rsidP="00F36EDE">
      <w:pPr>
        <w:pStyle w:val="ListParagraph"/>
        <w:spacing w:before="100" w:beforeAutospacing="1" w:after="100" w:afterAutospacing="1"/>
        <w:rPr>
          <w:rFonts w:ascii="Arial" w:eastAsia="Times New Roman" w:hAnsi="Arial" w:cs="Arial"/>
          <w:sz w:val="18"/>
          <w:szCs w:val="18"/>
        </w:rPr>
      </w:pPr>
    </w:p>
    <w:p w:rsidR="00F36EDE" w:rsidRPr="00CF09D0" w:rsidRDefault="00F36EDE" w:rsidP="00EB2DE3">
      <w:pPr>
        <w:pStyle w:val="ListParagraph"/>
        <w:spacing w:before="100" w:beforeAutospacing="1" w:after="100" w:afterAutospacing="1" w:line="360" w:lineRule="auto"/>
        <w:rPr>
          <w:rFonts w:ascii="Arial" w:eastAsia="Times New Roman" w:hAnsi="Arial" w:cs="Arial"/>
          <w:sz w:val="36"/>
        </w:rPr>
      </w:pPr>
      <w:r w:rsidRPr="00CF09D0">
        <w:rPr>
          <w:rFonts w:ascii="Arial" w:eastAsia="Times New Roman" w:hAnsi="Arial" w:cs="Arial"/>
          <w:szCs w:val="18"/>
        </w:rPr>
        <w:t>1. When have you usually gone to bed? ______________</w:t>
      </w:r>
      <w:r w:rsidRPr="00CF09D0">
        <w:rPr>
          <w:rFonts w:ascii="Arial" w:eastAsia="Times New Roman" w:hAnsi="Arial" w:cs="Arial"/>
          <w:szCs w:val="18"/>
        </w:rPr>
        <w:br/>
        <w:t xml:space="preserve">2. How long (in minutes) has it taken you to fall asleep each night? ______________ </w:t>
      </w:r>
    </w:p>
    <w:p w:rsidR="00F36EDE" w:rsidRPr="00CF09D0" w:rsidRDefault="00F36EDE" w:rsidP="00EB2DE3">
      <w:pPr>
        <w:pStyle w:val="ListParagraph"/>
        <w:spacing w:before="100" w:beforeAutospacing="1" w:after="100" w:afterAutospacing="1" w:line="360" w:lineRule="auto"/>
        <w:rPr>
          <w:rFonts w:ascii="Arial" w:eastAsia="Times New Roman" w:hAnsi="Arial" w:cs="Arial"/>
          <w:szCs w:val="18"/>
        </w:rPr>
      </w:pPr>
      <w:r w:rsidRPr="00CF09D0">
        <w:rPr>
          <w:rFonts w:ascii="Arial" w:eastAsia="Times New Roman" w:hAnsi="Arial" w:cs="Arial"/>
          <w:szCs w:val="18"/>
        </w:rPr>
        <w:t>3. When have you usually gotten up in the morning? ______________</w:t>
      </w:r>
    </w:p>
    <w:p w:rsidR="00F36EDE" w:rsidRPr="00CF09D0" w:rsidRDefault="00F36EDE" w:rsidP="00EB2DE3">
      <w:pPr>
        <w:pStyle w:val="ListParagraph"/>
        <w:spacing w:before="100" w:beforeAutospacing="1" w:after="100" w:afterAutospacing="1" w:line="360" w:lineRule="auto"/>
        <w:rPr>
          <w:rFonts w:ascii="Arial" w:eastAsia="Times New Roman" w:hAnsi="Arial" w:cs="Arial"/>
          <w:sz w:val="36"/>
        </w:rPr>
      </w:pPr>
      <w:r w:rsidRPr="00CF09D0">
        <w:rPr>
          <w:rFonts w:ascii="Arial" w:eastAsia="Times New Roman" w:hAnsi="Arial" w:cs="Arial"/>
          <w:szCs w:val="18"/>
        </w:rPr>
        <w:t xml:space="preserve">4. How many hours of actual sleep do you get at night? (This may be different than the number of hours you spend in bed) ______________ </w:t>
      </w:r>
    </w:p>
    <w:tbl>
      <w:tblPr>
        <w:tblW w:w="0" w:type="auto"/>
        <w:tblCellMar>
          <w:top w:w="15" w:type="dxa"/>
          <w:left w:w="15" w:type="dxa"/>
          <w:bottom w:w="15" w:type="dxa"/>
          <w:right w:w="15" w:type="dxa"/>
        </w:tblCellMar>
        <w:tblLook w:val="04A0" w:firstRow="1" w:lastRow="0" w:firstColumn="1" w:lastColumn="0" w:noHBand="0" w:noVBand="1"/>
      </w:tblPr>
      <w:tblGrid>
        <w:gridCol w:w="4451"/>
        <w:gridCol w:w="1317"/>
        <w:gridCol w:w="1160"/>
        <w:gridCol w:w="1129"/>
        <w:gridCol w:w="1293"/>
      </w:tblGrid>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5. During the past month, how often have you had trouble sleeping because you...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Not during the past month (0)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Less than once a week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Once or twice a week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Three or more times week (3) </w:t>
            </w: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a. Cannot get to sleep within 30 minutes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b. Wake up in the middle of the night or early morning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c. Have to get up to use the bathroom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d. Cannot breathe comfortably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e. Cough or snore loudly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f. Feel too cold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g. Feel too hot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h. Have bad dreams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proofErr w:type="spellStart"/>
            <w:r w:rsidRPr="00CF09D0">
              <w:rPr>
                <w:rFonts w:ascii="Arial" w:eastAsia="Times New Roman" w:hAnsi="Arial" w:cs="Arial"/>
              </w:rPr>
              <w:t>i</w:t>
            </w:r>
            <w:proofErr w:type="spellEnd"/>
            <w:r w:rsidRPr="00CF09D0">
              <w:rPr>
                <w:rFonts w:ascii="Arial" w:eastAsia="Times New Roman" w:hAnsi="Arial" w:cs="Arial"/>
              </w:rPr>
              <w:t xml:space="preserve">. Have pain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j. Other reason(s), please describe, including how often you have had trouble sleeping because of this reason(s):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6. During the past month, how often have you taken medicine (prescribed or “over the counter”) to help you sleep?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7. During the past month, how often have you had trouble staying awake while driving, eating meals, or engaging in social 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lastRenderedPageBreak/>
              <w:t xml:space="preserve">8. During the past month, how much of a problem has it been for you to keep up enthusiasm to get things done?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r w:rsidR="00F36EDE" w:rsidRPr="00CF09D0" w:rsidTr="00F36EDE">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spacing w:before="100" w:beforeAutospacing="1" w:after="100" w:afterAutospacing="1"/>
              <w:rPr>
                <w:rFonts w:ascii="Arial" w:eastAsia="Times New Roman" w:hAnsi="Arial" w:cs="Arial"/>
              </w:rPr>
            </w:pPr>
            <w:r w:rsidRPr="00CF09D0">
              <w:rPr>
                <w:rFonts w:ascii="Arial" w:eastAsia="Times New Roman" w:hAnsi="Arial" w:cs="Arial"/>
              </w:rPr>
              <w:t xml:space="preserve">9. During the past month, how would you rate your sleep quality overall?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EDE" w:rsidRPr="00CF09D0" w:rsidRDefault="00F36EDE" w:rsidP="00F36EDE">
            <w:pPr>
              <w:rPr>
                <w:rFonts w:ascii="Arial" w:eastAsia="Times New Roman" w:hAnsi="Arial" w:cs="Arial"/>
              </w:rPr>
            </w:pPr>
          </w:p>
        </w:tc>
      </w:tr>
    </w:tbl>
    <w:p w:rsidR="00F36EDE" w:rsidRPr="00CF09D0" w:rsidRDefault="00F36EDE" w:rsidP="00F36EDE">
      <w:pPr>
        <w:pStyle w:val="ListParagraph"/>
        <w:spacing w:before="100" w:beforeAutospacing="1" w:after="100" w:afterAutospacing="1"/>
        <w:rPr>
          <w:rFonts w:ascii="Arial" w:eastAsia="Times New Roman" w:hAnsi="Arial" w:cs="Arial"/>
          <w:sz w:val="22"/>
          <w:szCs w:val="18"/>
        </w:rPr>
      </w:pPr>
      <w:r w:rsidRPr="00CF09D0">
        <w:rPr>
          <w:rFonts w:ascii="Arial" w:eastAsia="Times New Roman" w:hAnsi="Arial" w:cs="Arial"/>
          <w:sz w:val="22"/>
          <w:szCs w:val="18"/>
        </w:rPr>
        <w:t>Component 1</w:t>
      </w:r>
      <w:r w:rsidR="00EB6899">
        <w:rPr>
          <w:rFonts w:ascii="Arial" w:eastAsia="Times New Roman" w:hAnsi="Arial" w:cs="Arial"/>
          <w:sz w:val="22"/>
          <w:szCs w:val="18"/>
        </w:rPr>
        <w:tab/>
        <w:t xml:space="preserve"> #9 Score.......</w:t>
      </w:r>
      <w:r w:rsidR="00CF09D0">
        <w:rPr>
          <w:rFonts w:ascii="Arial" w:eastAsia="Times New Roman" w:hAnsi="Arial" w:cs="Arial"/>
          <w:sz w:val="22"/>
          <w:szCs w:val="18"/>
        </w:rPr>
        <w:t>..........</w:t>
      </w:r>
      <w:r w:rsidRPr="00CF09D0">
        <w:rPr>
          <w:rFonts w:ascii="Arial" w:eastAsia="Times New Roman" w:hAnsi="Arial" w:cs="Arial"/>
          <w:sz w:val="22"/>
          <w:szCs w:val="18"/>
        </w:rPr>
        <w:t>.......................</w:t>
      </w:r>
      <w:r w:rsidR="00CF09D0">
        <w:rPr>
          <w:rFonts w:ascii="Arial" w:eastAsia="Times New Roman" w:hAnsi="Arial" w:cs="Arial"/>
          <w:sz w:val="22"/>
          <w:szCs w:val="18"/>
        </w:rPr>
        <w:t>...............................</w:t>
      </w:r>
      <w:r w:rsidRPr="00CF09D0">
        <w:rPr>
          <w:rFonts w:ascii="Arial" w:eastAsia="Times New Roman" w:hAnsi="Arial" w:cs="Arial"/>
          <w:sz w:val="22"/>
          <w:szCs w:val="18"/>
        </w:rPr>
        <w:t>.......... C1_______</w:t>
      </w:r>
    </w:p>
    <w:p w:rsidR="00E80883" w:rsidRPr="00CF09D0" w:rsidRDefault="00E80883" w:rsidP="00F36EDE">
      <w:pPr>
        <w:pStyle w:val="ListParagraph"/>
        <w:spacing w:before="100" w:beforeAutospacing="1" w:after="100" w:afterAutospacing="1"/>
        <w:rPr>
          <w:rFonts w:ascii="Arial" w:eastAsia="Times New Roman" w:hAnsi="Arial" w:cs="Arial"/>
          <w:sz w:val="22"/>
          <w:szCs w:val="18"/>
        </w:rPr>
      </w:pPr>
    </w:p>
    <w:p w:rsidR="00F36EDE" w:rsidRPr="00CF09D0" w:rsidRDefault="00F36EDE" w:rsidP="00F36EDE">
      <w:pPr>
        <w:pStyle w:val="ListParagraph"/>
        <w:tabs>
          <w:tab w:val="left" w:pos="1440"/>
        </w:tabs>
        <w:spacing w:before="100" w:beforeAutospacing="1" w:after="100" w:afterAutospacing="1"/>
        <w:ind w:left="2160" w:hanging="1440"/>
        <w:rPr>
          <w:rFonts w:ascii="Arial" w:eastAsia="Times New Roman" w:hAnsi="Arial" w:cs="Arial"/>
          <w:sz w:val="22"/>
          <w:szCs w:val="18"/>
        </w:rPr>
      </w:pPr>
      <w:r w:rsidRPr="00CF09D0">
        <w:rPr>
          <w:rFonts w:ascii="Arial" w:eastAsia="Times New Roman" w:hAnsi="Arial" w:cs="Arial"/>
          <w:sz w:val="22"/>
          <w:szCs w:val="18"/>
        </w:rPr>
        <w:t xml:space="preserve">Component 2 </w:t>
      </w:r>
      <w:r w:rsidRPr="00CF09D0">
        <w:rPr>
          <w:rFonts w:ascii="Arial" w:eastAsia="Times New Roman" w:hAnsi="Arial" w:cs="Arial"/>
          <w:sz w:val="22"/>
          <w:szCs w:val="18"/>
        </w:rPr>
        <w:tab/>
        <w:t>#2 Score (≤15min=0; 16-30 min=1; 31-60 min=2, &gt;60 min=3) + #5a Score</w:t>
      </w:r>
      <w:r w:rsidRPr="00CF09D0">
        <w:rPr>
          <w:rFonts w:ascii="Arial" w:eastAsia="Times New Roman" w:hAnsi="Arial" w:cs="Arial"/>
          <w:sz w:val="22"/>
          <w:szCs w:val="18"/>
        </w:rPr>
        <w:br/>
        <w:t>(if sum is equal 0=0; 1-2=1;</w:t>
      </w:r>
      <w:r w:rsidR="00CF09D0">
        <w:rPr>
          <w:rFonts w:ascii="Arial" w:eastAsia="Times New Roman" w:hAnsi="Arial" w:cs="Arial"/>
          <w:sz w:val="22"/>
          <w:szCs w:val="18"/>
        </w:rPr>
        <w:t xml:space="preserve"> 3-4=2; 5-6=</w:t>
      </w:r>
      <w:proofErr w:type="gramStart"/>
      <w:r w:rsidR="00CF09D0">
        <w:rPr>
          <w:rFonts w:ascii="Arial" w:eastAsia="Times New Roman" w:hAnsi="Arial" w:cs="Arial"/>
          <w:sz w:val="22"/>
          <w:szCs w:val="18"/>
        </w:rPr>
        <w:t>3).............</w:t>
      </w:r>
      <w:r w:rsidRPr="00CF09D0">
        <w:rPr>
          <w:rFonts w:ascii="Arial" w:eastAsia="Times New Roman" w:hAnsi="Arial" w:cs="Arial"/>
          <w:sz w:val="22"/>
          <w:szCs w:val="18"/>
        </w:rPr>
        <w:t>.</w:t>
      </w:r>
      <w:r w:rsidR="00CF09D0">
        <w:rPr>
          <w:rFonts w:ascii="Arial" w:eastAsia="Times New Roman" w:hAnsi="Arial" w:cs="Arial"/>
          <w:sz w:val="22"/>
          <w:szCs w:val="18"/>
        </w:rPr>
        <w:t>.......</w:t>
      </w:r>
      <w:r w:rsidRPr="00CF09D0">
        <w:rPr>
          <w:rFonts w:ascii="Arial" w:eastAsia="Times New Roman" w:hAnsi="Arial" w:cs="Arial"/>
          <w:sz w:val="22"/>
          <w:szCs w:val="18"/>
        </w:rPr>
        <w:t>.........</w:t>
      </w:r>
      <w:proofErr w:type="gramEnd"/>
      <w:r w:rsidRPr="00CF09D0">
        <w:rPr>
          <w:rFonts w:ascii="Arial" w:eastAsia="Times New Roman" w:hAnsi="Arial" w:cs="Arial"/>
          <w:sz w:val="22"/>
          <w:szCs w:val="18"/>
        </w:rPr>
        <w:t xml:space="preserve"> C2_______</w:t>
      </w:r>
    </w:p>
    <w:p w:rsidR="00E80883" w:rsidRPr="00CF09D0" w:rsidRDefault="00E80883" w:rsidP="00F36EDE">
      <w:pPr>
        <w:pStyle w:val="ListParagraph"/>
        <w:tabs>
          <w:tab w:val="left" w:pos="1440"/>
        </w:tabs>
        <w:spacing w:before="100" w:beforeAutospacing="1" w:after="100" w:afterAutospacing="1"/>
        <w:ind w:left="2160" w:hanging="1440"/>
        <w:rPr>
          <w:rFonts w:ascii="Arial" w:eastAsia="Times New Roman" w:hAnsi="Arial" w:cs="Arial"/>
          <w:sz w:val="22"/>
          <w:szCs w:val="18"/>
        </w:rPr>
      </w:pPr>
    </w:p>
    <w:p w:rsidR="00F36EDE" w:rsidRPr="00CF09D0" w:rsidRDefault="00F36EDE" w:rsidP="00F36EDE">
      <w:pPr>
        <w:pStyle w:val="ListParagraph"/>
        <w:spacing w:before="100" w:beforeAutospacing="1" w:after="100" w:afterAutospacing="1"/>
        <w:rPr>
          <w:rFonts w:ascii="Arial" w:eastAsia="Times New Roman" w:hAnsi="Arial" w:cs="Arial"/>
          <w:sz w:val="22"/>
          <w:szCs w:val="18"/>
        </w:rPr>
      </w:pPr>
      <w:r w:rsidRPr="00CF09D0">
        <w:rPr>
          <w:rFonts w:ascii="Arial" w:eastAsia="Times New Roman" w:hAnsi="Arial" w:cs="Arial"/>
          <w:sz w:val="22"/>
          <w:szCs w:val="18"/>
        </w:rPr>
        <w:t xml:space="preserve">Component 3 </w:t>
      </w:r>
      <w:r w:rsidRPr="00CF09D0">
        <w:rPr>
          <w:rFonts w:ascii="Arial" w:eastAsia="Times New Roman" w:hAnsi="Arial" w:cs="Arial"/>
          <w:sz w:val="22"/>
          <w:szCs w:val="18"/>
        </w:rPr>
        <w:tab/>
        <w:t xml:space="preserve">#4 Score (&gt;7=0; 6-7=1; 5-6=2; </w:t>
      </w:r>
      <w:r w:rsidR="00CF09D0">
        <w:rPr>
          <w:rFonts w:ascii="Arial" w:eastAsia="Times New Roman" w:hAnsi="Arial" w:cs="Arial"/>
          <w:sz w:val="22"/>
          <w:szCs w:val="18"/>
        </w:rPr>
        <w:t>&lt;5=3) ...........</w:t>
      </w:r>
      <w:r w:rsidRPr="00CF09D0">
        <w:rPr>
          <w:rFonts w:ascii="Arial" w:eastAsia="Times New Roman" w:hAnsi="Arial" w:cs="Arial"/>
          <w:sz w:val="22"/>
          <w:szCs w:val="18"/>
        </w:rPr>
        <w:t>.......................... C3_______</w:t>
      </w:r>
    </w:p>
    <w:p w:rsidR="00E80883" w:rsidRPr="00CF09D0" w:rsidRDefault="00E80883" w:rsidP="00F36EDE">
      <w:pPr>
        <w:pStyle w:val="ListParagraph"/>
        <w:spacing w:before="100" w:beforeAutospacing="1" w:after="100" w:afterAutospacing="1"/>
        <w:rPr>
          <w:rFonts w:ascii="Arial" w:eastAsia="Times New Roman" w:hAnsi="Arial" w:cs="Arial"/>
          <w:sz w:val="22"/>
          <w:szCs w:val="18"/>
        </w:rPr>
      </w:pPr>
    </w:p>
    <w:p w:rsidR="00F36EDE" w:rsidRPr="00CF09D0" w:rsidRDefault="00F36EDE" w:rsidP="00F36EDE">
      <w:pPr>
        <w:pStyle w:val="ListParagraph"/>
        <w:spacing w:before="100" w:beforeAutospacing="1" w:after="100" w:afterAutospacing="1"/>
        <w:rPr>
          <w:rFonts w:ascii="Arial" w:eastAsia="Times New Roman" w:hAnsi="Arial" w:cs="Arial"/>
          <w:sz w:val="36"/>
        </w:rPr>
      </w:pPr>
      <w:r w:rsidRPr="00CF09D0">
        <w:rPr>
          <w:rFonts w:ascii="Arial" w:eastAsia="Times New Roman" w:hAnsi="Arial" w:cs="Arial"/>
          <w:sz w:val="22"/>
          <w:szCs w:val="18"/>
        </w:rPr>
        <w:t xml:space="preserve">Component 4 </w:t>
      </w:r>
      <w:r w:rsidRPr="00CF09D0">
        <w:rPr>
          <w:rFonts w:ascii="Arial" w:eastAsia="Times New Roman" w:hAnsi="Arial" w:cs="Arial"/>
          <w:sz w:val="22"/>
          <w:szCs w:val="18"/>
        </w:rPr>
        <w:tab/>
        <w:t>(total # of hours asleep)</w:t>
      </w:r>
      <w:proofErr w:type="gramStart"/>
      <w:r w:rsidRPr="00CF09D0">
        <w:rPr>
          <w:rFonts w:ascii="Arial" w:eastAsia="Times New Roman" w:hAnsi="Arial" w:cs="Arial"/>
          <w:sz w:val="22"/>
          <w:szCs w:val="18"/>
        </w:rPr>
        <w:t>/(</w:t>
      </w:r>
      <w:proofErr w:type="gramEnd"/>
      <w:r w:rsidRPr="00CF09D0">
        <w:rPr>
          <w:rFonts w:ascii="Arial" w:eastAsia="Times New Roman" w:hAnsi="Arial" w:cs="Arial"/>
          <w:sz w:val="22"/>
          <w:szCs w:val="18"/>
        </w:rPr>
        <w:t xml:space="preserve">total # of hours in bed) x 100 </w:t>
      </w:r>
    </w:p>
    <w:p w:rsidR="00F36EDE" w:rsidRPr="00CF09D0" w:rsidRDefault="00F36EDE" w:rsidP="00F36EDE">
      <w:pPr>
        <w:pStyle w:val="ListParagraph"/>
        <w:spacing w:before="100" w:beforeAutospacing="1" w:after="100" w:afterAutospacing="1"/>
        <w:ind w:left="1440" w:firstLine="720"/>
        <w:rPr>
          <w:rFonts w:ascii="Arial" w:eastAsia="Times New Roman" w:hAnsi="Arial" w:cs="Arial"/>
          <w:sz w:val="36"/>
        </w:rPr>
      </w:pPr>
      <w:r w:rsidRPr="00CF09D0">
        <w:rPr>
          <w:rFonts w:ascii="Arial" w:eastAsia="Times New Roman" w:hAnsi="Arial" w:cs="Arial"/>
          <w:sz w:val="22"/>
          <w:szCs w:val="18"/>
        </w:rPr>
        <w:t>&gt;85%=0, 75%-84%=1, 65%-74%=2, &lt;65%=</w:t>
      </w:r>
      <w:r w:rsidR="00CF09D0">
        <w:rPr>
          <w:rFonts w:ascii="Arial" w:eastAsia="Times New Roman" w:hAnsi="Arial" w:cs="Arial"/>
          <w:sz w:val="22"/>
          <w:szCs w:val="18"/>
        </w:rPr>
        <w:t>3 .............</w:t>
      </w:r>
      <w:r w:rsidRPr="00CF09D0">
        <w:rPr>
          <w:rFonts w:ascii="Arial" w:eastAsia="Times New Roman" w:hAnsi="Arial" w:cs="Arial"/>
          <w:sz w:val="22"/>
          <w:szCs w:val="18"/>
        </w:rPr>
        <w:t>........</w:t>
      </w:r>
      <w:r w:rsidR="00CF09D0">
        <w:rPr>
          <w:rFonts w:ascii="Arial" w:eastAsia="Times New Roman" w:hAnsi="Arial" w:cs="Arial"/>
          <w:sz w:val="22"/>
          <w:szCs w:val="18"/>
        </w:rPr>
        <w:t>.</w:t>
      </w:r>
      <w:r w:rsidRPr="00CF09D0">
        <w:rPr>
          <w:rFonts w:ascii="Arial" w:eastAsia="Times New Roman" w:hAnsi="Arial" w:cs="Arial"/>
          <w:sz w:val="22"/>
          <w:szCs w:val="18"/>
        </w:rPr>
        <w:t>.. C4_______</w:t>
      </w:r>
    </w:p>
    <w:p w:rsidR="00E80883" w:rsidRPr="00CF09D0" w:rsidRDefault="00E80883" w:rsidP="00F36EDE">
      <w:pPr>
        <w:pStyle w:val="ListParagraph"/>
        <w:spacing w:before="100" w:beforeAutospacing="1" w:after="100" w:afterAutospacing="1"/>
        <w:rPr>
          <w:rFonts w:ascii="Arial" w:eastAsia="Times New Roman" w:hAnsi="Arial" w:cs="Arial"/>
          <w:sz w:val="22"/>
          <w:szCs w:val="18"/>
        </w:rPr>
      </w:pPr>
    </w:p>
    <w:p w:rsidR="00F36EDE" w:rsidRPr="00CF09D0" w:rsidRDefault="00F36EDE" w:rsidP="00F36EDE">
      <w:pPr>
        <w:pStyle w:val="ListParagraph"/>
        <w:spacing w:before="100" w:beforeAutospacing="1" w:after="100" w:afterAutospacing="1"/>
        <w:rPr>
          <w:rFonts w:ascii="Arial" w:eastAsia="Times New Roman" w:hAnsi="Arial" w:cs="Arial"/>
          <w:sz w:val="22"/>
          <w:szCs w:val="18"/>
        </w:rPr>
      </w:pPr>
      <w:r w:rsidRPr="00CF09D0">
        <w:rPr>
          <w:rFonts w:ascii="Arial" w:eastAsia="Times New Roman" w:hAnsi="Arial" w:cs="Arial"/>
          <w:sz w:val="22"/>
          <w:szCs w:val="18"/>
        </w:rPr>
        <w:t xml:space="preserve">Component 5 </w:t>
      </w:r>
      <w:r w:rsidRPr="00CF09D0">
        <w:rPr>
          <w:rFonts w:ascii="Arial" w:eastAsia="Times New Roman" w:hAnsi="Arial" w:cs="Arial"/>
          <w:sz w:val="22"/>
          <w:szCs w:val="18"/>
        </w:rPr>
        <w:tab/>
        <w:t>Sum of Scores #5b to #5j (0=0; 1-9=1; 10-</w:t>
      </w:r>
      <w:r w:rsidR="00CF09D0">
        <w:rPr>
          <w:rFonts w:ascii="Arial" w:eastAsia="Times New Roman" w:hAnsi="Arial" w:cs="Arial"/>
          <w:sz w:val="22"/>
          <w:szCs w:val="18"/>
        </w:rPr>
        <w:t>18=2; 19-27=</w:t>
      </w:r>
      <w:proofErr w:type="gramStart"/>
      <w:r w:rsidR="00CF09D0">
        <w:rPr>
          <w:rFonts w:ascii="Arial" w:eastAsia="Times New Roman" w:hAnsi="Arial" w:cs="Arial"/>
          <w:sz w:val="22"/>
          <w:szCs w:val="18"/>
        </w:rPr>
        <w:t>3)....</w:t>
      </w:r>
      <w:r w:rsidRPr="00CF09D0">
        <w:rPr>
          <w:rFonts w:ascii="Arial" w:eastAsia="Times New Roman" w:hAnsi="Arial" w:cs="Arial"/>
          <w:sz w:val="22"/>
          <w:szCs w:val="18"/>
        </w:rPr>
        <w:t>.</w:t>
      </w:r>
      <w:proofErr w:type="gramEnd"/>
      <w:r w:rsidRPr="00CF09D0">
        <w:rPr>
          <w:rFonts w:ascii="Arial" w:eastAsia="Times New Roman" w:hAnsi="Arial" w:cs="Arial"/>
          <w:sz w:val="22"/>
          <w:szCs w:val="18"/>
        </w:rPr>
        <w:t xml:space="preserve"> C5_______</w:t>
      </w:r>
    </w:p>
    <w:p w:rsidR="00E80883" w:rsidRPr="00CF09D0" w:rsidRDefault="00E80883" w:rsidP="00F36EDE">
      <w:pPr>
        <w:pStyle w:val="ListParagraph"/>
        <w:spacing w:before="100" w:beforeAutospacing="1" w:after="100" w:afterAutospacing="1"/>
        <w:rPr>
          <w:rFonts w:ascii="Arial" w:eastAsia="Times New Roman" w:hAnsi="Arial" w:cs="Arial"/>
          <w:sz w:val="22"/>
          <w:szCs w:val="18"/>
        </w:rPr>
      </w:pPr>
    </w:p>
    <w:p w:rsidR="00F36EDE" w:rsidRPr="00CF09D0" w:rsidRDefault="00F36EDE" w:rsidP="00F36EDE">
      <w:pPr>
        <w:pStyle w:val="ListParagraph"/>
        <w:spacing w:before="100" w:beforeAutospacing="1" w:after="100" w:afterAutospacing="1"/>
        <w:rPr>
          <w:rFonts w:ascii="Arial" w:eastAsia="Times New Roman" w:hAnsi="Arial" w:cs="Arial"/>
          <w:sz w:val="22"/>
          <w:szCs w:val="18"/>
        </w:rPr>
      </w:pPr>
      <w:r w:rsidRPr="00CF09D0">
        <w:rPr>
          <w:rFonts w:ascii="Arial" w:eastAsia="Times New Roman" w:hAnsi="Arial" w:cs="Arial"/>
          <w:sz w:val="22"/>
          <w:szCs w:val="18"/>
        </w:rPr>
        <w:t xml:space="preserve">Component 6 </w:t>
      </w:r>
      <w:r w:rsidRPr="00CF09D0">
        <w:rPr>
          <w:rFonts w:ascii="Arial" w:eastAsia="Times New Roman" w:hAnsi="Arial" w:cs="Arial"/>
          <w:sz w:val="22"/>
          <w:szCs w:val="18"/>
        </w:rPr>
        <w:tab/>
        <w:t>#6 Score .....................................................................</w:t>
      </w:r>
      <w:r w:rsidR="00CF09D0">
        <w:rPr>
          <w:rFonts w:ascii="Arial" w:eastAsia="Times New Roman" w:hAnsi="Arial" w:cs="Arial"/>
          <w:sz w:val="22"/>
          <w:szCs w:val="18"/>
        </w:rPr>
        <w:t>.....</w:t>
      </w:r>
      <w:r w:rsidRPr="00CF09D0">
        <w:rPr>
          <w:rFonts w:ascii="Arial" w:eastAsia="Times New Roman" w:hAnsi="Arial" w:cs="Arial"/>
          <w:sz w:val="22"/>
          <w:szCs w:val="18"/>
        </w:rPr>
        <w:t>....... C6_______</w:t>
      </w:r>
    </w:p>
    <w:p w:rsidR="00E80883" w:rsidRPr="00CF09D0" w:rsidRDefault="00E80883" w:rsidP="00F36EDE">
      <w:pPr>
        <w:pStyle w:val="ListParagraph"/>
        <w:spacing w:before="100" w:beforeAutospacing="1" w:after="100" w:afterAutospacing="1"/>
        <w:ind w:left="2160" w:hanging="1440"/>
        <w:rPr>
          <w:rFonts w:ascii="Arial" w:eastAsia="Times New Roman" w:hAnsi="Arial" w:cs="Arial"/>
          <w:sz w:val="22"/>
          <w:szCs w:val="18"/>
        </w:rPr>
      </w:pPr>
    </w:p>
    <w:p w:rsidR="00E80883" w:rsidRPr="00CF09D0" w:rsidRDefault="00F36EDE" w:rsidP="00F36EDE">
      <w:pPr>
        <w:pStyle w:val="ListParagraph"/>
        <w:spacing w:before="100" w:beforeAutospacing="1" w:after="100" w:afterAutospacing="1"/>
        <w:ind w:left="2160" w:hanging="1440"/>
        <w:rPr>
          <w:rFonts w:ascii="Arial" w:eastAsia="Times New Roman" w:hAnsi="Arial" w:cs="Arial"/>
          <w:sz w:val="22"/>
          <w:szCs w:val="18"/>
        </w:rPr>
      </w:pPr>
      <w:r w:rsidRPr="00CF09D0">
        <w:rPr>
          <w:rFonts w:ascii="Arial" w:eastAsia="Times New Roman" w:hAnsi="Arial" w:cs="Arial"/>
          <w:sz w:val="22"/>
          <w:szCs w:val="18"/>
        </w:rPr>
        <w:t xml:space="preserve">Component 7 </w:t>
      </w:r>
      <w:r w:rsidRPr="00CF09D0">
        <w:rPr>
          <w:rFonts w:ascii="Arial" w:eastAsia="Times New Roman" w:hAnsi="Arial" w:cs="Arial"/>
          <w:sz w:val="22"/>
          <w:szCs w:val="18"/>
        </w:rPr>
        <w:tab/>
        <w:t xml:space="preserve">#7 Score + #8 Score (0=0; 1-2=1; 3-4=2; </w:t>
      </w:r>
      <w:r w:rsidR="00CF09D0">
        <w:rPr>
          <w:rFonts w:ascii="Arial" w:eastAsia="Times New Roman" w:hAnsi="Arial" w:cs="Arial"/>
          <w:sz w:val="22"/>
          <w:szCs w:val="18"/>
        </w:rPr>
        <w:t>5-6=</w:t>
      </w:r>
      <w:proofErr w:type="gramStart"/>
      <w:r w:rsidR="00CF09D0">
        <w:rPr>
          <w:rFonts w:ascii="Arial" w:eastAsia="Times New Roman" w:hAnsi="Arial" w:cs="Arial"/>
          <w:sz w:val="22"/>
          <w:szCs w:val="18"/>
        </w:rPr>
        <w:t>3)..</w:t>
      </w:r>
      <w:r w:rsidRPr="00CF09D0">
        <w:rPr>
          <w:rFonts w:ascii="Arial" w:eastAsia="Times New Roman" w:hAnsi="Arial" w:cs="Arial"/>
          <w:sz w:val="22"/>
          <w:szCs w:val="18"/>
        </w:rPr>
        <w:t>..................</w:t>
      </w:r>
      <w:proofErr w:type="gramEnd"/>
      <w:r w:rsidRPr="00CF09D0">
        <w:rPr>
          <w:rFonts w:ascii="Arial" w:eastAsia="Times New Roman" w:hAnsi="Arial" w:cs="Arial"/>
          <w:sz w:val="22"/>
          <w:szCs w:val="18"/>
        </w:rPr>
        <w:t xml:space="preserve"> C7_______ </w:t>
      </w:r>
    </w:p>
    <w:p w:rsidR="00E80883" w:rsidRPr="00CF09D0" w:rsidRDefault="00E80883" w:rsidP="00E80883">
      <w:pPr>
        <w:pStyle w:val="ListParagraph"/>
        <w:spacing w:before="100" w:beforeAutospacing="1" w:after="100" w:afterAutospacing="1"/>
        <w:ind w:left="2160"/>
        <w:rPr>
          <w:rFonts w:ascii="Arial" w:eastAsia="Times New Roman" w:hAnsi="Arial" w:cs="Arial"/>
          <w:sz w:val="22"/>
          <w:szCs w:val="18"/>
        </w:rPr>
      </w:pPr>
    </w:p>
    <w:p w:rsidR="00F36EDE" w:rsidRPr="00CF09D0" w:rsidRDefault="00F36EDE" w:rsidP="00CF09D0">
      <w:pPr>
        <w:spacing w:before="100" w:beforeAutospacing="1" w:after="100" w:afterAutospacing="1"/>
        <w:ind w:left="720" w:firstLine="720"/>
        <w:rPr>
          <w:rFonts w:ascii="Arial" w:eastAsia="Times New Roman" w:hAnsi="Arial" w:cs="Arial"/>
          <w:sz w:val="36"/>
        </w:rPr>
      </w:pPr>
      <w:r w:rsidRPr="00CF09D0">
        <w:rPr>
          <w:rFonts w:ascii="Arial" w:eastAsia="Times New Roman" w:hAnsi="Arial" w:cs="Arial"/>
          <w:sz w:val="22"/>
          <w:szCs w:val="18"/>
        </w:rPr>
        <w:t>Add the seven com</w:t>
      </w:r>
      <w:r w:rsidR="00CF09D0">
        <w:rPr>
          <w:rFonts w:ascii="Arial" w:eastAsia="Times New Roman" w:hAnsi="Arial" w:cs="Arial"/>
          <w:sz w:val="22"/>
          <w:szCs w:val="18"/>
        </w:rPr>
        <w:t>ponent scores together ......</w:t>
      </w:r>
      <w:r w:rsidRPr="00CF09D0">
        <w:rPr>
          <w:rFonts w:ascii="Arial" w:eastAsia="Times New Roman" w:hAnsi="Arial" w:cs="Arial"/>
          <w:sz w:val="22"/>
          <w:szCs w:val="18"/>
        </w:rPr>
        <w:t xml:space="preserve">..... </w:t>
      </w:r>
      <w:r w:rsidRPr="00CF09D0">
        <w:rPr>
          <w:rFonts w:ascii="Arial" w:eastAsia="Times New Roman" w:hAnsi="Arial" w:cs="Arial"/>
          <w:b/>
          <w:bCs/>
          <w:sz w:val="22"/>
          <w:szCs w:val="18"/>
        </w:rPr>
        <w:t xml:space="preserve">Global PSQI Score </w:t>
      </w:r>
      <w:r w:rsidRPr="00CF09D0">
        <w:rPr>
          <w:rFonts w:ascii="Arial" w:eastAsia="Times New Roman" w:hAnsi="Arial" w:cs="Arial"/>
          <w:sz w:val="22"/>
          <w:szCs w:val="18"/>
        </w:rPr>
        <w:t xml:space="preserve">________ </w:t>
      </w:r>
    </w:p>
    <w:p w:rsidR="00F36EDE" w:rsidRPr="00CF09D0" w:rsidRDefault="00F36EDE" w:rsidP="00F36EDE">
      <w:pPr>
        <w:pStyle w:val="ListParagraph"/>
        <w:rPr>
          <w:rFonts w:ascii="Arial" w:eastAsia="Times New Roman" w:hAnsi="Arial" w:cs="Arial"/>
          <w:sz w:val="20"/>
          <w:szCs w:val="20"/>
          <w:u w:val="single"/>
        </w:rPr>
      </w:pPr>
    </w:p>
    <w:p w:rsidR="00363C9A" w:rsidRPr="00363C9A" w:rsidRDefault="00F36EDE" w:rsidP="00363C9A">
      <w:pPr>
        <w:pStyle w:val="ListParagraph"/>
        <w:numPr>
          <w:ilvl w:val="0"/>
          <w:numId w:val="5"/>
        </w:numPr>
        <w:rPr>
          <w:rFonts w:ascii="Arial" w:eastAsia="Times New Roman" w:hAnsi="Arial" w:cs="Arial"/>
          <w:sz w:val="20"/>
          <w:szCs w:val="20"/>
          <w:u w:val="single"/>
        </w:rPr>
      </w:pPr>
      <w:r w:rsidRPr="00CF09D0">
        <w:rPr>
          <w:rFonts w:ascii="Arial" w:hAnsi="Arial" w:cs="Arial"/>
          <w:b/>
          <w:u w:val="single"/>
        </w:rPr>
        <w:t>Geriatric Depression Scale (GDS)</w:t>
      </w:r>
    </w:p>
    <w:p w:rsidR="00F36EDE" w:rsidRPr="00CF09D0" w:rsidRDefault="00363C9A" w:rsidP="00363C9A">
      <w:pPr>
        <w:spacing w:before="5" w:line="360" w:lineRule="auto"/>
        <w:ind w:left="720"/>
        <w:rPr>
          <w:rFonts w:ascii="Arial" w:eastAsia="Times New Roman" w:hAnsi="Arial" w:cs="Arial"/>
          <w:color w:val="000000" w:themeColor="text1"/>
        </w:rPr>
      </w:pPr>
      <w:r w:rsidRPr="00CF09D0">
        <w:rPr>
          <w:rFonts w:ascii="Arial" w:eastAsia="Times New Roman" w:hAnsi="Arial" w:cs="Arial"/>
          <w:noProof/>
          <w:sz w:val="20"/>
          <w:szCs w:val="20"/>
          <w:u w:val="single"/>
        </w:rPr>
        <mc:AlternateContent>
          <mc:Choice Requires="wps">
            <w:drawing>
              <wp:anchor distT="0" distB="0" distL="114300" distR="114300" simplePos="0" relativeHeight="251660288" behindDoc="1" locked="0" layoutInCell="1" allowOverlap="1">
                <wp:simplePos x="0" y="0"/>
                <wp:positionH relativeFrom="column">
                  <wp:posOffset>5396230</wp:posOffset>
                </wp:positionH>
                <wp:positionV relativeFrom="paragraph">
                  <wp:posOffset>496570</wp:posOffset>
                </wp:positionV>
                <wp:extent cx="803910" cy="247274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803910" cy="2472744"/>
                        </a:xfrm>
                        <a:prstGeom prst="rect">
                          <a:avLst/>
                        </a:prstGeom>
                        <a:solidFill>
                          <a:schemeClr val="lt1"/>
                        </a:solidFill>
                        <a:ln w="6350">
                          <a:noFill/>
                        </a:ln>
                      </wps:spPr>
                      <wps:txbx>
                        <w:txbxContent>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363C9A" w:rsidRPr="00DC044D" w:rsidRDefault="00363C9A" w:rsidP="00E80883">
                            <w:pPr>
                              <w:spacing w:line="360" w:lineRule="auto"/>
                              <w:rPr>
                                <w:rFonts w:ascii="Arial" w:hAnsi="Arial" w:cs="Arial"/>
                                <w:color w:val="000000" w:themeColor="text1"/>
                              </w:rPr>
                            </w:pPr>
                            <w:r>
                              <w:rPr>
                                <w:rFonts w:ascii="Arial" w:hAnsi="Arial" w:cs="Arial"/>
                                <w:color w:val="000000" w:themeColor="text1"/>
                              </w:rPr>
                              <w:t>Yes/No</w:t>
                            </w:r>
                          </w:p>
                          <w:p w:rsidR="004F4D6D" w:rsidRPr="00E80883" w:rsidRDefault="004F4D6D" w:rsidP="00E80883">
                            <w:pPr>
                              <w:spacing w:line="360" w:lineRule="auto"/>
                              <w:rPr>
                                <w:rFonts w:ascii="Cambria" w:hAnsi="Cambr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4.9pt;margin-top:39.1pt;width:63.3pt;height:1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" fillcolor="white [3201]" stroked="f" strokeweight=".5pt">
                <v:textbox>
                  <w:txbxContent>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Pr="00DC044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4F4D6D" w:rsidRDefault="004F4D6D" w:rsidP="00E80883">
                      <w:pPr>
                        <w:spacing w:line="360" w:lineRule="auto"/>
                        <w:rPr>
                          <w:rFonts w:ascii="Arial" w:hAnsi="Arial" w:cs="Arial"/>
                          <w:color w:val="000000" w:themeColor="text1"/>
                        </w:rPr>
                      </w:pPr>
                      <w:r w:rsidRPr="00DC044D">
                        <w:rPr>
                          <w:rFonts w:ascii="Arial" w:hAnsi="Arial" w:cs="Arial"/>
                          <w:color w:val="000000" w:themeColor="text1"/>
                        </w:rPr>
                        <w:t>Yes/No</w:t>
                      </w:r>
                    </w:p>
                    <w:p w:rsidR="00363C9A" w:rsidRPr="00DC044D" w:rsidRDefault="00363C9A" w:rsidP="00E80883">
                      <w:pPr>
                        <w:spacing w:line="360" w:lineRule="auto"/>
                        <w:rPr>
                          <w:rFonts w:ascii="Arial" w:hAnsi="Arial" w:cs="Arial"/>
                          <w:color w:val="000000" w:themeColor="text1"/>
                        </w:rPr>
                      </w:pPr>
                      <w:r>
                        <w:rPr>
                          <w:rFonts w:ascii="Arial" w:hAnsi="Arial" w:cs="Arial"/>
                          <w:color w:val="000000" w:themeColor="text1"/>
                        </w:rPr>
                        <w:t>Yes/No</w:t>
                      </w:r>
                    </w:p>
                    <w:p w:rsidR="004F4D6D" w:rsidRPr="00E80883" w:rsidRDefault="004F4D6D" w:rsidP="00E80883">
                      <w:pPr>
                        <w:spacing w:line="360" w:lineRule="auto"/>
                        <w:rPr>
                          <w:rFonts w:ascii="Cambria" w:hAnsi="Cambria"/>
                          <w:color w:val="000000" w:themeColor="text1"/>
                        </w:rPr>
                      </w:pPr>
                    </w:p>
                  </w:txbxContent>
                </v:textbox>
              </v:shape>
            </w:pict>
          </mc:Fallback>
        </mc:AlternateContent>
      </w:r>
      <w:r w:rsidR="00F36EDE" w:rsidRPr="00CF09D0">
        <w:rPr>
          <w:rFonts w:ascii="Arial" w:eastAsia="Times New Roman" w:hAnsi="Arial" w:cs="Arial"/>
          <w:color w:val="000000" w:themeColor="text1"/>
        </w:rPr>
        <w:t xml:space="preserve">Instructions: Circle the answer that best describes how you felt over the past week. </w:t>
      </w:r>
    </w:p>
    <w:p w:rsidR="00F36EDE" w:rsidRPr="00CF09D0" w:rsidRDefault="00F36EDE" w:rsidP="00363C9A">
      <w:pPr>
        <w:numPr>
          <w:ilvl w:val="0"/>
          <w:numId w:val="6"/>
        </w:numPr>
        <w:tabs>
          <w:tab w:val="clear" w:pos="720"/>
          <w:tab w:val="num" w:pos="1080"/>
        </w:tabs>
        <w:spacing w:before="5"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Are you basically satisfied with your life?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Have you dropped many of your activities and interests?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feel that your life is empty?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often get bored?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Are you in good spirits most of the time?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Are you afraid that something bad is going to happen to you?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feel happy most of the time?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often feel helpless?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prefer to stay at home, rather than going out and doing things? </w:t>
      </w:r>
    </w:p>
    <w:p w:rsidR="00F36EDE" w:rsidRPr="00CF09D0" w:rsidRDefault="00363C9A"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Pr>
          <w:rFonts w:ascii="Arial" w:eastAsia="Times New Roman" w:hAnsi="Arial" w:cs="Arial"/>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5267459</wp:posOffset>
                </wp:positionH>
                <wp:positionV relativeFrom="paragraph">
                  <wp:posOffset>-25757</wp:posOffset>
                </wp:positionV>
                <wp:extent cx="695459" cy="1648496"/>
                <wp:effectExtent l="0" t="0" r="3175" b="2540"/>
                <wp:wrapNone/>
                <wp:docPr id="30" name="Text Box 30"/>
                <wp:cNvGraphicFramePr/>
                <a:graphic xmlns:a="http://schemas.openxmlformats.org/drawingml/2006/main">
                  <a:graphicData uri="http://schemas.microsoft.com/office/word/2010/wordprocessingShape">
                    <wps:wsp>
                      <wps:cNvSpPr txBox="1"/>
                      <wps:spPr>
                        <a:xfrm>
                          <a:off x="0" y="0"/>
                          <a:ext cx="695459" cy="1648496"/>
                        </a:xfrm>
                        <a:prstGeom prst="rect">
                          <a:avLst/>
                        </a:prstGeom>
                        <a:solidFill>
                          <a:schemeClr val="lt1"/>
                        </a:solidFill>
                        <a:ln w="6350">
                          <a:noFill/>
                        </a:ln>
                      </wps:spPr>
                      <wps:txbx>
                        <w:txbxContent>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left:0;text-align:left;margin-left:414.75pt;margin-top:-2.05pt;width:54.75pt;height:1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" fillcolor="white [3201]" stroked="f" strokeweight=".5pt">
                <v:textbox>
                  <w:txbxContent>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rsidP="00DC044D">
                      <w:pPr>
                        <w:spacing w:line="360" w:lineRule="auto"/>
                        <w:rPr>
                          <w:rFonts w:ascii="Arial" w:hAnsi="Arial" w:cs="Arial"/>
                          <w:color w:val="000000" w:themeColor="text1"/>
                        </w:rPr>
                      </w:pPr>
                      <w:r w:rsidRPr="00DC044D">
                        <w:rPr>
                          <w:rFonts w:ascii="Arial" w:hAnsi="Arial" w:cs="Arial"/>
                          <w:color w:val="000000" w:themeColor="text1"/>
                        </w:rPr>
                        <w:t>Yes/No</w:t>
                      </w:r>
                    </w:p>
                    <w:p w:rsidR="00DC044D" w:rsidRPr="00DC044D" w:rsidRDefault="00DC044D">
                      <w:pPr>
                        <w:rPr>
                          <w:rFonts w:ascii="Arial" w:hAnsi="Arial" w:cs="Arial"/>
                        </w:rPr>
                      </w:pPr>
                    </w:p>
                  </w:txbxContent>
                </v:textbox>
              </v:shape>
            </w:pict>
          </mc:Fallback>
        </mc:AlternateContent>
      </w:r>
      <w:r w:rsidR="00F36EDE" w:rsidRPr="00CF09D0">
        <w:rPr>
          <w:rFonts w:ascii="Arial" w:eastAsia="Times New Roman" w:hAnsi="Arial" w:cs="Arial"/>
          <w:color w:val="000000" w:themeColor="text1"/>
        </w:rPr>
        <w:t xml:space="preserve">Do you feel that you have more problems with memory than most?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think it is wonderful to be alive now?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feel worthless the way you are now?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lastRenderedPageBreak/>
        <w:t xml:space="preserve">Do you feel full of energy?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feel that your situation is hopeless? </w:t>
      </w:r>
    </w:p>
    <w:p w:rsidR="00F36EDE" w:rsidRPr="00CF09D0" w:rsidRDefault="00F36EDE" w:rsidP="00E80883">
      <w:pPr>
        <w:numPr>
          <w:ilvl w:val="0"/>
          <w:numId w:val="6"/>
        </w:numPr>
        <w:tabs>
          <w:tab w:val="clear" w:pos="720"/>
          <w:tab w:val="num" w:pos="1080"/>
        </w:tabs>
        <w:spacing w:before="100" w:beforeAutospacing="1" w:after="100" w:afterAutospacing="1" w:line="360" w:lineRule="auto"/>
        <w:ind w:left="1080"/>
        <w:rPr>
          <w:rFonts w:ascii="Arial" w:eastAsia="Times New Roman" w:hAnsi="Arial" w:cs="Arial"/>
          <w:color w:val="000000" w:themeColor="text1"/>
        </w:rPr>
      </w:pPr>
      <w:r w:rsidRPr="00CF09D0">
        <w:rPr>
          <w:rFonts w:ascii="Arial" w:eastAsia="Times New Roman" w:hAnsi="Arial" w:cs="Arial"/>
          <w:color w:val="000000" w:themeColor="text1"/>
        </w:rPr>
        <w:t xml:space="preserve">Do you think that most people are better off than you are? </w:t>
      </w:r>
    </w:p>
    <w:p w:rsidR="00F36EDE" w:rsidRPr="00CF09D0" w:rsidRDefault="00F36EDE" w:rsidP="00E80883">
      <w:pPr>
        <w:spacing w:before="100" w:beforeAutospacing="1" w:after="100" w:afterAutospacing="1" w:line="360" w:lineRule="auto"/>
        <w:ind w:left="6120"/>
        <w:rPr>
          <w:rFonts w:ascii="Arial" w:eastAsia="Times New Roman" w:hAnsi="Arial" w:cs="Arial"/>
          <w:color w:val="000000" w:themeColor="text1"/>
        </w:rPr>
      </w:pPr>
      <w:r w:rsidRPr="00CF09D0">
        <w:rPr>
          <w:rFonts w:ascii="Arial" w:eastAsia="Times New Roman" w:hAnsi="Arial" w:cs="Arial"/>
          <w:color w:val="000000" w:themeColor="text1"/>
        </w:rPr>
        <w:t>Total Score ________</w:t>
      </w:r>
    </w:p>
    <w:p w:rsidR="00F36EDE" w:rsidRPr="00CF09D0" w:rsidRDefault="00F36EDE" w:rsidP="00F36EDE">
      <w:pPr>
        <w:pStyle w:val="ListParagraph"/>
        <w:rPr>
          <w:rFonts w:ascii="Arial" w:eastAsia="Times New Roman" w:hAnsi="Arial" w:cs="Arial"/>
          <w:sz w:val="20"/>
          <w:szCs w:val="20"/>
          <w:u w:val="single"/>
        </w:rPr>
      </w:pPr>
    </w:p>
    <w:p w:rsidR="00E80883" w:rsidRPr="00CF09D0" w:rsidRDefault="00E80883" w:rsidP="00E80883">
      <w:pPr>
        <w:pStyle w:val="ListParagraph"/>
        <w:numPr>
          <w:ilvl w:val="0"/>
          <w:numId w:val="5"/>
        </w:numPr>
        <w:rPr>
          <w:rFonts w:ascii="Arial" w:eastAsia="Times New Roman" w:hAnsi="Arial" w:cs="Arial"/>
          <w:sz w:val="20"/>
          <w:szCs w:val="20"/>
        </w:rPr>
      </w:pPr>
      <w:r w:rsidRPr="00CF09D0">
        <w:rPr>
          <w:rFonts w:ascii="Arial" w:hAnsi="Arial" w:cs="Arial"/>
          <w:b/>
          <w:u w:val="single"/>
        </w:rPr>
        <w:t>Life-Satisfaction Questionnaire-9 (LISAT-9)</w:t>
      </w:r>
    </w:p>
    <w:p w:rsidR="00E80883" w:rsidRPr="00363C9A" w:rsidRDefault="00E80883" w:rsidP="00363C9A">
      <w:pPr>
        <w:pStyle w:val="ListParagraph"/>
        <w:rPr>
          <w:rFonts w:ascii="Arial" w:eastAsia="Times New Roman" w:hAnsi="Arial" w:cs="Arial"/>
          <w:sz w:val="20"/>
          <w:szCs w:val="20"/>
        </w:rPr>
      </w:pPr>
      <w:r w:rsidRPr="00CF09D0">
        <w:rPr>
          <w:rFonts w:ascii="Arial" w:hAnsi="Arial" w:cs="Arial"/>
          <w:sz w:val="20"/>
          <w:szCs w:val="20"/>
        </w:rPr>
        <w:t>Adapted f</w:t>
      </w:r>
      <w:r w:rsidRPr="00CF09D0">
        <w:rPr>
          <w:rFonts w:ascii="Arial" w:eastAsia="Times New Roman" w:hAnsi="Arial" w:cs="Arial"/>
          <w:sz w:val="20"/>
          <w:szCs w:val="20"/>
        </w:rPr>
        <w:t xml:space="preserve">rom </w:t>
      </w:r>
      <w:proofErr w:type="spellStart"/>
      <w:r w:rsidRPr="00CF09D0">
        <w:rPr>
          <w:rFonts w:ascii="Arial" w:eastAsia="Times New Roman" w:hAnsi="Arial" w:cs="Arial"/>
          <w:sz w:val="20"/>
          <w:szCs w:val="20"/>
        </w:rPr>
        <w:t>Fugl</w:t>
      </w:r>
      <w:proofErr w:type="spellEnd"/>
      <w:r w:rsidRPr="00CF09D0">
        <w:rPr>
          <w:rFonts w:ascii="Arial" w:eastAsia="Times New Roman" w:hAnsi="Arial" w:cs="Arial"/>
          <w:sz w:val="20"/>
          <w:szCs w:val="20"/>
        </w:rPr>
        <w:t xml:space="preserve">-Meyer AR, </w:t>
      </w:r>
      <w:proofErr w:type="spellStart"/>
      <w:r w:rsidRPr="00CF09D0">
        <w:rPr>
          <w:rFonts w:ascii="Arial" w:eastAsia="Times New Roman" w:hAnsi="Arial" w:cs="Arial"/>
          <w:sz w:val="20"/>
          <w:szCs w:val="20"/>
        </w:rPr>
        <w:t>Branholm</w:t>
      </w:r>
      <w:proofErr w:type="spellEnd"/>
      <w:r w:rsidRPr="00CF09D0">
        <w:rPr>
          <w:rFonts w:ascii="Arial" w:eastAsia="Times New Roman" w:hAnsi="Arial" w:cs="Arial"/>
          <w:sz w:val="20"/>
          <w:szCs w:val="20"/>
        </w:rPr>
        <w:t xml:space="preserve"> IB, and </w:t>
      </w:r>
      <w:proofErr w:type="spellStart"/>
      <w:r w:rsidRPr="00CF09D0">
        <w:rPr>
          <w:rFonts w:ascii="Arial" w:eastAsia="Times New Roman" w:hAnsi="Arial" w:cs="Arial"/>
          <w:sz w:val="20"/>
          <w:szCs w:val="20"/>
        </w:rPr>
        <w:t>Fugl</w:t>
      </w:r>
      <w:proofErr w:type="spellEnd"/>
      <w:r w:rsidRPr="00CF09D0">
        <w:rPr>
          <w:rFonts w:ascii="Arial" w:eastAsia="Times New Roman" w:hAnsi="Arial" w:cs="Arial"/>
          <w:sz w:val="20"/>
          <w:szCs w:val="20"/>
        </w:rPr>
        <w:t xml:space="preserve">-Meyer KS, Happiness and domain-specific life satisfaction </w:t>
      </w:r>
      <w:proofErr w:type="gramStart"/>
      <w:r w:rsidRPr="00CF09D0">
        <w:rPr>
          <w:rFonts w:ascii="Arial" w:eastAsia="Times New Roman" w:hAnsi="Arial" w:cs="Arial"/>
          <w:sz w:val="20"/>
          <w:szCs w:val="20"/>
        </w:rPr>
        <w:t>In</w:t>
      </w:r>
      <w:proofErr w:type="gramEnd"/>
      <w:r w:rsidRPr="00CF09D0">
        <w:rPr>
          <w:rFonts w:ascii="Arial" w:eastAsia="Times New Roman" w:hAnsi="Arial" w:cs="Arial"/>
          <w:sz w:val="20"/>
          <w:szCs w:val="20"/>
        </w:rPr>
        <w:t xml:space="preserve"> adult northern Swedes, </w:t>
      </w:r>
      <w:proofErr w:type="spellStart"/>
      <w:r w:rsidRPr="00CF09D0">
        <w:rPr>
          <w:rFonts w:ascii="Arial" w:eastAsia="Times New Roman" w:hAnsi="Arial" w:cs="Arial"/>
          <w:sz w:val="20"/>
          <w:szCs w:val="20"/>
        </w:rPr>
        <w:t>Clin</w:t>
      </w:r>
      <w:proofErr w:type="spellEnd"/>
      <w:r w:rsidRPr="00CF09D0">
        <w:rPr>
          <w:rFonts w:ascii="Arial" w:eastAsia="Times New Roman" w:hAnsi="Arial" w:cs="Arial"/>
          <w:sz w:val="20"/>
          <w:szCs w:val="20"/>
        </w:rPr>
        <w:t xml:space="preserve"> </w:t>
      </w:r>
      <w:proofErr w:type="spellStart"/>
      <w:r w:rsidRPr="00CF09D0">
        <w:rPr>
          <w:rFonts w:ascii="Arial" w:eastAsia="Times New Roman" w:hAnsi="Arial" w:cs="Arial"/>
          <w:sz w:val="20"/>
          <w:szCs w:val="20"/>
        </w:rPr>
        <w:t>Rehabil</w:t>
      </w:r>
      <w:proofErr w:type="spellEnd"/>
      <w:r w:rsidRPr="00CF09D0">
        <w:rPr>
          <w:rFonts w:ascii="Arial" w:eastAsia="Times New Roman" w:hAnsi="Arial" w:cs="Arial"/>
          <w:sz w:val="20"/>
          <w:szCs w:val="20"/>
        </w:rPr>
        <w:t>, 5: 25-33, 1991; Table 3. Used with permission from Sage Publishing.</w:t>
      </w:r>
    </w:p>
    <w:p w:rsidR="00E80883" w:rsidRPr="00CF09D0" w:rsidRDefault="00E80883" w:rsidP="00E80883">
      <w:pPr>
        <w:ind w:left="720"/>
        <w:rPr>
          <w:rFonts w:ascii="Arial" w:hAnsi="Arial" w:cs="Arial"/>
        </w:rPr>
      </w:pPr>
      <w:r w:rsidRPr="00CF09D0">
        <w:rPr>
          <w:rFonts w:ascii="Arial" w:hAnsi="Arial" w:cs="Arial"/>
        </w:rPr>
        <w:t>Patient Name: ____________________</w:t>
      </w:r>
      <w:r w:rsidRPr="00CF09D0">
        <w:rPr>
          <w:rFonts w:ascii="Arial" w:hAnsi="Arial" w:cs="Arial"/>
        </w:rPr>
        <w:tab/>
      </w:r>
      <w:r w:rsidRPr="00CF09D0">
        <w:rPr>
          <w:rFonts w:ascii="Arial" w:hAnsi="Arial" w:cs="Arial"/>
        </w:rPr>
        <w:tab/>
        <w:t>Date: ____________________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How satisfactory are these different aspects of your life? Indicate the number which best suits your situation.</w:t>
      </w:r>
    </w:p>
    <w:p w:rsidR="00E80883" w:rsidRPr="00CF09D0" w:rsidRDefault="00E80883" w:rsidP="00E80883">
      <w:pPr>
        <w:ind w:left="720"/>
        <w:rPr>
          <w:rFonts w:ascii="Arial" w:hAnsi="Arial" w:cs="Arial"/>
        </w:rPr>
      </w:pPr>
      <w:r w:rsidRPr="00CF09D0">
        <w:rPr>
          <w:rFonts w:ascii="Arial" w:hAnsi="Arial" w:cs="Arial"/>
          <w:noProof/>
        </w:rPr>
        <mc:AlternateContent>
          <mc:Choice Requires="wps">
            <w:drawing>
              <wp:anchor distT="0" distB="0" distL="114300" distR="114300" simplePos="0" relativeHeight="251662336" behindDoc="0" locked="0" layoutInCell="1" allowOverlap="1" wp14:anchorId="3A0691C7" wp14:editId="29135EFA">
                <wp:simplePos x="0" y="0"/>
                <wp:positionH relativeFrom="column">
                  <wp:posOffset>1230884</wp:posOffset>
                </wp:positionH>
                <wp:positionV relativeFrom="paragraph">
                  <wp:posOffset>144780</wp:posOffset>
                </wp:positionV>
                <wp:extent cx="3886200" cy="685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685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4F4D6D" w:rsidRDefault="004F4D6D" w:rsidP="00E80883">
                            <w:r>
                              <w:t>1 = very dissatisfying</w:t>
                            </w:r>
                            <w:r>
                              <w:tab/>
                            </w:r>
                            <w:r>
                              <w:tab/>
                              <w:t>4 = rather satisfying</w:t>
                            </w:r>
                          </w:p>
                          <w:p w:rsidR="004F4D6D" w:rsidRDefault="004F4D6D" w:rsidP="00E80883">
                            <w:r>
                              <w:t>2 = dissatisfying</w:t>
                            </w:r>
                            <w:r>
                              <w:tab/>
                            </w:r>
                            <w:r>
                              <w:tab/>
                            </w:r>
                            <w:r>
                              <w:tab/>
                              <w:t>5 = satisfying</w:t>
                            </w:r>
                          </w:p>
                          <w:p w:rsidR="004F4D6D" w:rsidRDefault="004F4D6D" w:rsidP="00E80883">
                            <w:r>
                              <w:t>3 = rather dissatisfying</w:t>
                            </w:r>
                            <w:r>
                              <w:tab/>
                            </w:r>
                            <w:r>
                              <w:tab/>
                              <w:t>6 = very satisfying</w:t>
                            </w:r>
                          </w:p>
                          <w:p w:rsidR="004F4D6D" w:rsidRDefault="004F4D6D" w:rsidP="00E80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91C7" id="Text Box 2" o:spid="_x0000_s1028" type="#_x0000_t202" style="position:absolute;left:0;text-align:left;margin-left:96.9pt;margin-top:11.4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" fillcolor="white [3201]" strokecolor="black [3200]" strokeweight="1pt">
                <v:textbox>
                  <w:txbxContent>
                    <w:p w:rsidR="004F4D6D" w:rsidRDefault="004F4D6D" w:rsidP="00E80883">
                      <w:r>
                        <w:t>1 = very dissatisfying</w:t>
                      </w:r>
                      <w:r>
                        <w:tab/>
                      </w:r>
                      <w:r>
                        <w:tab/>
                        <w:t>4 = rather satisfying</w:t>
                      </w:r>
                    </w:p>
                    <w:p w:rsidR="004F4D6D" w:rsidRDefault="004F4D6D" w:rsidP="00E80883">
                      <w:r>
                        <w:t>2 = dissatisfying</w:t>
                      </w:r>
                      <w:r>
                        <w:tab/>
                      </w:r>
                      <w:r>
                        <w:tab/>
                      </w:r>
                      <w:r>
                        <w:tab/>
                        <w:t>5 = satisfying</w:t>
                      </w:r>
                    </w:p>
                    <w:p w:rsidR="004F4D6D" w:rsidRDefault="004F4D6D" w:rsidP="00E80883">
                      <w:r>
                        <w:t>3 = rather dissatisfying</w:t>
                      </w:r>
                      <w:r>
                        <w:tab/>
                      </w:r>
                      <w:r>
                        <w:tab/>
                        <w:t>6 = very satisfying</w:t>
                      </w:r>
                    </w:p>
                    <w:p w:rsidR="004F4D6D" w:rsidRDefault="004F4D6D" w:rsidP="00E80883"/>
                  </w:txbxContent>
                </v:textbox>
                <w10:wrap type="square"/>
              </v:shape>
            </w:pict>
          </mc:Fallback>
        </mc:AlternateConten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p>
    <w:p w:rsidR="00E80883" w:rsidRPr="00CF09D0" w:rsidRDefault="00E80883" w:rsidP="00E80883">
      <w:pPr>
        <w:ind w:left="720"/>
        <w:jc w:val="right"/>
        <w:rPr>
          <w:rFonts w:ascii="Arial" w:hAnsi="Arial" w:cs="Arial"/>
        </w:rPr>
      </w:pPr>
    </w:p>
    <w:p w:rsidR="00E80883" w:rsidRPr="00CF09D0" w:rsidRDefault="00E80883" w:rsidP="00895B0E">
      <w:pPr>
        <w:ind w:left="720"/>
        <w:jc w:val="right"/>
        <w:rPr>
          <w:rFonts w:ascii="Arial" w:hAnsi="Arial" w:cs="Arial"/>
        </w:rPr>
      </w:pPr>
      <w:r w:rsidRPr="00CF09D0">
        <w:rPr>
          <w:rFonts w:ascii="Arial" w:hAnsi="Arial" w:cs="Arial"/>
        </w:rPr>
        <w:t>Score: (1-6)</w:t>
      </w:r>
    </w:p>
    <w:p w:rsidR="00E80883" w:rsidRPr="00CF09D0" w:rsidRDefault="00E80883" w:rsidP="00E80883">
      <w:pPr>
        <w:ind w:left="720"/>
        <w:rPr>
          <w:rFonts w:ascii="Arial" w:hAnsi="Arial" w:cs="Arial"/>
        </w:rPr>
      </w:pPr>
      <w:r w:rsidRPr="00CF09D0">
        <w:rPr>
          <w:rFonts w:ascii="Arial" w:hAnsi="Arial" w:cs="Arial"/>
        </w:rPr>
        <w:t xml:space="preserve">Life as a whole is </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363C9A" w:rsidP="00363C9A">
      <w:pPr>
        <w:ind w:left="720"/>
        <w:rPr>
          <w:rFonts w:ascii="Arial" w:hAnsi="Arial" w:cs="Arial"/>
        </w:rPr>
      </w:pPr>
      <w:r>
        <w:rPr>
          <w:rFonts w:ascii="Arial" w:hAnsi="Arial" w:cs="Arial"/>
        </w:rPr>
        <w:t>My ability to manage</w:t>
      </w:r>
      <w:r w:rsidR="00E80883" w:rsidRPr="00CF09D0">
        <w:rPr>
          <w:rFonts w:ascii="Arial" w:hAnsi="Arial" w:cs="Arial"/>
        </w:rPr>
        <w:t xml:space="preserve"> self-care (dressing, hygiene, transfers, etc.) </w:t>
      </w:r>
      <w:proofErr w:type="gramStart"/>
      <w:r w:rsidR="00E80883" w:rsidRPr="00CF09D0">
        <w:rPr>
          <w:rFonts w:ascii="Arial" w:hAnsi="Arial" w:cs="Arial"/>
        </w:rPr>
        <w:t xml:space="preserve">is </w:t>
      </w:r>
      <w:r>
        <w:rPr>
          <w:rFonts w:ascii="Arial" w:hAnsi="Arial" w:cs="Arial"/>
        </w:rPr>
        <w:t xml:space="preserve"> _</w:t>
      </w:r>
      <w:proofErr w:type="gramEnd"/>
      <w:r>
        <w:rPr>
          <w:rFonts w:ascii="Arial" w:hAnsi="Arial" w:cs="Arial"/>
        </w:rPr>
        <w:t>_</w:t>
      </w:r>
      <w:r w:rsidR="00E80883" w:rsidRPr="00CF09D0">
        <w:rPr>
          <w:rFonts w:ascii="Arial" w:hAnsi="Arial" w:cs="Arial"/>
        </w:rPr>
        <w:t>_____</w:t>
      </w:r>
      <w:r>
        <w:rPr>
          <w:rFonts w:ascii="Arial" w:hAnsi="Arial" w:cs="Arial"/>
        </w:rPr>
        <w:t>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My leisure situation is</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My vocational situation is</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 xml:space="preserve">My financial situation is </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My sexual life is</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My partnership relation is</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ind w:left="720"/>
        <w:rPr>
          <w:rFonts w:ascii="Arial" w:hAnsi="Arial" w:cs="Arial"/>
        </w:rPr>
      </w:pPr>
      <w:r w:rsidRPr="00CF09D0">
        <w:rPr>
          <w:rFonts w:ascii="Arial" w:hAnsi="Arial" w:cs="Arial"/>
        </w:rPr>
        <w:t>My family life is</w:t>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r>
      <w:r w:rsidRPr="00CF09D0">
        <w:rPr>
          <w:rFonts w:ascii="Arial" w:hAnsi="Arial" w:cs="Arial"/>
        </w:rPr>
        <w:tab/>
        <w:t>________</w:t>
      </w:r>
    </w:p>
    <w:p w:rsidR="00E80883" w:rsidRPr="00CF09D0" w:rsidRDefault="00E80883" w:rsidP="00E80883">
      <w:pPr>
        <w:ind w:left="720"/>
        <w:rPr>
          <w:rFonts w:ascii="Arial" w:hAnsi="Arial" w:cs="Arial"/>
        </w:rPr>
      </w:pPr>
    </w:p>
    <w:p w:rsidR="00E80883" w:rsidRPr="00CF09D0" w:rsidRDefault="00E80883" w:rsidP="00E80883">
      <w:pPr>
        <w:pBdr>
          <w:bottom w:val="single" w:sz="12" w:space="1" w:color="auto"/>
        </w:pBdr>
        <w:ind w:left="720"/>
        <w:rPr>
          <w:rFonts w:ascii="Arial" w:hAnsi="Arial" w:cs="Arial"/>
        </w:rPr>
      </w:pPr>
      <w:r w:rsidRPr="00CF09D0">
        <w:rPr>
          <w:rFonts w:ascii="Arial" w:hAnsi="Arial" w:cs="Arial"/>
        </w:rPr>
        <w:t>My contacts with f</w:t>
      </w:r>
      <w:r w:rsidR="00CF09D0">
        <w:rPr>
          <w:rFonts w:ascii="Arial" w:hAnsi="Arial" w:cs="Arial"/>
        </w:rPr>
        <w:t>riends and acquaintances are</w:t>
      </w:r>
      <w:r w:rsidR="00CF09D0">
        <w:rPr>
          <w:rFonts w:ascii="Arial" w:hAnsi="Arial" w:cs="Arial"/>
        </w:rPr>
        <w:tab/>
      </w:r>
      <w:r w:rsidR="00CF09D0">
        <w:rPr>
          <w:rFonts w:ascii="Arial" w:hAnsi="Arial" w:cs="Arial"/>
        </w:rPr>
        <w:tab/>
      </w:r>
      <w:r w:rsidR="00CF09D0">
        <w:rPr>
          <w:rFonts w:ascii="Arial" w:hAnsi="Arial" w:cs="Arial"/>
        </w:rPr>
        <w:tab/>
      </w:r>
      <w:r w:rsidRPr="00CF09D0">
        <w:rPr>
          <w:rFonts w:ascii="Arial" w:hAnsi="Arial" w:cs="Arial"/>
        </w:rPr>
        <w:t>________</w:t>
      </w:r>
    </w:p>
    <w:p w:rsidR="002F1E65" w:rsidRPr="00CF09D0" w:rsidRDefault="00E80883" w:rsidP="00895B0E">
      <w:pPr>
        <w:spacing w:before="5" w:line="360" w:lineRule="auto"/>
        <w:jc w:val="right"/>
        <w:rPr>
          <w:rFonts w:ascii="Arial" w:hAnsi="Arial" w:cs="Arial"/>
        </w:rPr>
      </w:pPr>
      <w:r w:rsidRPr="00CF09D0">
        <w:rPr>
          <w:rFonts w:ascii="Arial" w:hAnsi="Arial" w:cs="Arial"/>
        </w:rPr>
        <w:t>Sum: ________</w:t>
      </w:r>
    </w:p>
    <w:sectPr w:rsidR="002F1E65" w:rsidRPr="00CF09D0" w:rsidSect="00C50B6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0D5" w:rsidRDefault="007C60D5" w:rsidP="002D1BBE">
      <w:r>
        <w:separator/>
      </w:r>
    </w:p>
  </w:endnote>
  <w:endnote w:type="continuationSeparator" w:id="0">
    <w:p w:rsidR="007C60D5" w:rsidRDefault="007C60D5" w:rsidP="002D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172022"/>
      <w:docPartObj>
        <w:docPartGallery w:val="Page Numbers (Bottom of Page)"/>
        <w:docPartUnique/>
      </w:docPartObj>
    </w:sdtPr>
    <w:sdtEndPr>
      <w:rPr>
        <w:rStyle w:val="PageNumber"/>
      </w:rPr>
    </w:sdtEndPr>
    <w:sdtContent>
      <w:p w:rsidR="00377695" w:rsidRDefault="00377695" w:rsidP="00173C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77695" w:rsidRDefault="00377695" w:rsidP="003776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2360898"/>
      <w:docPartObj>
        <w:docPartGallery w:val="Page Numbers (Bottom of Page)"/>
        <w:docPartUnique/>
      </w:docPartObj>
    </w:sdtPr>
    <w:sdtEndPr>
      <w:rPr>
        <w:rStyle w:val="PageNumber"/>
        <w:rFonts w:ascii="Arial" w:hAnsi="Arial" w:cs="Arial"/>
      </w:rPr>
    </w:sdtEndPr>
    <w:sdtContent>
      <w:p w:rsidR="00377695" w:rsidRDefault="00377695" w:rsidP="00173C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77695" w:rsidRDefault="00377695" w:rsidP="003776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0D5" w:rsidRDefault="007C60D5" w:rsidP="002D1BBE">
      <w:r>
        <w:separator/>
      </w:r>
    </w:p>
  </w:footnote>
  <w:footnote w:type="continuationSeparator" w:id="0">
    <w:p w:rsidR="007C60D5" w:rsidRDefault="007C60D5" w:rsidP="002D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D6D" w:rsidRPr="00DD0615" w:rsidRDefault="00377695" w:rsidP="00377695">
    <w:pPr>
      <w:pStyle w:val="Header"/>
      <w:jc w:val="right"/>
      <w:rPr>
        <w:rFonts w:ascii="Arial" w:hAnsi="Arial" w:cs="Arial"/>
      </w:rPr>
    </w:pPr>
    <w:r w:rsidRPr="00DD0615">
      <w:rPr>
        <w:rFonts w:ascii="Arial" w:hAnsi="Arial" w:cs="Arial"/>
      </w:rPr>
      <w:t>Katie Fabian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24BE4"/>
    <w:multiLevelType w:val="hybridMultilevel"/>
    <w:tmpl w:val="42343804"/>
    <w:lvl w:ilvl="0" w:tplc="5E4AAFBC">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97A3A"/>
    <w:multiLevelType w:val="hybridMultilevel"/>
    <w:tmpl w:val="545E2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4358"/>
    <w:multiLevelType w:val="multilevel"/>
    <w:tmpl w:val="7A1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87481"/>
    <w:multiLevelType w:val="hybridMultilevel"/>
    <w:tmpl w:val="37729220"/>
    <w:lvl w:ilvl="0" w:tplc="0409000B">
      <w:start w:val="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2716A"/>
    <w:multiLevelType w:val="hybridMultilevel"/>
    <w:tmpl w:val="CAEAEE7A"/>
    <w:lvl w:ilvl="0" w:tplc="0409000B">
      <w:start w:val="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542B4"/>
    <w:multiLevelType w:val="hybridMultilevel"/>
    <w:tmpl w:val="1CC05DB2"/>
    <w:lvl w:ilvl="0" w:tplc="0409000B">
      <w:start w:val="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33B2D"/>
    <w:multiLevelType w:val="hybridMultilevel"/>
    <w:tmpl w:val="9A3A3998"/>
    <w:lvl w:ilvl="0" w:tplc="E7007312">
      <w:start w:val="1"/>
      <w:numFmt w:val="upperLetter"/>
      <w:lvlText w:val="%1."/>
      <w:lvlJc w:val="left"/>
      <w:pPr>
        <w:ind w:left="1080" w:hanging="360"/>
      </w:pPr>
      <w:rPr>
        <w:rFonts w:ascii="Arial" w:eastAsia="Times New Roman" w:hAnsi="Arial" w:cs="Arial"/>
        <w:sz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B450CB"/>
    <w:multiLevelType w:val="hybridMultilevel"/>
    <w:tmpl w:val="B238C232"/>
    <w:lvl w:ilvl="0" w:tplc="A710A8B6">
      <w:start w:val="1"/>
      <w:numFmt w:val="upperLetter"/>
      <w:lvlText w:val="%1."/>
      <w:lvlJc w:val="left"/>
      <w:pPr>
        <w:ind w:left="720" w:hanging="360"/>
      </w:pPr>
      <w:rPr>
        <w:rFonts w:ascii="Cambria" w:eastAsiaTheme="minorHAnsi" w:hAnsi="Cambria" w:cstheme="minorBidi"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E2F7E"/>
    <w:multiLevelType w:val="multilevel"/>
    <w:tmpl w:val="3D821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864702"/>
    <w:multiLevelType w:val="hybridMultilevel"/>
    <w:tmpl w:val="DF60123C"/>
    <w:lvl w:ilvl="0" w:tplc="CA52499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04089"/>
    <w:multiLevelType w:val="hybridMultilevel"/>
    <w:tmpl w:val="F404DB9A"/>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57520F6"/>
    <w:multiLevelType w:val="multilevel"/>
    <w:tmpl w:val="84C6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644EEB"/>
    <w:multiLevelType w:val="hybridMultilevel"/>
    <w:tmpl w:val="133AFFD6"/>
    <w:lvl w:ilvl="0" w:tplc="0409000B">
      <w:start w:val="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0"/>
  </w:num>
  <w:num w:numId="5">
    <w:abstractNumId w:val="7"/>
  </w:num>
  <w:num w:numId="6">
    <w:abstractNumId w:val="11"/>
  </w:num>
  <w:num w:numId="7">
    <w:abstractNumId w:val="6"/>
  </w:num>
  <w:num w:numId="8">
    <w:abstractNumId w:val="9"/>
  </w:num>
  <w:num w:numId="9">
    <w:abstractNumId w:val="0"/>
  </w:num>
  <w:num w:numId="10">
    <w:abstractNumId w:val="1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BE"/>
    <w:rsid w:val="000011BA"/>
    <w:rsid w:val="00005273"/>
    <w:rsid w:val="00031BCF"/>
    <w:rsid w:val="00057411"/>
    <w:rsid w:val="00070CA3"/>
    <w:rsid w:val="000754BB"/>
    <w:rsid w:val="0008240B"/>
    <w:rsid w:val="000D5441"/>
    <w:rsid w:val="000F495E"/>
    <w:rsid w:val="00243329"/>
    <w:rsid w:val="00251012"/>
    <w:rsid w:val="0025227B"/>
    <w:rsid w:val="00255D94"/>
    <w:rsid w:val="002D1BBE"/>
    <w:rsid w:val="002F1E65"/>
    <w:rsid w:val="002F7293"/>
    <w:rsid w:val="00363C9A"/>
    <w:rsid w:val="00377695"/>
    <w:rsid w:val="00397ACC"/>
    <w:rsid w:val="003D7CEE"/>
    <w:rsid w:val="00410200"/>
    <w:rsid w:val="00411B88"/>
    <w:rsid w:val="00432584"/>
    <w:rsid w:val="0043411B"/>
    <w:rsid w:val="0044202A"/>
    <w:rsid w:val="004558CF"/>
    <w:rsid w:val="004825AE"/>
    <w:rsid w:val="004826C1"/>
    <w:rsid w:val="004B454C"/>
    <w:rsid w:val="004C724D"/>
    <w:rsid w:val="004F4D6D"/>
    <w:rsid w:val="0055579B"/>
    <w:rsid w:val="00585F85"/>
    <w:rsid w:val="0058731C"/>
    <w:rsid w:val="00640389"/>
    <w:rsid w:val="00641575"/>
    <w:rsid w:val="00647D01"/>
    <w:rsid w:val="00685AE8"/>
    <w:rsid w:val="006910EF"/>
    <w:rsid w:val="00691828"/>
    <w:rsid w:val="00692127"/>
    <w:rsid w:val="00696F73"/>
    <w:rsid w:val="006D3CD6"/>
    <w:rsid w:val="00730921"/>
    <w:rsid w:val="00737EE8"/>
    <w:rsid w:val="00774F48"/>
    <w:rsid w:val="007C60D5"/>
    <w:rsid w:val="008628DB"/>
    <w:rsid w:val="00895B0E"/>
    <w:rsid w:val="00902A59"/>
    <w:rsid w:val="00926D6D"/>
    <w:rsid w:val="00941627"/>
    <w:rsid w:val="009A590E"/>
    <w:rsid w:val="009E33F5"/>
    <w:rsid w:val="00A4621B"/>
    <w:rsid w:val="00A464AA"/>
    <w:rsid w:val="00A86C2F"/>
    <w:rsid w:val="00B14C13"/>
    <w:rsid w:val="00B276D6"/>
    <w:rsid w:val="00B47BB0"/>
    <w:rsid w:val="00B95D6E"/>
    <w:rsid w:val="00BC615D"/>
    <w:rsid w:val="00C25782"/>
    <w:rsid w:val="00C27C25"/>
    <w:rsid w:val="00C50B6F"/>
    <w:rsid w:val="00C51374"/>
    <w:rsid w:val="00C64B07"/>
    <w:rsid w:val="00CF09D0"/>
    <w:rsid w:val="00D35BCB"/>
    <w:rsid w:val="00D60CD3"/>
    <w:rsid w:val="00D8669D"/>
    <w:rsid w:val="00DA3099"/>
    <w:rsid w:val="00DB476B"/>
    <w:rsid w:val="00DC044D"/>
    <w:rsid w:val="00DD0615"/>
    <w:rsid w:val="00DD686E"/>
    <w:rsid w:val="00DE1EF8"/>
    <w:rsid w:val="00DE3CF7"/>
    <w:rsid w:val="00E36D66"/>
    <w:rsid w:val="00E651B2"/>
    <w:rsid w:val="00E6558E"/>
    <w:rsid w:val="00E80883"/>
    <w:rsid w:val="00EA42E0"/>
    <w:rsid w:val="00EA639F"/>
    <w:rsid w:val="00EB2DE3"/>
    <w:rsid w:val="00EB434C"/>
    <w:rsid w:val="00EB6899"/>
    <w:rsid w:val="00EE0287"/>
    <w:rsid w:val="00F0751F"/>
    <w:rsid w:val="00F156CD"/>
    <w:rsid w:val="00F217F6"/>
    <w:rsid w:val="00F36EDE"/>
    <w:rsid w:val="00F45C0F"/>
    <w:rsid w:val="00F45F18"/>
    <w:rsid w:val="00F77F92"/>
    <w:rsid w:val="00F913B7"/>
    <w:rsid w:val="00F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3E10A7-C615-8742-AD31-EA25B292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79B"/>
    <w:pPr>
      <w:keepNext/>
      <w:keepLines/>
      <w:spacing w:before="240"/>
      <w:outlineLvl w:val="0"/>
    </w:pPr>
    <w:rPr>
      <w:rFonts w:ascii="Cambria" w:eastAsia="Times New Roman" w:hAnsi="Cambria" w:cstheme="majorBidi"/>
      <w:b/>
      <w:color w:val="767171" w:themeColor="background2" w:themeShade="80"/>
      <w:sz w:val="32"/>
      <w:szCs w:val="32"/>
    </w:rPr>
  </w:style>
  <w:style w:type="paragraph" w:styleId="Heading2">
    <w:name w:val="heading 2"/>
    <w:basedOn w:val="Normal"/>
    <w:next w:val="Normal"/>
    <w:link w:val="Heading2Char"/>
    <w:uiPriority w:val="9"/>
    <w:unhideWhenUsed/>
    <w:qFormat/>
    <w:rsid w:val="0055579B"/>
    <w:pPr>
      <w:outlineLvl w:val="1"/>
    </w:pPr>
    <w:rPr>
      <w:rFonts w:ascii="Cambria" w:eastAsia="Times New Roman" w:hAnsi="Cambria" w:cs="Times New Roman"/>
      <w:b/>
      <w:color w:val="3A383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BB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D1BBE"/>
    <w:pPr>
      <w:tabs>
        <w:tab w:val="center" w:pos="4680"/>
        <w:tab w:val="right" w:pos="9360"/>
      </w:tabs>
    </w:pPr>
  </w:style>
  <w:style w:type="character" w:customStyle="1" w:styleId="HeaderChar">
    <w:name w:val="Header Char"/>
    <w:basedOn w:val="DefaultParagraphFont"/>
    <w:link w:val="Header"/>
    <w:uiPriority w:val="99"/>
    <w:rsid w:val="002D1BBE"/>
  </w:style>
  <w:style w:type="paragraph" w:styleId="Footer">
    <w:name w:val="footer"/>
    <w:basedOn w:val="Normal"/>
    <w:link w:val="FooterChar"/>
    <w:uiPriority w:val="99"/>
    <w:unhideWhenUsed/>
    <w:rsid w:val="002D1BBE"/>
    <w:pPr>
      <w:tabs>
        <w:tab w:val="center" w:pos="4680"/>
        <w:tab w:val="right" w:pos="9360"/>
      </w:tabs>
    </w:pPr>
  </w:style>
  <w:style w:type="character" w:customStyle="1" w:styleId="FooterChar">
    <w:name w:val="Footer Char"/>
    <w:basedOn w:val="DefaultParagraphFont"/>
    <w:link w:val="Footer"/>
    <w:uiPriority w:val="99"/>
    <w:rsid w:val="002D1BBE"/>
  </w:style>
  <w:style w:type="table" w:styleId="TableGrid">
    <w:name w:val="Table Grid"/>
    <w:basedOn w:val="TableNormal"/>
    <w:uiPriority w:val="39"/>
    <w:rsid w:val="00411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C25"/>
  </w:style>
  <w:style w:type="paragraph" w:styleId="ListParagraph">
    <w:name w:val="List Paragraph"/>
    <w:basedOn w:val="Normal"/>
    <w:uiPriority w:val="34"/>
    <w:qFormat/>
    <w:rsid w:val="00031BCF"/>
    <w:pPr>
      <w:ind w:left="720"/>
      <w:contextualSpacing/>
    </w:pPr>
  </w:style>
  <w:style w:type="character" w:customStyle="1" w:styleId="Heading1Char">
    <w:name w:val="Heading 1 Char"/>
    <w:basedOn w:val="DefaultParagraphFont"/>
    <w:link w:val="Heading1"/>
    <w:uiPriority w:val="9"/>
    <w:rsid w:val="0055579B"/>
    <w:rPr>
      <w:rFonts w:ascii="Cambria" w:eastAsia="Times New Roman" w:hAnsi="Cambria" w:cstheme="majorBidi"/>
      <w:b/>
      <w:color w:val="767171" w:themeColor="background2" w:themeShade="80"/>
      <w:sz w:val="32"/>
      <w:szCs w:val="32"/>
    </w:rPr>
  </w:style>
  <w:style w:type="character" w:customStyle="1" w:styleId="Heading2Char">
    <w:name w:val="Heading 2 Char"/>
    <w:basedOn w:val="DefaultParagraphFont"/>
    <w:link w:val="Heading2"/>
    <w:uiPriority w:val="9"/>
    <w:rsid w:val="0055579B"/>
    <w:rPr>
      <w:rFonts w:ascii="Cambria" w:eastAsia="Times New Roman" w:hAnsi="Cambria" w:cs="Times New Roman"/>
      <w:b/>
      <w:color w:val="3A3838"/>
      <w:u w:val="single"/>
    </w:rPr>
  </w:style>
  <w:style w:type="character" w:styleId="PlaceholderText">
    <w:name w:val="Placeholder Text"/>
    <w:basedOn w:val="DefaultParagraphFont"/>
    <w:uiPriority w:val="99"/>
    <w:semiHidden/>
    <w:rsid w:val="00D60CD3"/>
    <w:rPr>
      <w:color w:val="808080"/>
    </w:rPr>
  </w:style>
  <w:style w:type="character" w:styleId="Hyperlink">
    <w:name w:val="Hyperlink"/>
    <w:basedOn w:val="DefaultParagraphFont"/>
    <w:uiPriority w:val="99"/>
    <w:unhideWhenUsed/>
    <w:rsid w:val="004B454C"/>
    <w:rPr>
      <w:color w:val="0563C1" w:themeColor="hyperlink"/>
      <w:u w:val="single"/>
    </w:rPr>
  </w:style>
  <w:style w:type="character" w:styleId="UnresolvedMention">
    <w:name w:val="Unresolved Mention"/>
    <w:basedOn w:val="DefaultParagraphFont"/>
    <w:uiPriority w:val="99"/>
    <w:rsid w:val="004B454C"/>
    <w:rPr>
      <w:color w:val="605E5C"/>
      <w:shd w:val="clear" w:color="auto" w:fill="E1DFDD"/>
    </w:rPr>
  </w:style>
  <w:style w:type="character" w:styleId="FollowedHyperlink">
    <w:name w:val="FollowedHyperlink"/>
    <w:basedOn w:val="DefaultParagraphFont"/>
    <w:uiPriority w:val="99"/>
    <w:semiHidden/>
    <w:unhideWhenUsed/>
    <w:rsid w:val="00EE0287"/>
    <w:rPr>
      <w:color w:val="954F72" w:themeColor="followedHyperlink"/>
      <w:u w:val="single"/>
    </w:rPr>
  </w:style>
  <w:style w:type="character" w:styleId="PageNumber">
    <w:name w:val="page number"/>
    <w:basedOn w:val="DefaultParagraphFont"/>
    <w:uiPriority w:val="99"/>
    <w:semiHidden/>
    <w:unhideWhenUsed/>
    <w:rsid w:val="0037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3996">
      <w:bodyDiv w:val="1"/>
      <w:marLeft w:val="0"/>
      <w:marRight w:val="0"/>
      <w:marTop w:val="0"/>
      <w:marBottom w:val="0"/>
      <w:divBdr>
        <w:top w:val="none" w:sz="0" w:space="0" w:color="auto"/>
        <w:left w:val="none" w:sz="0" w:space="0" w:color="auto"/>
        <w:bottom w:val="none" w:sz="0" w:space="0" w:color="auto"/>
        <w:right w:val="none" w:sz="0" w:space="0" w:color="auto"/>
      </w:divBdr>
      <w:divsChild>
        <w:div w:id="2103213115">
          <w:marLeft w:val="0"/>
          <w:marRight w:val="0"/>
          <w:marTop w:val="0"/>
          <w:marBottom w:val="0"/>
          <w:divBdr>
            <w:top w:val="none" w:sz="0" w:space="0" w:color="auto"/>
            <w:left w:val="none" w:sz="0" w:space="0" w:color="auto"/>
            <w:bottom w:val="none" w:sz="0" w:space="0" w:color="auto"/>
            <w:right w:val="none" w:sz="0" w:space="0" w:color="auto"/>
          </w:divBdr>
          <w:divsChild>
            <w:div w:id="284385987">
              <w:marLeft w:val="0"/>
              <w:marRight w:val="0"/>
              <w:marTop w:val="0"/>
              <w:marBottom w:val="0"/>
              <w:divBdr>
                <w:top w:val="none" w:sz="0" w:space="0" w:color="auto"/>
                <w:left w:val="none" w:sz="0" w:space="0" w:color="auto"/>
                <w:bottom w:val="none" w:sz="0" w:space="0" w:color="auto"/>
                <w:right w:val="none" w:sz="0" w:space="0" w:color="auto"/>
              </w:divBdr>
              <w:divsChild>
                <w:div w:id="37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334577997">
      <w:bodyDiv w:val="1"/>
      <w:marLeft w:val="0"/>
      <w:marRight w:val="0"/>
      <w:marTop w:val="0"/>
      <w:marBottom w:val="0"/>
      <w:divBdr>
        <w:top w:val="none" w:sz="0" w:space="0" w:color="auto"/>
        <w:left w:val="none" w:sz="0" w:space="0" w:color="auto"/>
        <w:bottom w:val="none" w:sz="0" w:space="0" w:color="auto"/>
        <w:right w:val="none" w:sz="0" w:space="0" w:color="auto"/>
      </w:divBdr>
    </w:div>
    <w:div w:id="1116488664">
      <w:bodyDiv w:val="1"/>
      <w:marLeft w:val="0"/>
      <w:marRight w:val="0"/>
      <w:marTop w:val="0"/>
      <w:marBottom w:val="0"/>
      <w:divBdr>
        <w:top w:val="none" w:sz="0" w:space="0" w:color="auto"/>
        <w:left w:val="none" w:sz="0" w:space="0" w:color="auto"/>
        <w:bottom w:val="none" w:sz="0" w:space="0" w:color="auto"/>
        <w:right w:val="none" w:sz="0" w:space="0" w:color="auto"/>
      </w:divBdr>
      <w:divsChild>
        <w:div w:id="128061870">
          <w:marLeft w:val="0"/>
          <w:marRight w:val="0"/>
          <w:marTop w:val="0"/>
          <w:marBottom w:val="0"/>
          <w:divBdr>
            <w:top w:val="none" w:sz="0" w:space="0" w:color="auto"/>
            <w:left w:val="none" w:sz="0" w:space="0" w:color="auto"/>
            <w:bottom w:val="none" w:sz="0" w:space="0" w:color="auto"/>
            <w:right w:val="none" w:sz="0" w:space="0" w:color="auto"/>
          </w:divBdr>
          <w:divsChild>
            <w:div w:id="443114741">
              <w:marLeft w:val="0"/>
              <w:marRight w:val="0"/>
              <w:marTop w:val="0"/>
              <w:marBottom w:val="0"/>
              <w:divBdr>
                <w:top w:val="none" w:sz="0" w:space="0" w:color="auto"/>
                <w:left w:val="none" w:sz="0" w:space="0" w:color="auto"/>
                <w:bottom w:val="none" w:sz="0" w:space="0" w:color="auto"/>
                <w:right w:val="none" w:sz="0" w:space="0" w:color="auto"/>
              </w:divBdr>
              <w:divsChild>
                <w:div w:id="193232328">
                  <w:marLeft w:val="0"/>
                  <w:marRight w:val="0"/>
                  <w:marTop w:val="0"/>
                  <w:marBottom w:val="0"/>
                  <w:divBdr>
                    <w:top w:val="none" w:sz="0" w:space="0" w:color="auto"/>
                    <w:left w:val="none" w:sz="0" w:space="0" w:color="auto"/>
                    <w:bottom w:val="none" w:sz="0" w:space="0" w:color="auto"/>
                    <w:right w:val="none" w:sz="0" w:space="0" w:color="auto"/>
                  </w:divBdr>
                </w:div>
              </w:divsChild>
            </w:div>
            <w:div w:id="2127964714">
              <w:marLeft w:val="0"/>
              <w:marRight w:val="0"/>
              <w:marTop w:val="0"/>
              <w:marBottom w:val="0"/>
              <w:divBdr>
                <w:top w:val="none" w:sz="0" w:space="0" w:color="auto"/>
                <w:left w:val="none" w:sz="0" w:space="0" w:color="auto"/>
                <w:bottom w:val="none" w:sz="0" w:space="0" w:color="auto"/>
                <w:right w:val="none" w:sz="0" w:space="0" w:color="auto"/>
              </w:divBdr>
              <w:divsChild>
                <w:div w:id="973750876">
                  <w:marLeft w:val="0"/>
                  <w:marRight w:val="0"/>
                  <w:marTop w:val="0"/>
                  <w:marBottom w:val="0"/>
                  <w:divBdr>
                    <w:top w:val="none" w:sz="0" w:space="0" w:color="auto"/>
                    <w:left w:val="none" w:sz="0" w:space="0" w:color="auto"/>
                    <w:bottom w:val="none" w:sz="0" w:space="0" w:color="auto"/>
                    <w:right w:val="none" w:sz="0" w:space="0" w:color="auto"/>
                  </w:divBdr>
                </w:div>
                <w:div w:id="1308629390">
                  <w:marLeft w:val="0"/>
                  <w:marRight w:val="0"/>
                  <w:marTop w:val="0"/>
                  <w:marBottom w:val="0"/>
                  <w:divBdr>
                    <w:top w:val="none" w:sz="0" w:space="0" w:color="auto"/>
                    <w:left w:val="none" w:sz="0" w:space="0" w:color="auto"/>
                    <w:bottom w:val="none" w:sz="0" w:space="0" w:color="auto"/>
                    <w:right w:val="none" w:sz="0" w:space="0" w:color="auto"/>
                  </w:divBdr>
                </w:div>
              </w:divsChild>
            </w:div>
            <w:div w:id="1749770831">
              <w:marLeft w:val="0"/>
              <w:marRight w:val="0"/>
              <w:marTop w:val="0"/>
              <w:marBottom w:val="0"/>
              <w:divBdr>
                <w:top w:val="none" w:sz="0" w:space="0" w:color="auto"/>
                <w:left w:val="none" w:sz="0" w:space="0" w:color="auto"/>
                <w:bottom w:val="none" w:sz="0" w:space="0" w:color="auto"/>
                <w:right w:val="none" w:sz="0" w:space="0" w:color="auto"/>
              </w:divBdr>
              <w:divsChild>
                <w:div w:id="507213935">
                  <w:marLeft w:val="0"/>
                  <w:marRight w:val="0"/>
                  <w:marTop w:val="0"/>
                  <w:marBottom w:val="0"/>
                  <w:divBdr>
                    <w:top w:val="none" w:sz="0" w:space="0" w:color="auto"/>
                    <w:left w:val="none" w:sz="0" w:space="0" w:color="auto"/>
                    <w:bottom w:val="none" w:sz="0" w:space="0" w:color="auto"/>
                    <w:right w:val="none" w:sz="0" w:space="0" w:color="auto"/>
                  </w:divBdr>
                </w:div>
              </w:divsChild>
            </w:div>
            <w:div w:id="1383677318">
              <w:marLeft w:val="0"/>
              <w:marRight w:val="0"/>
              <w:marTop w:val="0"/>
              <w:marBottom w:val="0"/>
              <w:divBdr>
                <w:top w:val="none" w:sz="0" w:space="0" w:color="auto"/>
                <w:left w:val="none" w:sz="0" w:space="0" w:color="auto"/>
                <w:bottom w:val="none" w:sz="0" w:space="0" w:color="auto"/>
                <w:right w:val="none" w:sz="0" w:space="0" w:color="auto"/>
              </w:divBdr>
              <w:divsChild>
                <w:div w:id="614093398">
                  <w:marLeft w:val="0"/>
                  <w:marRight w:val="0"/>
                  <w:marTop w:val="0"/>
                  <w:marBottom w:val="0"/>
                  <w:divBdr>
                    <w:top w:val="none" w:sz="0" w:space="0" w:color="auto"/>
                    <w:left w:val="none" w:sz="0" w:space="0" w:color="auto"/>
                    <w:bottom w:val="none" w:sz="0" w:space="0" w:color="auto"/>
                    <w:right w:val="none" w:sz="0" w:space="0" w:color="auto"/>
                  </w:divBdr>
                </w:div>
              </w:divsChild>
            </w:div>
            <w:div w:id="1099641533">
              <w:marLeft w:val="0"/>
              <w:marRight w:val="0"/>
              <w:marTop w:val="0"/>
              <w:marBottom w:val="0"/>
              <w:divBdr>
                <w:top w:val="none" w:sz="0" w:space="0" w:color="auto"/>
                <w:left w:val="none" w:sz="0" w:space="0" w:color="auto"/>
                <w:bottom w:val="none" w:sz="0" w:space="0" w:color="auto"/>
                <w:right w:val="none" w:sz="0" w:space="0" w:color="auto"/>
              </w:divBdr>
              <w:divsChild>
                <w:div w:id="1547376300">
                  <w:marLeft w:val="0"/>
                  <w:marRight w:val="0"/>
                  <w:marTop w:val="0"/>
                  <w:marBottom w:val="0"/>
                  <w:divBdr>
                    <w:top w:val="none" w:sz="0" w:space="0" w:color="auto"/>
                    <w:left w:val="none" w:sz="0" w:space="0" w:color="auto"/>
                    <w:bottom w:val="none" w:sz="0" w:space="0" w:color="auto"/>
                    <w:right w:val="none" w:sz="0" w:space="0" w:color="auto"/>
                  </w:divBdr>
                </w:div>
              </w:divsChild>
            </w:div>
            <w:div w:id="24408206">
              <w:marLeft w:val="0"/>
              <w:marRight w:val="0"/>
              <w:marTop w:val="0"/>
              <w:marBottom w:val="0"/>
              <w:divBdr>
                <w:top w:val="none" w:sz="0" w:space="0" w:color="auto"/>
                <w:left w:val="none" w:sz="0" w:space="0" w:color="auto"/>
                <w:bottom w:val="none" w:sz="0" w:space="0" w:color="auto"/>
                <w:right w:val="none" w:sz="0" w:space="0" w:color="auto"/>
              </w:divBdr>
              <w:divsChild>
                <w:div w:id="51320657">
                  <w:marLeft w:val="0"/>
                  <w:marRight w:val="0"/>
                  <w:marTop w:val="0"/>
                  <w:marBottom w:val="0"/>
                  <w:divBdr>
                    <w:top w:val="none" w:sz="0" w:space="0" w:color="auto"/>
                    <w:left w:val="none" w:sz="0" w:space="0" w:color="auto"/>
                    <w:bottom w:val="none" w:sz="0" w:space="0" w:color="auto"/>
                    <w:right w:val="none" w:sz="0" w:space="0" w:color="auto"/>
                  </w:divBdr>
                </w:div>
              </w:divsChild>
            </w:div>
            <w:div w:id="1216695283">
              <w:marLeft w:val="0"/>
              <w:marRight w:val="0"/>
              <w:marTop w:val="0"/>
              <w:marBottom w:val="0"/>
              <w:divBdr>
                <w:top w:val="none" w:sz="0" w:space="0" w:color="auto"/>
                <w:left w:val="none" w:sz="0" w:space="0" w:color="auto"/>
                <w:bottom w:val="none" w:sz="0" w:space="0" w:color="auto"/>
                <w:right w:val="none" w:sz="0" w:space="0" w:color="auto"/>
              </w:divBdr>
              <w:divsChild>
                <w:div w:id="597568407">
                  <w:marLeft w:val="0"/>
                  <w:marRight w:val="0"/>
                  <w:marTop w:val="0"/>
                  <w:marBottom w:val="0"/>
                  <w:divBdr>
                    <w:top w:val="none" w:sz="0" w:space="0" w:color="auto"/>
                    <w:left w:val="none" w:sz="0" w:space="0" w:color="auto"/>
                    <w:bottom w:val="none" w:sz="0" w:space="0" w:color="auto"/>
                    <w:right w:val="none" w:sz="0" w:space="0" w:color="auto"/>
                  </w:divBdr>
                </w:div>
              </w:divsChild>
            </w:div>
            <w:div w:id="56558836">
              <w:marLeft w:val="0"/>
              <w:marRight w:val="0"/>
              <w:marTop w:val="0"/>
              <w:marBottom w:val="0"/>
              <w:divBdr>
                <w:top w:val="none" w:sz="0" w:space="0" w:color="auto"/>
                <w:left w:val="none" w:sz="0" w:space="0" w:color="auto"/>
                <w:bottom w:val="none" w:sz="0" w:space="0" w:color="auto"/>
                <w:right w:val="none" w:sz="0" w:space="0" w:color="auto"/>
              </w:divBdr>
              <w:divsChild>
                <w:div w:id="1340547932">
                  <w:marLeft w:val="0"/>
                  <w:marRight w:val="0"/>
                  <w:marTop w:val="0"/>
                  <w:marBottom w:val="0"/>
                  <w:divBdr>
                    <w:top w:val="none" w:sz="0" w:space="0" w:color="auto"/>
                    <w:left w:val="none" w:sz="0" w:space="0" w:color="auto"/>
                    <w:bottom w:val="none" w:sz="0" w:space="0" w:color="auto"/>
                    <w:right w:val="none" w:sz="0" w:space="0" w:color="auto"/>
                  </w:divBdr>
                </w:div>
              </w:divsChild>
            </w:div>
            <w:div w:id="1571111558">
              <w:marLeft w:val="0"/>
              <w:marRight w:val="0"/>
              <w:marTop w:val="0"/>
              <w:marBottom w:val="0"/>
              <w:divBdr>
                <w:top w:val="none" w:sz="0" w:space="0" w:color="auto"/>
                <w:left w:val="none" w:sz="0" w:space="0" w:color="auto"/>
                <w:bottom w:val="none" w:sz="0" w:space="0" w:color="auto"/>
                <w:right w:val="none" w:sz="0" w:space="0" w:color="auto"/>
              </w:divBdr>
              <w:divsChild>
                <w:div w:id="2113822729">
                  <w:marLeft w:val="0"/>
                  <w:marRight w:val="0"/>
                  <w:marTop w:val="0"/>
                  <w:marBottom w:val="0"/>
                  <w:divBdr>
                    <w:top w:val="none" w:sz="0" w:space="0" w:color="auto"/>
                    <w:left w:val="none" w:sz="0" w:space="0" w:color="auto"/>
                    <w:bottom w:val="none" w:sz="0" w:space="0" w:color="auto"/>
                    <w:right w:val="none" w:sz="0" w:space="0" w:color="auto"/>
                  </w:divBdr>
                </w:div>
              </w:divsChild>
            </w:div>
            <w:div w:id="1308051589">
              <w:marLeft w:val="0"/>
              <w:marRight w:val="0"/>
              <w:marTop w:val="0"/>
              <w:marBottom w:val="0"/>
              <w:divBdr>
                <w:top w:val="none" w:sz="0" w:space="0" w:color="auto"/>
                <w:left w:val="none" w:sz="0" w:space="0" w:color="auto"/>
                <w:bottom w:val="none" w:sz="0" w:space="0" w:color="auto"/>
                <w:right w:val="none" w:sz="0" w:space="0" w:color="auto"/>
              </w:divBdr>
              <w:divsChild>
                <w:div w:id="1033731660">
                  <w:marLeft w:val="0"/>
                  <w:marRight w:val="0"/>
                  <w:marTop w:val="0"/>
                  <w:marBottom w:val="0"/>
                  <w:divBdr>
                    <w:top w:val="none" w:sz="0" w:space="0" w:color="auto"/>
                    <w:left w:val="none" w:sz="0" w:space="0" w:color="auto"/>
                    <w:bottom w:val="none" w:sz="0" w:space="0" w:color="auto"/>
                    <w:right w:val="none" w:sz="0" w:space="0" w:color="auto"/>
                  </w:divBdr>
                </w:div>
              </w:divsChild>
            </w:div>
            <w:div w:id="1597595124">
              <w:marLeft w:val="0"/>
              <w:marRight w:val="0"/>
              <w:marTop w:val="0"/>
              <w:marBottom w:val="0"/>
              <w:divBdr>
                <w:top w:val="none" w:sz="0" w:space="0" w:color="auto"/>
                <w:left w:val="none" w:sz="0" w:space="0" w:color="auto"/>
                <w:bottom w:val="none" w:sz="0" w:space="0" w:color="auto"/>
                <w:right w:val="none" w:sz="0" w:space="0" w:color="auto"/>
              </w:divBdr>
              <w:divsChild>
                <w:div w:id="892273123">
                  <w:marLeft w:val="0"/>
                  <w:marRight w:val="0"/>
                  <w:marTop w:val="0"/>
                  <w:marBottom w:val="0"/>
                  <w:divBdr>
                    <w:top w:val="none" w:sz="0" w:space="0" w:color="auto"/>
                    <w:left w:val="none" w:sz="0" w:space="0" w:color="auto"/>
                    <w:bottom w:val="none" w:sz="0" w:space="0" w:color="auto"/>
                    <w:right w:val="none" w:sz="0" w:space="0" w:color="auto"/>
                  </w:divBdr>
                </w:div>
              </w:divsChild>
            </w:div>
            <w:div w:id="662588595">
              <w:marLeft w:val="0"/>
              <w:marRight w:val="0"/>
              <w:marTop w:val="0"/>
              <w:marBottom w:val="0"/>
              <w:divBdr>
                <w:top w:val="none" w:sz="0" w:space="0" w:color="auto"/>
                <w:left w:val="none" w:sz="0" w:space="0" w:color="auto"/>
                <w:bottom w:val="none" w:sz="0" w:space="0" w:color="auto"/>
                <w:right w:val="none" w:sz="0" w:space="0" w:color="auto"/>
              </w:divBdr>
              <w:divsChild>
                <w:div w:id="24869581">
                  <w:marLeft w:val="0"/>
                  <w:marRight w:val="0"/>
                  <w:marTop w:val="0"/>
                  <w:marBottom w:val="0"/>
                  <w:divBdr>
                    <w:top w:val="none" w:sz="0" w:space="0" w:color="auto"/>
                    <w:left w:val="none" w:sz="0" w:space="0" w:color="auto"/>
                    <w:bottom w:val="none" w:sz="0" w:space="0" w:color="auto"/>
                    <w:right w:val="none" w:sz="0" w:space="0" w:color="auto"/>
                  </w:divBdr>
                </w:div>
              </w:divsChild>
            </w:div>
            <w:div w:id="1512335902">
              <w:marLeft w:val="0"/>
              <w:marRight w:val="0"/>
              <w:marTop w:val="0"/>
              <w:marBottom w:val="0"/>
              <w:divBdr>
                <w:top w:val="none" w:sz="0" w:space="0" w:color="auto"/>
                <w:left w:val="none" w:sz="0" w:space="0" w:color="auto"/>
                <w:bottom w:val="none" w:sz="0" w:space="0" w:color="auto"/>
                <w:right w:val="none" w:sz="0" w:space="0" w:color="auto"/>
              </w:divBdr>
              <w:divsChild>
                <w:div w:id="231888844">
                  <w:marLeft w:val="0"/>
                  <w:marRight w:val="0"/>
                  <w:marTop w:val="0"/>
                  <w:marBottom w:val="0"/>
                  <w:divBdr>
                    <w:top w:val="none" w:sz="0" w:space="0" w:color="auto"/>
                    <w:left w:val="none" w:sz="0" w:space="0" w:color="auto"/>
                    <w:bottom w:val="none" w:sz="0" w:space="0" w:color="auto"/>
                    <w:right w:val="none" w:sz="0" w:space="0" w:color="auto"/>
                  </w:divBdr>
                </w:div>
              </w:divsChild>
            </w:div>
            <w:div w:id="1954942146">
              <w:marLeft w:val="0"/>
              <w:marRight w:val="0"/>
              <w:marTop w:val="0"/>
              <w:marBottom w:val="0"/>
              <w:divBdr>
                <w:top w:val="none" w:sz="0" w:space="0" w:color="auto"/>
                <w:left w:val="none" w:sz="0" w:space="0" w:color="auto"/>
                <w:bottom w:val="none" w:sz="0" w:space="0" w:color="auto"/>
                <w:right w:val="none" w:sz="0" w:space="0" w:color="auto"/>
              </w:divBdr>
              <w:divsChild>
                <w:div w:id="444736651">
                  <w:marLeft w:val="0"/>
                  <w:marRight w:val="0"/>
                  <w:marTop w:val="0"/>
                  <w:marBottom w:val="0"/>
                  <w:divBdr>
                    <w:top w:val="none" w:sz="0" w:space="0" w:color="auto"/>
                    <w:left w:val="none" w:sz="0" w:space="0" w:color="auto"/>
                    <w:bottom w:val="none" w:sz="0" w:space="0" w:color="auto"/>
                    <w:right w:val="none" w:sz="0" w:space="0" w:color="auto"/>
                  </w:divBdr>
                </w:div>
              </w:divsChild>
            </w:div>
            <w:div w:id="1545871109">
              <w:marLeft w:val="0"/>
              <w:marRight w:val="0"/>
              <w:marTop w:val="0"/>
              <w:marBottom w:val="0"/>
              <w:divBdr>
                <w:top w:val="none" w:sz="0" w:space="0" w:color="auto"/>
                <w:left w:val="none" w:sz="0" w:space="0" w:color="auto"/>
                <w:bottom w:val="none" w:sz="0" w:space="0" w:color="auto"/>
                <w:right w:val="none" w:sz="0" w:space="0" w:color="auto"/>
              </w:divBdr>
              <w:divsChild>
                <w:div w:id="1889101276">
                  <w:marLeft w:val="0"/>
                  <w:marRight w:val="0"/>
                  <w:marTop w:val="0"/>
                  <w:marBottom w:val="0"/>
                  <w:divBdr>
                    <w:top w:val="none" w:sz="0" w:space="0" w:color="auto"/>
                    <w:left w:val="none" w:sz="0" w:space="0" w:color="auto"/>
                    <w:bottom w:val="none" w:sz="0" w:space="0" w:color="auto"/>
                    <w:right w:val="none" w:sz="0" w:space="0" w:color="auto"/>
                  </w:divBdr>
                </w:div>
              </w:divsChild>
            </w:div>
            <w:div w:id="1567302129">
              <w:marLeft w:val="0"/>
              <w:marRight w:val="0"/>
              <w:marTop w:val="0"/>
              <w:marBottom w:val="0"/>
              <w:divBdr>
                <w:top w:val="none" w:sz="0" w:space="0" w:color="auto"/>
                <w:left w:val="none" w:sz="0" w:space="0" w:color="auto"/>
                <w:bottom w:val="none" w:sz="0" w:space="0" w:color="auto"/>
                <w:right w:val="none" w:sz="0" w:space="0" w:color="auto"/>
              </w:divBdr>
              <w:divsChild>
                <w:div w:id="559168168">
                  <w:marLeft w:val="0"/>
                  <w:marRight w:val="0"/>
                  <w:marTop w:val="0"/>
                  <w:marBottom w:val="0"/>
                  <w:divBdr>
                    <w:top w:val="none" w:sz="0" w:space="0" w:color="auto"/>
                    <w:left w:val="none" w:sz="0" w:space="0" w:color="auto"/>
                    <w:bottom w:val="none" w:sz="0" w:space="0" w:color="auto"/>
                    <w:right w:val="none" w:sz="0" w:space="0" w:color="auto"/>
                  </w:divBdr>
                </w:div>
              </w:divsChild>
            </w:div>
            <w:div w:id="589970919">
              <w:marLeft w:val="0"/>
              <w:marRight w:val="0"/>
              <w:marTop w:val="0"/>
              <w:marBottom w:val="0"/>
              <w:divBdr>
                <w:top w:val="none" w:sz="0" w:space="0" w:color="auto"/>
                <w:left w:val="none" w:sz="0" w:space="0" w:color="auto"/>
                <w:bottom w:val="none" w:sz="0" w:space="0" w:color="auto"/>
                <w:right w:val="none" w:sz="0" w:space="0" w:color="auto"/>
              </w:divBdr>
              <w:divsChild>
                <w:div w:id="1045640230">
                  <w:marLeft w:val="0"/>
                  <w:marRight w:val="0"/>
                  <w:marTop w:val="0"/>
                  <w:marBottom w:val="0"/>
                  <w:divBdr>
                    <w:top w:val="none" w:sz="0" w:space="0" w:color="auto"/>
                    <w:left w:val="none" w:sz="0" w:space="0" w:color="auto"/>
                    <w:bottom w:val="none" w:sz="0" w:space="0" w:color="auto"/>
                    <w:right w:val="none" w:sz="0" w:space="0" w:color="auto"/>
                  </w:divBdr>
                </w:div>
              </w:divsChild>
            </w:div>
            <w:div w:id="1393231374">
              <w:marLeft w:val="0"/>
              <w:marRight w:val="0"/>
              <w:marTop w:val="0"/>
              <w:marBottom w:val="0"/>
              <w:divBdr>
                <w:top w:val="none" w:sz="0" w:space="0" w:color="auto"/>
                <w:left w:val="none" w:sz="0" w:space="0" w:color="auto"/>
                <w:bottom w:val="none" w:sz="0" w:space="0" w:color="auto"/>
                <w:right w:val="none" w:sz="0" w:space="0" w:color="auto"/>
              </w:divBdr>
              <w:divsChild>
                <w:div w:id="1810902532">
                  <w:marLeft w:val="0"/>
                  <w:marRight w:val="0"/>
                  <w:marTop w:val="0"/>
                  <w:marBottom w:val="0"/>
                  <w:divBdr>
                    <w:top w:val="none" w:sz="0" w:space="0" w:color="auto"/>
                    <w:left w:val="none" w:sz="0" w:space="0" w:color="auto"/>
                    <w:bottom w:val="none" w:sz="0" w:space="0" w:color="auto"/>
                    <w:right w:val="none" w:sz="0" w:space="0" w:color="auto"/>
                  </w:divBdr>
                </w:div>
              </w:divsChild>
            </w:div>
            <w:div w:id="1717974397">
              <w:marLeft w:val="0"/>
              <w:marRight w:val="0"/>
              <w:marTop w:val="0"/>
              <w:marBottom w:val="0"/>
              <w:divBdr>
                <w:top w:val="none" w:sz="0" w:space="0" w:color="auto"/>
                <w:left w:val="none" w:sz="0" w:space="0" w:color="auto"/>
                <w:bottom w:val="none" w:sz="0" w:space="0" w:color="auto"/>
                <w:right w:val="none" w:sz="0" w:space="0" w:color="auto"/>
              </w:divBdr>
              <w:divsChild>
                <w:div w:id="1383016427">
                  <w:marLeft w:val="0"/>
                  <w:marRight w:val="0"/>
                  <w:marTop w:val="0"/>
                  <w:marBottom w:val="0"/>
                  <w:divBdr>
                    <w:top w:val="none" w:sz="0" w:space="0" w:color="auto"/>
                    <w:left w:val="none" w:sz="0" w:space="0" w:color="auto"/>
                    <w:bottom w:val="none" w:sz="0" w:space="0" w:color="auto"/>
                    <w:right w:val="none" w:sz="0" w:space="0" w:color="auto"/>
                  </w:divBdr>
                </w:div>
              </w:divsChild>
            </w:div>
            <w:div w:id="1278752563">
              <w:marLeft w:val="0"/>
              <w:marRight w:val="0"/>
              <w:marTop w:val="0"/>
              <w:marBottom w:val="0"/>
              <w:divBdr>
                <w:top w:val="none" w:sz="0" w:space="0" w:color="auto"/>
                <w:left w:val="none" w:sz="0" w:space="0" w:color="auto"/>
                <w:bottom w:val="none" w:sz="0" w:space="0" w:color="auto"/>
                <w:right w:val="none" w:sz="0" w:space="0" w:color="auto"/>
              </w:divBdr>
              <w:divsChild>
                <w:div w:id="456417552">
                  <w:marLeft w:val="0"/>
                  <w:marRight w:val="0"/>
                  <w:marTop w:val="0"/>
                  <w:marBottom w:val="0"/>
                  <w:divBdr>
                    <w:top w:val="none" w:sz="0" w:space="0" w:color="auto"/>
                    <w:left w:val="none" w:sz="0" w:space="0" w:color="auto"/>
                    <w:bottom w:val="none" w:sz="0" w:space="0" w:color="auto"/>
                    <w:right w:val="none" w:sz="0" w:space="0" w:color="auto"/>
                  </w:divBdr>
                </w:div>
              </w:divsChild>
            </w:div>
            <w:div w:id="2112115947">
              <w:marLeft w:val="0"/>
              <w:marRight w:val="0"/>
              <w:marTop w:val="0"/>
              <w:marBottom w:val="0"/>
              <w:divBdr>
                <w:top w:val="none" w:sz="0" w:space="0" w:color="auto"/>
                <w:left w:val="none" w:sz="0" w:space="0" w:color="auto"/>
                <w:bottom w:val="none" w:sz="0" w:space="0" w:color="auto"/>
                <w:right w:val="none" w:sz="0" w:space="0" w:color="auto"/>
              </w:divBdr>
              <w:divsChild>
                <w:div w:id="1194537547">
                  <w:marLeft w:val="0"/>
                  <w:marRight w:val="0"/>
                  <w:marTop w:val="0"/>
                  <w:marBottom w:val="0"/>
                  <w:divBdr>
                    <w:top w:val="none" w:sz="0" w:space="0" w:color="auto"/>
                    <w:left w:val="none" w:sz="0" w:space="0" w:color="auto"/>
                    <w:bottom w:val="none" w:sz="0" w:space="0" w:color="auto"/>
                    <w:right w:val="none" w:sz="0" w:space="0" w:color="auto"/>
                  </w:divBdr>
                </w:div>
              </w:divsChild>
            </w:div>
            <w:div w:id="1075280183">
              <w:marLeft w:val="0"/>
              <w:marRight w:val="0"/>
              <w:marTop w:val="0"/>
              <w:marBottom w:val="0"/>
              <w:divBdr>
                <w:top w:val="none" w:sz="0" w:space="0" w:color="auto"/>
                <w:left w:val="none" w:sz="0" w:space="0" w:color="auto"/>
                <w:bottom w:val="none" w:sz="0" w:space="0" w:color="auto"/>
                <w:right w:val="none" w:sz="0" w:space="0" w:color="auto"/>
              </w:divBdr>
              <w:divsChild>
                <w:div w:id="1658459996">
                  <w:marLeft w:val="0"/>
                  <w:marRight w:val="0"/>
                  <w:marTop w:val="0"/>
                  <w:marBottom w:val="0"/>
                  <w:divBdr>
                    <w:top w:val="none" w:sz="0" w:space="0" w:color="auto"/>
                    <w:left w:val="none" w:sz="0" w:space="0" w:color="auto"/>
                    <w:bottom w:val="none" w:sz="0" w:space="0" w:color="auto"/>
                    <w:right w:val="none" w:sz="0" w:space="0" w:color="auto"/>
                  </w:divBdr>
                </w:div>
              </w:divsChild>
            </w:div>
            <w:div w:id="180780153">
              <w:marLeft w:val="0"/>
              <w:marRight w:val="0"/>
              <w:marTop w:val="0"/>
              <w:marBottom w:val="0"/>
              <w:divBdr>
                <w:top w:val="none" w:sz="0" w:space="0" w:color="auto"/>
                <w:left w:val="none" w:sz="0" w:space="0" w:color="auto"/>
                <w:bottom w:val="none" w:sz="0" w:space="0" w:color="auto"/>
                <w:right w:val="none" w:sz="0" w:space="0" w:color="auto"/>
              </w:divBdr>
              <w:divsChild>
                <w:div w:id="1749620591">
                  <w:marLeft w:val="0"/>
                  <w:marRight w:val="0"/>
                  <w:marTop w:val="0"/>
                  <w:marBottom w:val="0"/>
                  <w:divBdr>
                    <w:top w:val="none" w:sz="0" w:space="0" w:color="auto"/>
                    <w:left w:val="none" w:sz="0" w:space="0" w:color="auto"/>
                    <w:bottom w:val="none" w:sz="0" w:space="0" w:color="auto"/>
                    <w:right w:val="none" w:sz="0" w:space="0" w:color="auto"/>
                  </w:divBdr>
                </w:div>
              </w:divsChild>
            </w:div>
            <w:div w:id="1114131521">
              <w:marLeft w:val="0"/>
              <w:marRight w:val="0"/>
              <w:marTop w:val="0"/>
              <w:marBottom w:val="0"/>
              <w:divBdr>
                <w:top w:val="none" w:sz="0" w:space="0" w:color="auto"/>
                <w:left w:val="none" w:sz="0" w:space="0" w:color="auto"/>
                <w:bottom w:val="none" w:sz="0" w:space="0" w:color="auto"/>
                <w:right w:val="none" w:sz="0" w:space="0" w:color="auto"/>
              </w:divBdr>
              <w:divsChild>
                <w:div w:id="1402828269">
                  <w:marLeft w:val="0"/>
                  <w:marRight w:val="0"/>
                  <w:marTop w:val="0"/>
                  <w:marBottom w:val="0"/>
                  <w:divBdr>
                    <w:top w:val="none" w:sz="0" w:space="0" w:color="auto"/>
                    <w:left w:val="none" w:sz="0" w:space="0" w:color="auto"/>
                    <w:bottom w:val="none" w:sz="0" w:space="0" w:color="auto"/>
                    <w:right w:val="none" w:sz="0" w:space="0" w:color="auto"/>
                  </w:divBdr>
                </w:div>
              </w:divsChild>
            </w:div>
            <w:div w:id="605847385">
              <w:marLeft w:val="0"/>
              <w:marRight w:val="0"/>
              <w:marTop w:val="0"/>
              <w:marBottom w:val="0"/>
              <w:divBdr>
                <w:top w:val="none" w:sz="0" w:space="0" w:color="auto"/>
                <w:left w:val="none" w:sz="0" w:space="0" w:color="auto"/>
                <w:bottom w:val="none" w:sz="0" w:space="0" w:color="auto"/>
                <w:right w:val="none" w:sz="0" w:space="0" w:color="auto"/>
              </w:divBdr>
              <w:divsChild>
                <w:div w:id="2121875118">
                  <w:marLeft w:val="0"/>
                  <w:marRight w:val="0"/>
                  <w:marTop w:val="0"/>
                  <w:marBottom w:val="0"/>
                  <w:divBdr>
                    <w:top w:val="none" w:sz="0" w:space="0" w:color="auto"/>
                    <w:left w:val="none" w:sz="0" w:space="0" w:color="auto"/>
                    <w:bottom w:val="none" w:sz="0" w:space="0" w:color="auto"/>
                    <w:right w:val="none" w:sz="0" w:space="0" w:color="auto"/>
                  </w:divBdr>
                </w:div>
              </w:divsChild>
            </w:div>
            <w:div w:id="171576725">
              <w:marLeft w:val="0"/>
              <w:marRight w:val="0"/>
              <w:marTop w:val="0"/>
              <w:marBottom w:val="0"/>
              <w:divBdr>
                <w:top w:val="none" w:sz="0" w:space="0" w:color="auto"/>
                <w:left w:val="none" w:sz="0" w:space="0" w:color="auto"/>
                <w:bottom w:val="none" w:sz="0" w:space="0" w:color="auto"/>
                <w:right w:val="none" w:sz="0" w:space="0" w:color="auto"/>
              </w:divBdr>
              <w:divsChild>
                <w:div w:id="501118908">
                  <w:marLeft w:val="0"/>
                  <w:marRight w:val="0"/>
                  <w:marTop w:val="0"/>
                  <w:marBottom w:val="0"/>
                  <w:divBdr>
                    <w:top w:val="none" w:sz="0" w:space="0" w:color="auto"/>
                    <w:left w:val="none" w:sz="0" w:space="0" w:color="auto"/>
                    <w:bottom w:val="none" w:sz="0" w:space="0" w:color="auto"/>
                    <w:right w:val="none" w:sz="0" w:space="0" w:color="auto"/>
                  </w:divBdr>
                </w:div>
                <w:div w:id="358312377">
                  <w:marLeft w:val="0"/>
                  <w:marRight w:val="0"/>
                  <w:marTop w:val="0"/>
                  <w:marBottom w:val="0"/>
                  <w:divBdr>
                    <w:top w:val="none" w:sz="0" w:space="0" w:color="auto"/>
                    <w:left w:val="none" w:sz="0" w:space="0" w:color="auto"/>
                    <w:bottom w:val="none" w:sz="0" w:space="0" w:color="auto"/>
                    <w:right w:val="none" w:sz="0" w:space="0" w:color="auto"/>
                  </w:divBdr>
                </w:div>
              </w:divsChild>
            </w:div>
            <w:div w:id="1916619708">
              <w:marLeft w:val="0"/>
              <w:marRight w:val="0"/>
              <w:marTop w:val="0"/>
              <w:marBottom w:val="0"/>
              <w:divBdr>
                <w:top w:val="none" w:sz="0" w:space="0" w:color="auto"/>
                <w:left w:val="none" w:sz="0" w:space="0" w:color="auto"/>
                <w:bottom w:val="none" w:sz="0" w:space="0" w:color="auto"/>
                <w:right w:val="none" w:sz="0" w:space="0" w:color="auto"/>
              </w:divBdr>
              <w:divsChild>
                <w:div w:id="4159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6851">
      <w:bodyDiv w:val="1"/>
      <w:marLeft w:val="0"/>
      <w:marRight w:val="0"/>
      <w:marTop w:val="0"/>
      <w:marBottom w:val="0"/>
      <w:divBdr>
        <w:top w:val="none" w:sz="0" w:space="0" w:color="auto"/>
        <w:left w:val="none" w:sz="0" w:space="0" w:color="auto"/>
        <w:bottom w:val="none" w:sz="0" w:space="0" w:color="auto"/>
        <w:right w:val="none" w:sz="0" w:space="0" w:color="auto"/>
      </w:divBdr>
      <w:divsChild>
        <w:div w:id="1675036424">
          <w:marLeft w:val="0"/>
          <w:marRight w:val="0"/>
          <w:marTop w:val="0"/>
          <w:marBottom w:val="0"/>
          <w:divBdr>
            <w:top w:val="none" w:sz="0" w:space="0" w:color="auto"/>
            <w:left w:val="none" w:sz="0" w:space="0" w:color="auto"/>
            <w:bottom w:val="none" w:sz="0" w:space="0" w:color="auto"/>
            <w:right w:val="none" w:sz="0" w:space="0" w:color="auto"/>
          </w:divBdr>
          <w:divsChild>
            <w:div w:id="71198536">
              <w:marLeft w:val="0"/>
              <w:marRight w:val="0"/>
              <w:marTop w:val="0"/>
              <w:marBottom w:val="0"/>
              <w:divBdr>
                <w:top w:val="none" w:sz="0" w:space="0" w:color="auto"/>
                <w:left w:val="none" w:sz="0" w:space="0" w:color="auto"/>
                <w:bottom w:val="none" w:sz="0" w:space="0" w:color="auto"/>
                <w:right w:val="none" w:sz="0" w:space="0" w:color="auto"/>
              </w:divBdr>
              <w:divsChild>
                <w:div w:id="292441467">
                  <w:marLeft w:val="0"/>
                  <w:marRight w:val="0"/>
                  <w:marTop w:val="0"/>
                  <w:marBottom w:val="0"/>
                  <w:divBdr>
                    <w:top w:val="none" w:sz="0" w:space="0" w:color="auto"/>
                    <w:left w:val="none" w:sz="0" w:space="0" w:color="auto"/>
                    <w:bottom w:val="none" w:sz="0" w:space="0" w:color="auto"/>
                    <w:right w:val="none" w:sz="0" w:space="0" w:color="auto"/>
                  </w:divBdr>
                  <w:divsChild>
                    <w:div w:id="1987657661">
                      <w:marLeft w:val="0"/>
                      <w:marRight w:val="0"/>
                      <w:marTop w:val="0"/>
                      <w:marBottom w:val="0"/>
                      <w:divBdr>
                        <w:top w:val="none" w:sz="0" w:space="0" w:color="auto"/>
                        <w:left w:val="none" w:sz="0" w:space="0" w:color="auto"/>
                        <w:bottom w:val="none" w:sz="0" w:space="0" w:color="auto"/>
                        <w:right w:val="none" w:sz="0" w:space="0" w:color="auto"/>
                      </w:divBdr>
                    </w:div>
                    <w:div w:id="2120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2568">
      <w:bodyDiv w:val="1"/>
      <w:marLeft w:val="0"/>
      <w:marRight w:val="0"/>
      <w:marTop w:val="0"/>
      <w:marBottom w:val="0"/>
      <w:divBdr>
        <w:top w:val="none" w:sz="0" w:space="0" w:color="auto"/>
        <w:left w:val="none" w:sz="0" w:space="0" w:color="auto"/>
        <w:bottom w:val="none" w:sz="0" w:space="0" w:color="auto"/>
        <w:right w:val="none" w:sz="0" w:space="0" w:color="auto"/>
      </w:divBdr>
    </w:div>
    <w:div w:id="1318651374">
      <w:bodyDiv w:val="1"/>
      <w:marLeft w:val="0"/>
      <w:marRight w:val="0"/>
      <w:marTop w:val="0"/>
      <w:marBottom w:val="0"/>
      <w:divBdr>
        <w:top w:val="none" w:sz="0" w:space="0" w:color="auto"/>
        <w:left w:val="none" w:sz="0" w:space="0" w:color="auto"/>
        <w:bottom w:val="none" w:sz="0" w:space="0" w:color="auto"/>
        <w:right w:val="none" w:sz="0" w:space="0" w:color="auto"/>
      </w:divBdr>
      <w:divsChild>
        <w:div w:id="2067871039">
          <w:marLeft w:val="0"/>
          <w:marRight w:val="0"/>
          <w:marTop w:val="0"/>
          <w:marBottom w:val="0"/>
          <w:divBdr>
            <w:top w:val="none" w:sz="0" w:space="0" w:color="auto"/>
            <w:left w:val="none" w:sz="0" w:space="0" w:color="auto"/>
            <w:bottom w:val="none" w:sz="0" w:space="0" w:color="auto"/>
            <w:right w:val="none" w:sz="0" w:space="0" w:color="auto"/>
          </w:divBdr>
          <w:divsChild>
            <w:div w:id="2137984736">
              <w:marLeft w:val="0"/>
              <w:marRight w:val="0"/>
              <w:marTop w:val="0"/>
              <w:marBottom w:val="0"/>
              <w:divBdr>
                <w:top w:val="none" w:sz="0" w:space="0" w:color="auto"/>
                <w:left w:val="none" w:sz="0" w:space="0" w:color="auto"/>
                <w:bottom w:val="none" w:sz="0" w:space="0" w:color="auto"/>
                <w:right w:val="none" w:sz="0" w:space="0" w:color="auto"/>
              </w:divBdr>
              <w:divsChild>
                <w:div w:id="531500342">
                  <w:marLeft w:val="0"/>
                  <w:marRight w:val="0"/>
                  <w:marTop w:val="0"/>
                  <w:marBottom w:val="0"/>
                  <w:divBdr>
                    <w:top w:val="none" w:sz="0" w:space="0" w:color="auto"/>
                    <w:left w:val="none" w:sz="0" w:space="0" w:color="auto"/>
                    <w:bottom w:val="none" w:sz="0" w:space="0" w:color="auto"/>
                    <w:right w:val="none" w:sz="0" w:space="0" w:color="auto"/>
                  </w:divBdr>
                </w:div>
                <w:div w:id="1399092562">
                  <w:marLeft w:val="0"/>
                  <w:marRight w:val="0"/>
                  <w:marTop w:val="0"/>
                  <w:marBottom w:val="0"/>
                  <w:divBdr>
                    <w:top w:val="none" w:sz="0" w:space="0" w:color="auto"/>
                    <w:left w:val="none" w:sz="0" w:space="0" w:color="auto"/>
                    <w:bottom w:val="none" w:sz="0" w:space="0" w:color="auto"/>
                    <w:right w:val="none" w:sz="0" w:space="0" w:color="auto"/>
                  </w:divBdr>
                </w:div>
              </w:divsChild>
            </w:div>
            <w:div w:id="798963305">
              <w:marLeft w:val="0"/>
              <w:marRight w:val="0"/>
              <w:marTop w:val="0"/>
              <w:marBottom w:val="0"/>
              <w:divBdr>
                <w:top w:val="none" w:sz="0" w:space="0" w:color="auto"/>
                <w:left w:val="none" w:sz="0" w:space="0" w:color="auto"/>
                <w:bottom w:val="none" w:sz="0" w:space="0" w:color="auto"/>
                <w:right w:val="none" w:sz="0" w:space="0" w:color="auto"/>
              </w:divBdr>
              <w:divsChild>
                <w:div w:id="985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4971">
      <w:bodyDiv w:val="1"/>
      <w:marLeft w:val="0"/>
      <w:marRight w:val="0"/>
      <w:marTop w:val="0"/>
      <w:marBottom w:val="0"/>
      <w:divBdr>
        <w:top w:val="none" w:sz="0" w:space="0" w:color="auto"/>
        <w:left w:val="none" w:sz="0" w:space="0" w:color="auto"/>
        <w:bottom w:val="none" w:sz="0" w:space="0" w:color="auto"/>
        <w:right w:val="none" w:sz="0" w:space="0" w:color="auto"/>
      </w:divBdr>
    </w:div>
    <w:div w:id="1699240635">
      <w:bodyDiv w:val="1"/>
      <w:marLeft w:val="0"/>
      <w:marRight w:val="0"/>
      <w:marTop w:val="0"/>
      <w:marBottom w:val="0"/>
      <w:divBdr>
        <w:top w:val="none" w:sz="0" w:space="0" w:color="auto"/>
        <w:left w:val="none" w:sz="0" w:space="0" w:color="auto"/>
        <w:bottom w:val="none" w:sz="0" w:space="0" w:color="auto"/>
        <w:right w:val="none" w:sz="0" w:space="0" w:color="auto"/>
      </w:divBdr>
      <w:divsChild>
        <w:div w:id="1400980627">
          <w:marLeft w:val="0"/>
          <w:marRight w:val="0"/>
          <w:marTop w:val="0"/>
          <w:marBottom w:val="0"/>
          <w:divBdr>
            <w:top w:val="none" w:sz="0" w:space="0" w:color="auto"/>
            <w:left w:val="none" w:sz="0" w:space="0" w:color="auto"/>
            <w:bottom w:val="none" w:sz="0" w:space="0" w:color="auto"/>
            <w:right w:val="none" w:sz="0" w:space="0" w:color="auto"/>
          </w:divBdr>
          <w:divsChild>
            <w:div w:id="2054649684">
              <w:marLeft w:val="0"/>
              <w:marRight w:val="0"/>
              <w:marTop w:val="0"/>
              <w:marBottom w:val="0"/>
              <w:divBdr>
                <w:top w:val="none" w:sz="0" w:space="0" w:color="auto"/>
                <w:left w:val="none" w:sz="0" w:space="0" w:color="auto"/>
                <w:bottom w:val="none" w:sz="0" w:space="0" w:color="auto"/>
                <w:right w:val="none" w:sz="0" w:space="0" w:color="auto"/>
              </w:divBdr>
              <w:divsChild>
                <w:div w:id="1718238979">
                  <w:marLeft w:val="0"/>
                  <w:marRight w:val="0"/>
                  <w:marTop w:val="0"/>
                  <w:marBottom w:val="0"/>
                  <w:divBdr>
                    <w:top w:val="none" w:sz="0" w:space="0" w:color="auto"/>
                    <w:left w:val="none" w:sz="0" w:space="0" w:color="auto"/>
                    <w:bottom w:val="none" w:sz="0" w:space="0" w:color="auto"/>
                    <w:right w:val="none" w:sz="0" w:space="0" w:color="auto"/>
                  </w:divBdr>
                </w:div>
              </w:divsChild>
            </w:div>
            <w:div w:id="1474831388">
              <w:marLeft w:val="0"/>
              <w:marRight w:val="0"/>
              <w:marTop w:val="0"/>
              <w:marBottom w:val="0"/>
              <w:divBdr>
                <w:top w:val="none" w:sz="0" w:space="0" w:color="auto"/>
                <w:left w:val="none" w:sz="0" w:space="0" w:color="auto"/>
                <w:bottom w:val="none" w:sz="0" w:space="0" w:color="auto"/>
                <w:right w:val="none" w:sz="0" w:space="0" w:color="auto"/>
              </w:divBdr>
              <w:divsChild>
                <w:div w:id="253366762">
                  <w:marLeft w:val="0"/>
                  <w:marRight w:val="0"/>
                  <w:marTop w:val="0"/>
                  <w:marBottom w:val="0"/>
                  <w:divBdr>
                    <w:top w:val="none" w:sz="0" w:space="0" w:color="auto"/>
                    <w:left w:val="none" w:sz="0" w:space="0" w:color="auto"/>
                    <w:bottom w:val="none" w:sz="0" w:space="0" w:color="auto"/>
                    <w:right w:val="none" w:sz="0" w:space="0" w:color="auto"/>
                  </w:divBdr>
                </w:div>
              </w:divsChild>
            </w:div>
            <w:div w:id="1499223899">
              <w:marLeft w:val="0"/>
              <w:marRight w:val="0"/>
              <w:marTop w:val="0"/>
              <w:marBottom w:val="0"/>
              <w:divBdr>
                <w:top w:val="none" w:sz="0" w:space="0" w:color="auto"/>
                <w:left w:val="none" w:sz="0" w:space="0" w:color="auto"/>
                <w:bottom w:val="none" w:sz="0" w:space="0" w:color="auto"/>
                <w:right w:val="none" w:sz="0" w:space="0" w:color="auto"/>
              </w:divBdr>
              <w:divsChild>
                <w:div w:id="1928689994">
                  <w:marLeft w:val="0"/>
                  <w:marRight w:val="0"/>
                  <w:marTop w:val="0"/>
                  <w:marBottom w:val="0"/>
                  <w:divBdr>
                    <w:top w:val="none" w:sz="0" w:space="0" w:color="auto"/>
                    <w:left w:val="none" w:sz="0" w:space="0" w:color="auto"/>
                    <w:bottom w:val="none" w:sz="0" w:space="0" w:color="auto"/>
                    <w:right w:val="none" w:sz="0" w:space="0" w:color="auto"/>
                  </w:divBdr>
                  <w:divsChild>
                    <w:div w:id="1833331712">
                      <w:marLeft w:val="0"/>
                      <w:marRight w:val="0"/>
                      <w:marTop w:val="0"/>
                      <w:marBottom w:val="0"/>
                      <w:divBdr>
                        <w:top w:val="none" w:sz="0" w:space="0" w:color="auto"/>
                        <w:left w:val="none" w:sz="0" w:space="0" w:color="auto"/>
                        <w:bottom w:val="none" w:sz="0" w:space="0" w:color="auto"/>
                        <w:right w:val="none" w:sz="0" w:space="0" w:color="auto"/>
                      </w:divBdr>
                      <w:divsChild>
                        <w:div w:id="18092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7222">
                  <w:marLeft w:val="0"/>
                  <w:marRight w:val="0"/>
                  <w:marTop w:val="0"/>
                  <w:marBottom w:val="0"/>
                  <w:divBdr>
                    <w:top w:val="none" w:sz="0" w:space="0" w:color="auto"/>
                    <w:left w:val="none" w:sz="0" w:space="0" w:color="auto"/>
                    <w:bottom w:val="none" w:sz="0" w:space="0" w:color="auto"/>
                    <w:right w:val="none" w:sz="0" w:space="0" w:color="auto"/>
                  </w:divBdr>
                  <w:divsChild>
                    <w:div w:id="745495433">
                      <w:marLeft w:val="0"/>
                      <w:marRight w:val="0"/>
                      <w:marTop w:val="0"/>
                      <w:marBottom w:val="0"/>
                      <w:divBdr>
                        <w:top w:val="none" w:sz="0" w:space="0" w:color="auto"/>
                        <w:left w:val="none" w:sz="0" w:space="0" w:color="auto"/>
                        <w:bottom w:val="none" w:sz="0" w:space="0" w:color="auto"/>
                        <w:right w:val="none" w:sz="0" w:space="0" w:color="auto"/>
                      </w:divBdr>
                      <w:divsChild>
                        <w:div w:id="11985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0142">
                  <w:marLeft w:val="0"/>
                  <w:marRight w:val="0"/>
                  <w:marTop w:val="0"/>
                  <w:marBottom w:val="0"/>
                  <w:divBdr>
                    <w:top w:val="none" w:sz="0" w:space="0" w:color="auto"/>
                    <w:left w:val="none" w:sz="0" w:space="0" w:color="auto"/>
                    <w:bottom w:val="none" w:sz="0" w:space="0" w:color="auto"/>
                    <w:right w:val="none" w:sz="0" w:space="0" w:color="auto"/>
                  </w:divBdr>
                  <w:divsChild>
                    <w:div w:id="2059935379">
                      <w:marLeft w:val="0"/>
                      <w:marRight w:val="0"/>
                      <w:marTop w:val="0"/>
                      <w:marBottom w:val="0"/>
                      <w:divBdr>
                        <w:top w:val="none" w:sz="0" w:space="0" w:color="auto"/>
                        <w:left w:val="none" w:sz="0" w:space="0" w:color="auto"/>
                        <w:bottom w:val="none" w:sz="0" w:space="0" w:color="auto"/>
                        <w:right w:val="none" w:sz="0" w:space="0" w:color="auto"/>
                      </w:divBdr>
                      <w:divsChild>
                        <w:div w:id="741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0513">
                  <w:marLeft w:val="0"/>
                  <w:marRight w:val="0"/>
                  <w:marTop w:val="0"/>
                  <w:marBottom w:val="0"/>
                  <w:divBdr>
                    <w:top w:val="none" w:sz="0" w:space="0" w:color="auto"/>
                    <w:left w:val="none" w:sz="0" w:space="0" w:color="auto"/>
                    <w:bottom w:val="none" w:sz="0" w:space="0" w:color="auto"/>
                    <w:right w:val="none" w:sz="0" w:space="0" w:color="auto"/>
                  </w:divBdr>
                  <w:divsChild>
                    <w:div w:id="454376607">
                      <w:marLeft w:val="0"/>
                      <w:marRight w:val="0"/>
                      <w:marTop w:val="0"/>
                      <w:marBottom w:val="0"/>
                      <w:divBdr>
                        <w:top w:val="none" w:sz="0" w:space="0" w:color="auto"/>
                        <w:left w:val="none" w:sz="0" w:space="0" w:color="auto"/>
                        <w:bottom w:val="none" w:sz="0" w:space="0" w:color="auto"/>
                        <w:right w:val="none" w:sz="0" w:space="0" w:color="auto"/>
                      </w:divBdr>
                      <w:divsChild>
                        <w:div w:id="169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0598">
                  <w:marLeft w:val="0"/>
                  <w:marRight w:val="0"/>
                  <w:marTop w:val="0"/>
                  <w:marBottom w:val="0"/>
                  <w:divBdr>
                    <w:top w:val="none" w:sz="0" w:space="0" w:color="auto"/>
                    <w:left w:val="none" w:sz="0" w:space="0" w:color="auto"/>
                    <w:bottom w:val="none" w:sz="0" w:space="0" w:color="auto"/>
                    <w:right w:val="none" w:sz="0" w:space="0" w:color="auto"/>
                  </w:divBdr>
                  <w:divsChild>
                    <w:div w:id="506208980">
                      <w:marLeft w:val="0"/>
                      <w:marRight w:val="0"/>
                      <w:marTop w:val="0"/>
                      <w:marBottom w:val="0"/>
                      <w:divBdr>
                        <w:top w:val="none" w:sz="0" w:space="0" w:color="auto"/>
                        <w:left w:val="none" w:sz="0" w:space="0" w:color="auto"/>
                        <w:bottom w:val="none" w:sz="0" w:space="0" w:color="auto"/>
                        <w:right w:val="none" w:sz="0" w:space="0" w:color="auto"/>
                      </w:divBdr>
                      <w:divsChild>
                        <w:div w:id="14549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4188">
                  <w:marLeft w:val="0"/>
                  <w:marRight w:val="0"/>
                  <w:marTop w:val="0"/>
                  <w:marBottom w:val="0"/>
                  <w:divBdr>
                    <w:top w:val="none" w:sz="0" w:space="0" w:color="auto"/>
                    <w:left w:val="none" w:sz="0" w:space="0" w:color="auto"/>
                    <w:bottom w:val="none" w:sz="0" w:space="0" w:color="auto"/>
                    <w:right w:val="none" w:sz="0" w:space="0" w:color="auto"/>
                  </w:divBdr>
                  <w:divsChild>
                    <w:div w:id="666128493">
                      <w:marLeft w:val="0"/>
                      <w:marRight w:val="0"/>
                      <w:marTop w:val="0"/>
                      <w:marBottom w:val="0"/>
                      <w:divBdr>
                        <w:top w:val="none" w:sz="0" w:space="0" w:color="auto"/>
                        <w:left w:val="none" w:sz="0" w:space="0" w:color="auto"/>
                        <w:bottom w:val="none" w:sz="0" w:space="0" w:color="auto"/>
                        <w:right w:val="none" w:sz="0" w:space="0" w:color="auto"/>
                      </w:divBdr>
                      <w:divsChild>
                        <w:div w:id="6268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1772">
                  <w:marLeft w:val="0"/>
                  <w:marRight w:val="0"/>
                  <w:marTop w:val="0"/>
                  <w:marBottom w:val="0"/>
                  <w:divBdr>
                    <w:top w:val="none" w:sz="0" w:space="0" w:color="auto"/>
                    <w:left w:val="none" w:sz="0" w:space="0" w:color="auto"/>
                    <w:bottom w:val="none" w:sz="0" w:space="0" w:color="auto"/>
                    <w:right w:val="none" w:sz="0" w:space="0" w:color="auto"/>
                  </w:divBdr>
                  <w:divsChild>
                    <w:div w:id="190343898">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2323">
              <w:marLeft w:val="0"/>
              <w:marRight w:val="0"/>
              <w:marTop w:val="0"/>
              <w:marBottom w:val="0"/>
              <w:divBdr>
                <w:top w:val="none" w:sz="0" w:space="0" w:color="auto"/>
                <w:left w:val="none" w:sz="0" w:space="0" w:color="auto"/>
                <w:bottom w:val="none" w:sz="0" w:space="0" w:color="auto"/>
                <w:right w:val="none" w:sz="0" w:space="0" w:color="auto"/>
              </w:divBdr>
              <w:divsChild>
                <w:div w:id="1504708730">
                  <w:marLeft w:val="0"/>
                  <w:marRight w:val="0"/>
                  <w:marTop w:val="0"/>
                  <w:marBottom w:val="0"/>
                  <w:divBdr>
                    <w:top w:val="none" w:sz="0" w:space="0" w:color="auto"/>
                    <w:left w:val="none" w:sz="0" w:space="0" w:color="auto"/>
                    <w:bottom w:val="none" w:sz="0" w:space="0" w:color="auto"/>
                    <w:right w:val="none" w:sz="0" w:space="0" w:color="auto"/>
                  </w:divBdr>
                </w:div>
              </w:divsChild>
            </w:div>
            <w:div w:id="315230681">
              <w:marLeft w:val="0"/>
              <w:marRight w:val="0"/>
              <w:marTop w:val="0"/>
              <w:marBottom w:val="0"/>
              <w:divBdr>
                <w:top w:val="none" w:sz="0" w:space="0" w:color="auto"/>
                <w:left w:val="none" w:sz="0" w:space="0" w:color="auto"/>
                <w:bottom w:val="none" w:sz="0" w:space="0" w:color="auto"/>
                <w:right w:val="none" w:sz="0" w:space="0" w:color="auto"/>
              </w:divBdr>
              <w:divsChild>
                <w:div w:id="352389521">
                  <w:marLeft w:val="0"/>
                  <w:marRight w:val="0"/>
                  <w:marTop w:val="0"/>
                  <w:marBottom w:val="0"/>
                  <w:divBdr>
                    <w:top w:val="none" w:sz="0" w:space="0" w:color="auto"/>
                    <w:left w:val="none" w:sz="0" w:space="0" w:color="auto"/>
                    <w:bottom w:val="none" w:sz="0" w:space="0" w:color="auto"/>
                    <w:right w:val="none" w:sz="0" w:space="0" w:color="auto"/>
                  </w:divBdr>
                  <w:divsChild>
                    <w:div w:id="723798321">
                      <w:marLeft w:val="0"/>
                      <w:marRight w:val="0"/>
                      <w:marTop w:val="0"/>
                      <w:marBottom w:val="0"/>
                      <w:divBdr>
                        <w:top w:val="none" w:sz="0" w:space="0" w:color="auto"/>
                        <w:left w:val="none" w:sz="0" w:space="0" w:color="auto"/>
                        <w:bottom w:val="none" w:sz="0" w:space="0" w:color="auto"/>
                        <w:right w:val="none" w:sz="0" w:space="0" w:color="auto"/>
                      </w:divBdr>
                    </w:div>
                    <w:div w:id="2072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7707">
      <w:bodyDiv w:val="1"/>
      <w:marLeft w:val="0"/>
      <w:marRight w:val="0"/>
      <w:marTop w:val="0"/>
      <w:marBottom w:val="0"/>
      <w:divBdr>
        <w:top w:val="none" w:sz="0" w:space="0" w:color="auto"/>
        <w:left w:val="none" w:sz="0" w:space="0" w:color="auto"/>
        <w:bottom w:val="none" w:sz="0" w:space="0" w:color="auto"/>
        <w:right w:val="none" w:sz="0" w:space="0" w:color="auto"/>
      </w:divBdr>
    </w:div>
    <w:div w:id="1897276770">
      <w:bodyDiv w:val="1"/>
      <w:marLeft w:val="0"/>
      <w:marRight w:val="0"/>
      <w:marTop w:val="0"/>
      <w:marBottom w:val="0"/>
      <w:divBdr>
        <w:top w:val="none" w:sz="0" w:space="0" w:color="auto"/>
        <w:left w:val="none" w:sz="0" w:space="0" w:color="auto"/>
        <w:bottom w:val="none" w:sz="0" w:space="0" w:color="auto"/>
        <w:right w:val="none" w:sz="0" w:space="0" w:color="auto"/>
      </w:divBdr>
    </w:div>
    <w:div w:id="2018576336">
      <w:bodyDiv w:val="1"/>
      <w:marLeft w:val="0"/>
      <w:marRight w:val="0"/>
      <w:marTop w:val="0"/>
      <w:marBottom w:val="0"/>
      <w:divBdr>
        <w:top w:val="none" w:sz="0" w:space="0" w:color="auto"/>
        <w:left w:val="none" w:sz="0" w:space="0" w:color="auto"/>
        <w:bottom w:val="none" w:sz="0" w:space="0" w:color="auto"/>
        <w:right w:val="none" w:sz="0" w:space="0" w:color="auto"/>
      </w:divBdr>
      <w:divsChild>
        <w:div w:id="1944411449">
          <w:marLeft w:val="0"/>
          <w:marRight w:val="0"/>
          <w:marTop w:val="0"/>
          <w:marBottom w:val="0"/>
          <w:divBdr>
            <w:top w:val="none" w:sz="0" w:space="0" w:color="auto"/>
            <w:left w:val="none" w:sz="0" w:space="0" w:color="auto"/>
            <w:bottom w:val="none" w:sz="0" w:space="0" w:color="auto"/>
            <w:right w:val="none" w:sz="0" w:space="0" w:color="auto"/>
          </w:divBdr>
          <w:divsChild>
            <w:div w:id="1513908898">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health/smart-food-choices-healthy-ag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oosemyplate.gov/older-adult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lpguide.org/articles/depression/depression-in-older-adult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oa.org/healthy-aging/falls-prevention/falls-prevention-programs-for-older-adults-2/" TargetMode="External"/><Relationship Id="rId4" Type="http://schemas.openxmlformats.org/officeDocument/2006/relationships/webSettings" Target="webSettings.xml"/><Relationship Id="rId9" Type="http://schemas.openxmlformats.org/officeDocument/2006/relationships/hyperlink" Target="https://boomerbenefits.com/silver-sneakers-medic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34855</Words>
  <Characters>198678</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Katie Corderman</dc:creator>
  <cp:keywords/>
  <dc:description/>
  <cp:lastModifiedBy>Fabian, Katie Corderman</cp:lastModifiedBy>
  <cp:revision>2</cp:revision>
  <dcterms:created xsi:type="dcterms:W3CDTF">2020-05-13T15:44:00Z</dcterms:created>
  <dcterms:modified xsi:type="dcterms:W3CDTF">2020-05-13T15:44:00Z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