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54B782" w14:textId="08A3F33A" w:rsidR="00A04D71" w:rsidRPr="00D95401" w:rsidRDefault="0097493D" w:rsidP="00D95401">
      <w:pPr>
        <w:pStyle w:val="Heading1"/>
      </w:pPr>
      <w:bookmarkStart w:id="0" w:name="_GoBack"/>
      <w:bookmarkEnd w:id="0"/>
      <w:r w:rsidRPr="00D95401">
        <w:t>Background</w:t>
      </w:r>
    </w:p>
    <w:p w14:paraId="0E8F8A65" w14:textId="5A78DC3C" w:rsidR="0097493D" w:rsidRPr="002B3A17" w:rsidRDefault="0097493D" w:rsidP="0097493D">
      <w:pPr>
        <w:spacing w:line="480" w:lineRule="auto"/>
        <w:ind w:firstLine="720"/>
        <w:rPr>
          <w:rFonts w:ascii="Arial" w:eastAsia="Times New Roman" w:hAnsi="Arial" w:cs="Arial"/>
          <w:color w:val="000000" w:themeColor="text1"/>
        </w:rPr>
      </w:pPr>
      <w:r w:rsidRPr="002B3A17">
        <w:rPr>
          <w:rFonts w:ascii="Arial" w:eastAsia="Times New Roman" w:hAnsi="Arial" w:cs="Arial"/>
          <w:color w:val="000000" w:themeColor="text1"/>
        </w:rPr>
        <w:t>Due to the growing burden of chronic cardiovascular conditions and increasing prevalence in specifically rural populations, it is important to design and implement community programs that address risk factors of more serious chronic complications to change these trends.</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F1000_CSL_CITATION&lt;~#@#~&gt;[{"DOI":"10.1111/jrh.12354","First":false,"Last":false,"PMID":"30802321","abstract":"&lt;strong&gt;PURPOSE:&lt;/strong&gt; This brief report examines place-based differences in diabetes mortality in order to understand whether disparities in diabetes mortality have changed across United States Census regions and levels of rurality over time.&lt;br&gt;&lt;br&gt;&lt;strong&gt;METHODS:&lt;/strong&gt; We use data from the National Center for Health Statistics from 1999 to 2016 to analyze changes in diabetes mortality over time and across geographical regions of the United States.&lt;br&gt;&lt;br&gt;&lt;strong&gt;FINDINGS:&lt;/strong&gt; We find evidence that diabetes mortality has declined in the United States over the past 2 decades, but that improvements in mortality vary considerably by place. Improvements are observed in urban America and in the Northeast and Midwest while diabetes mortality has remained largely unchanged in rural areas, particularly in the rural South.&lt;br&gt;&lt;br&gt;&lt;strong&gt;CONCLUSIONS:&lt;/strong&gt; Diabetes is one of the leading causes of death in the United States, but important differences have emerged in the burden of this disease. Reductions in diabetes mortality are lagging in rural areas, and the rural South in particular, relative to other areas of the country. Continued innovations in care and targeted interventions in rural areas are warranted.&lt;br&gt;&lt;br&gt;© 2019 National Rural Health Association.","author":[{"family":"Callaghan","given":"Timothy"},{"family":"Ferdinand","given":"Alva O"},{"family":"Akinlotan","given":"Marvellous A"},{"family":"Towne","given":"Samuel D"},{"family":"Bolin","given":"Jane"}],"authorYearDisplayFormat":false,"citation-label":"7662160","container-title":"The Journal of Rural Health","container-title-short":"J. Rural Health","id":"7662160","invisible":false,"issued":{"date-parts":[["2019","2","25"]]},"journalAbbreviation":"J. Rural Health","suppress-author":false,"title":"The Changing Landscape of Diabetes Mortality in the United States Across Region and Rurality, 1999-2016.","type":"article-journal"},{"DOI":"10.1177/003335491412900105","First":false,"Last":false,"PMCID":"PMC3863000","PMID":"24381356","abstract":"&lt;strong&gt;OBJECTIVE:&lt;/strong&gt; Coronary heart disease (CHD) mortality has declined in the past few decades; however, it is unclear whether the reduction in CHD deaths has been similar across urbanization levels and in specific racial groups. We describe the pattern and magnitude of urban-rural variations in CHD mortality in the U.S.&lt;br&gt;&lt;br&gt;&lt;strong&gt;METHODS:&lt;/strong&gt; Using data from the National Center for Health Statistics, we examined trends in death rates from CHD from 1999 to 2009 among people aged 35-84 years, in each geographic region (Northeast, Midwest, West, and South) and in specific racial-urbanization groups, including black and white people in large and medium metropolitan (urban) areas and in non-metropolitan (rural) areas. We also examined deaths from early-onset CHD in females aged &lt; 65 years and males aged &lt; 55 years.&lt;br&gt;&lt;br&gt;&lt;strong&gt;RESULTS:&lt;/strong&gt; From 1999 to 2009, there was a 40% decline in age-adjusted CHD mortality. The trend was similar in black and white people but was more pronounced in urban than in rural areas, resulting in a crossover in 2007, when rural areas began showing a higher CHD mortality than urban areas. White people in large metropolitan areas had the largest decline (43%). Throughout the study period, CHD mortality remained higher in black people than in white people, and, in the South, it remained higher in rural than in urban areas. For early-onset CHD, the mortality decline was more modest (30%), but overall trends by urbanization and region were similar.&lt;br&gt;&lt;br&gt;&lt;strong&gt;CONCLUSION:&lt;/strong&gt; Favorable national trends in CHD mortality conceal persisting disparities for some regions and population subgroups (e.g., rural areas and black people).","author":[{"family":"Kulshreshtha","given":"Ambar"},{"family":"Goyal","given":"Abhinav"},{"family":"Dabhadkar","given":"Kaustubh"},{"family":"Veledar","given":"Emir"},{"family":"Vaccarino","given":"Viola"}],"authorYearDisplayFormat":false,"citation-label":"7662171","container-title":"Public health reports (Washington, D.C. : 1974)","container-title-short":"Public Health Rep.","id":"7662171","invisible":false,"issue":"1","issued":{"date-parts":[["2014","2"]]},"journalAbbreviation":"Public Health Rep.","page":"19-29","suppress-author":false,"title":"Urban-rural differences in coronary heart disease mortality in the United States: 1999-2009.","type":"article-journal","volume":"129"},{"First":false,"Last":false,"URL":"https://www.cdc.gov/media/releases/2018/s0614-obesity-rates.html","accessed":{"date-parts":[["2019","10","26"]]},"authorYearDisplayFormat":false,"citation-label":"7662243","container-title":"Centers for Disease Control and Prevention","id":"7662243","invisible":false,"issued":{"date-parts":[["2018","6"]]},"suppress-author":false,"title":"CDC: More obesity in U.S. rural counties than in urban counties","type":"webpage"}]</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1–3</w:t>
      </w:r>
      <w:r w:rsidRPr="002B3A17">
        <w:rPr>
          <w:rFonts w:ascii="Arial" w:eastAsia="Times New Roman" w:hAnsi="Arial" w:cs="Arial"/>
          <w:color w:val="000000" w:themeColor="text1"/>
        </w:rPr>
        <w:fldChar w:fldCharType="end"/>
      </w:r>
      <w:r w:rsidRPr="002B3A17">
        <w:rPr>
          <w:rFonts w:ascii="Arial" w:eastAsia="Times New Roman" w:hAnsi="Arial" w:cs="Arial"/>
          <w:color w:val="000000" w:themeColor="text1"/>
        </w:rPr>
        <w:t xml:space="preserve"> One condition in particular, high blood pressure or hypertension (HTN), is a growing issue in the United States, as data from the center for disease control (CDC) indicates that not only has the prevalence been increasing consistently each year, but reports prevalence in adults to range from 40.5-60.5% and prevalence in rural adults to be as high as 47%.</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First":false,"Last":false,"URL":"https://www.americashealthrankings.org/explore/annual/measure/Hypertension/state/ALL","accessed":{"date-parts":[["2019","11","15"]]},"authorYearDisplayFormat":false,"citation-label":"7773995","id":"7773995","invisible":false,"issued":{"date-parts":[[]]},"suppress-author":false,"title":"Explore High Blood Pressure in the United States | 2018 Annual Report | AHR","type":"webpage"}]</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4</w:t>
      </w:r>
      <w:r w:rsidRPr="002B3A17">
        <w:rPr>
          <w:rFonts w:ascii="Arial" w:eastAsia="Times New Roman" w:hAnsi="Arial" w:cs="Arial"/>
          <w:color w:val="000000" w:themeColor="text1"/>
        </w:rPr>
        <w:fldChar w:fldCharType="end"/>
      </w:r>
      <w:r w:rsidRPr="002B3A17">
        <w:rPr>
          <w:rFonts w:ascii="Arial" w:eastAsia="Times New Roman" w:hAnsi="Arial" w:cs="Arial"/>
          <w:color w:val="000000" w:themeColor="text1"/>
        </w:rPr>
        <w:t xml:space="preserve"> Furthermore, in common cardiovascular conditions that result in adverse health outcomes such as stroke, heart failure (HF), and coronary heart disease (CHD), HTN has been shown to increase risk by up to 3.8x, 4.0x, and 2.2x respectively.</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F1000_CSL_CITATION&lt;~#@#~&gt;[{"First":false,"Last":false,"PMID":"8622248","abstract":"&lt;strong&gt;OBJECTIVE:&lt;/strong&gt; - To examine the prevalence, incidence, predisposing factors for hypertension, its hazards as an ingredient of the cardiovascular risk profile, and the implications of this information for prevention and treatment.&lt;br&gt;&lt;br&gt;&lt;strong&gt;METHODS:&lt;/strong&gt; - Prospective longitudinal analysis of 36-year follow-up data from the Framingham Study of the relation of antecedent blood pressure to occurrence of subsequent cardiovascular morbidity and mortality depending on the metabolically linked burden of associated risk factors.&lt;br&gt;&lt;br&gt;&lt;strong&gt;RESULTS:&lt;/strong&gt; - Hypertension is one of the most prevalent and powerful contributors to cardiovascular diseases, the leading cause of death in the United States. There is, on average, a 20 mm Hg systolic and 10 mm Hg diastolic increment increase in blood pressure from age 30 to 65 years. Isolated systolic hypertension is the dominant variety. There is no evidence of a decline in the prevalence of hypertension over 4 decades despite improvements in its detection and treatment. Hypertension contributes to all of the major atherosclerotic cardiovascular disease outcomes increasing risk, on average, 2- to 3-fold. Coronary disease, the most lethal and common sequela, deserves highest priority. Hypertension clusters with dyslipidemia, insulin resistance, glucose intolerance, and obesity, occurring in isolation in less than 20%. The hazard depends on the number of these associated metabolically linked risk factors present. Coexistent overt cardiovascular disease also influences the hazard and choice of therapy.&lt;br&gt;&lt;br&gt;&lt;strong&gt;CONCLUSION:&lt;/strong&gt; - The absence of a decline in the prevalence of hypertension indicates an urgent need for primary prevention by weight control, exercise, and reduced salt and alcohol intake. The urgency and choice of therapy of existing hypertension should be based on the multivariate cardiovascular risk profile that more appropriately targets hypertensive persons for treatment and prevention of cardiovascular sequelae.","author":[{"family":"Kannel","given":"W B"}],"authorYearDisplayFormat":false,"citation-label":"7774128","container-title":"The Journal of the American Medical Association","container-title-short":"JAMA","id":"7774128","invisible":false,"issue":"20","issued":{"date-parts":[["1996","5","29"]]},"journalAbbreviation":"JAMA","page":"1571-1576","suppress-author":false,"title":"Blood pressure as a cardiovascular risk factor: prevention and treatment.","type":"article-journal","volume":"275"}]</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5</w:t>
      </w:r>
      <w:r w:rsidRPr="002B3A17">
        <w:rPr>
          <w:rFonts w:ascii="Arial" w:eastAsia="Times New Roman" w:hAnsi="Arial" w:cs="Arial"/>
          <w:color w:val="000000" w:themeColor="text1"/>
        </w:rPr>
        <w:fldChar w:fldCharType="end"/>
      </w:r>
      <w:r w:rsidRPr="002B3A17">
        <w:rPr>
          <w:rFonts w:ascii="Arial" w:eastAsia="Times New Roman" w:hAnsi="Arial" w:cs="Arial"/>
          <w:color w:val="000000" w:themeColor="text1"/>
        </w:rPr>
        <w:t xml:space="preserve"> HTN has also been shown to commonly occur in conjunction with other comorbidities which often significantly increases the risk of these health outcomes by up to 4 times.</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F1000_CSL_CITATION&lt;~#@#~&gt;[{"DOI":"10.1016/S0895-7061(99)00252-6","First":false,"Last":false,"author":[{"family":"Kannel","given":"W"}],"authorYearDisplayFormat":false,"citation-label":"7774133","container-title":"American Journal of Hypertension","container-title-short":"Am. J. Hypertens.","id":"7774133","invisible":false,"issue":"1","issued":{"date-parts":[["2000","1"]]},"journalAbbreviation":"Am. J. Hypertens.","page":"S3-S10","suppress-author":false,"title":"Risk stratification in hypertension: new insights from the Framingham study*1","type":"article-journal","volume":"13"},{"DOI":"10.1097/XCE.0000000000000114","First":false,"Last":false,"PMCID":"PMC6768529","PMID":"31646117","abstract":"Hypertension (HTN) is an important risk factor for cardiovascular disease and its many manifestations. It shares pathogenic pathways with diabetes and is part of a common metabolic entity, the metabolic syndrome. When combined with diabetes, HTN has been shown to predict and promote increased risk for cardiovascular disease events over and above each risk factor alone. Of the components of this metabolic syndrome, HTN is relatively easy to diagnose and thereby more accessible for implementing preventive and treatment strategies. The recent release of Joint National Committee-8 guidelines for the treatment of HTN has fueled a debate on treatment target goals.&lt;br&gt;&lt;br&gt;Copyright © 2017 Wolters Kluwer Health, Inc. All rights reserved.","author":[{"family":"Sunkara","given":"Nirmal"},{"family":"H Ahsan","given":"Chowdhury"}],"authorYearDisplayFormat":false,"citation-label":"7774136","container-title":"Cardiovascular endocrinology","container-title-short":"Cardiovasc. Endocrinol.","id":"7774136","invisible":false,"issue":"1","issued":{"date-parts":[["2017","3"]]},"journalAbbreviation":"Cardiovasc. Endocrinol.","page":"33-38","suppress-author":false,"title":"Hypertension in diabetes and the risk of cardiovascular disease.","type":"article-journal","volume":"6"}]</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6,7</w:t>
      </w:r>
      <w:r w:rsidRPr="002B3A17">
        <w:rPr>
          <w:rFonts w:ascii="Arial" w:eastAsia="Times New Roman" w:hAnsi="Arial" w:cs="Arial"/>
          <w:color w:val="000000" w:themeColor="text1"/>
        </w:rPr>
        <w:fldChar w:fldCharType="end"/>
      </w:r>
      <w:r w:rsidRPr="002B3A17">
        <w:rPr>
          <w:rFonts w:ascii="Arial" w:eastAsia="Times New Roman" w:hAnsi="Arial" w:cs="Arial"/>
          <w:color w:val="000000" w:themeColor="text1"/>
        </w:rPr>
        <w:t xml:space="preserve"> It has consistently been shown that reductions in blood pressure (BP) by 4-11 </w:t>
      </w:r>
      <w:r w:rsidR="000F4804">
        <w:rPr>
          <w:rFonts w:ascii="Arial" w:eastAsia="Times New Roman" w:hAnsi="Arial" w:cs="Arial"/>
          <w:color w:val="000000" w:themeColor="text1"/>
        </w:rPr>
        <w:t>mmHg</w:t>
      </w:r>
      <w:r w:rsidRPr="002B3A17">
        <w:rPr>
          <w:rFonts w:ascii="Arial" w:eastAsia="Times New Roman" w:hAnsi="Arial" w:cs="Arial"/>
          <w:color w:val="000000" w:themeColor="text1"/>
        </w:rPr>
        <w:t xml:space="preserve"> for systolic BP (SBP) and 2-5 </w:t>
      </w:r>
      <w:r w:rsidR="000F4804">
        <w:rPr>
          <w:rFonts w:ascii="Arial" w:eastAsia="Times New Roman" w:hAnsi="Arial" w:cs="Arial"/>
          <w:color w:val="000000" w:themeColor="text1"/>
        </w:rPr>
        <w:t>mmHg</w:t>
      </w:r>
      <w:r w:rsidRPr="002B3A17">
        <w:rPr>
          <w:rFonts w:ascii="Arial" w:eastAsia="Times New Roman" w:hAnsi="Arial" w:cs="Arial"/>
          <w:color w:val="000000" w:themeColor="text1"/>
        </w:rPr>
        <w:t xml:space="preserve"> for diastolic BP (DBP) can reduce the risk of cardiovascular events such as stroke, HF, CHD, and even all-cause mortality by 11-43%, a significant change in outcome.</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F1000_CSL_CITATION&lt;~#@#~&gt;[{"DOI":"10.1097/HJH.0000000000000378","First":false,"Last":false,"PMID":"25255397","abstract":"&lt;strong&gt;BACKGROUND:&lt;/strong&gt; Antihypertensive treatment is based on randomized controlled trials (RCTs) started since 1966. Meta-analyses comprehensive of all RCTs but limited to RCTs investigating blood pressure (BP) lowering in hypertensive patients are lacking.&lt;br&gt;&lt;br&gt;&lt;strong&gt;OBJECTIVES:&lt;/strong&gt; Two clinical questions were investigated: the extent of different outcome reductions by BP lowering in hypertensive patients, and the proportionality of outcome reductions to SBP, DBP, and pulse pressure (PP) reductions.&lt;br&gt;&lt;br&gt;&lt;strong&gt;METHODS:&lt;/strong&gt; PubMed between 1966 and December 2013 (any language), Cochrane Collaboration Library and previous overviews were used as data sources for identifying and selecting all RCTs comparing the antihypertensive drugs with placebo or less intense BP lowering (intentional BP-lowering RCTs); comparing BP-lowering drugs with placebo without BP-lowering intention, but with BP difference (nonintentional BP-lowering RCTs); and enrolling at least 40% hypertensive patients. RCTs on acute myocardial infarction, heart failure, acute stroke, and dialysis were excluded. RCT quality was assessed by scoring. Risk ratios and 95% confidence interval (CI), standardized to 10/5 mmHg SBP/DBP reduction, of seven fatal and nonfatal outcomes were calculated (random-effects model). The relationships of different outcome reductions to SBP, DBP, and PP reductions were investigated by meta-regressions.&lt;br&gt;&lt;br&gt;&lt;strong&gt;RESULTS:&lt;/strong&gt; A total of 68 RCTs (245,885 individuals) were eligible, of which 47 (153,825 individuals) were 'intentional' RCTs. All outcomes were reduced (P &lt;  0.001) by BP lowering, stroke [-36% (-29, -42)], and heart failure [-43% (-28, -54)] to a greater extent, with smaller reductions for coronary events [coronary heart disease (CHD): -16% (-10, -21)], cardiovascular [-18% (-11, -24)], and all-cause mortality [-11% (-5, -16)]. Absolute risk reductions were 17 (14, 20) strokes, 28 (19, 35) cardiovascular events, and 8 (4, 12) deaths prevented every 1000 patients treated for 5 years. Logarithmic risk ratios were related to SBP, DBP, and PP reductions (P = 0.001-0.003) for stroke and composite cardiovascular events, but not for CHD.&lt;br&gt;&lt;br&gt;&lt;strong&gt;CONCLUSION:&lt;/strong&gt; Meta-analyses of all BP-lowering RCTs involving hypertensive patients provide precise estimates of benefits (larger for stroke and heart failure, but also significant for CHD and mortality). Absolute risk reductions are substantial. Relationships of logarithmic risk ratios with BP reductions imply risk reduction increases progressively to a smaller extent the larger the BP reduction.","author":[{"family":"Thomopoulos","given":"Costas"},{"family":"Parati","given":"Gianfranco"},{"family":"Zanchetti","given":"Alberto"}],"authorYearDisplayFormat":false,"citation-label":"4916229","container-title":"Journal of Hypertension","container-title-short":"J. Hypertens.","id":"4916229","invisible":false,"issue":"12","issued":{"date-parts":[["2014","12"]]},"journalAbbreviation":"J. Hypertens.","page":"2285-2295","suppress-author":false,"title":"Effects of blood pressure lowering on outcome incidence in hypertension. 1. Overview, meta-analyses, and meta-regression analyses of randomized trials.","type":"article-journal","volume":"32"}]</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8</w:t>
      </w:r>
      <w:r w:rsidRPr="002B3A17">
        <w:rPr>
          <w:rFonts w:ascii="Arial" w:eastAsia="Times New Roman" w:hAnsi="Arial" w:cs="Arial"/>
          <w:color w:val="000000" w:themeColor="text1"/>
        </w:rPr>
        <w:fldChar w:fldCharType="end"/>
      </w:r>
      <w:r w:rsidRPr="002B3A17">
        <w:rPr>
          <w:rFonts w:ascii="Arial" w:eastAsia="Times New Roman" w:hAnsi="Arial" w:cs="Arial"/>
          <w:color w:val="000000" w:themeColor="text1"/>
        </w:rPr>
        <w:t xml:space="preserve"> </w:t>
      </w:r>
    </w:p>
    <w:p w14:paraId="33BCFAB7" w14:textId="6938EF9F" w:rsidR="0097493D" w:rsidRPr="002B3A17" w:rsidRDefault="0097493D" w:rsidP="0097493D">
      <w:pPr>
        <w:spacing w:line="480" w:lineRule="auto"/>
        <w:ind w:firstLine="720"/>
        <w:rPr>
          <w:rFonts w:ascii="Arial" w:eastAsia="Times New Roman" w:hAnsi="Arial" w:cs="Arial"/>
          <w:color w:val="000000" w:themeColor="text1"/>
        </w:rPr>
      </w:pPr>
      <w:r w:rsidRPr="002B3A17">
        <w:rPr>
          <w:rFonts w:ascii="Arial" w:eastAsia="Times New Roman" w:hAnsi="Arial" w:cs="Arial"/>
          <w:color w:val="000000" w:themeColor="text1"/>
        </w:rPr>
        <w:t>Walking and physical activity (PA) have consistently been shown to significantly reduce BP, despite much variation in the duration of implementation of walking programs.</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F1000_CSL_CITATION&lt;~#@#~&gt;[{"DOI":"10.1136/bjsports-2015-095786","First":false,"Last":false,"PMID":"26787705","abstract":"Regular physical activity (PA) reduces the blood pressure (BP) of individuals with hypertension. The present review analysed the scientific evidence for the BP lowering effect of aerobic PA in 27 randomised controlled studies on individuals with hypertension, and shows that regular medium-to-high-intensity aerobic activity reduces the BP by a mean of 11/5 mm Hg (level of evidence, 3+). In addition, three randomised controlled trials (RCTs) on isometric (static) activity showed a BP reduction of similar magnitude in hypertensives; dynamic resistance training may show less effect, as shown in five available RCTs (level of evidence 2+). As both the prevalence of hypertension and physical inactivity are high and increasing in today's society, PA has a great role to play as a single (when indicated) or additive treatment for hypertension. Furthermore, as competitive athletes are getting older, it can be expected that more athletes at different competitive levels will have hypertension. Certain considerations must be applied regarding evaluation and treatment of hypertension in athletes. Eligibility for competitive sports may be affected if target organ damage (TOD) is present; however, an athlete with well-controlled BP, having no additional risk factors or TOD, is eligible for all sports. &lt;br&gt;&lt;br&gt;Published by the BMJ Publishing Group Limited. For permission to use (where not already granted under a licence) please go to http://www.bmj.com/company/products-services/rights-and-licensing/","author":[{"family":"Börjesson","given":"Mats"},{"family":"Onerup","given":"Aron"},{"family":"Lundqvist","given":"Stefan"},{"family":"Dahlöf","given":"Björn"}],"authorYearDisplayFormat":false,"citation-label":"5633453","container-title":"British Journal of Sports Medicine","container-title-short":"Br. J. Sports Med.","id":"5633453","invisible":false,"issue":"6","issued":{"date-parts":[["2016","3"]]},"journalAbbreviation":"Br. J. Sports Med.","page":"356-361","suppress-author":false,"title":"Physical activity and exercise lower blood pressure in individuals with hypertension: narrative review of 27 RCTs.","type":"article-journal","volume":"50"},{"DOI":"10.1038/s41371-018-0100-z","First":false,"Last":false,"PMID":"30127487","abstract":"The aim of the current study was to perform a systematic review and meta-analysis to evaluate the relationship between step count and changes in blood pressure (BP). Studies involving healthy adults and an intervention in the form of brisk walking with a pedometer were included. Net changes in BP and step count in each trial were calculated and pooled. In addition, the pooled net changes of two categories (trials that achieved walking 10,000 steps a day and those that did not) were compared. A meta-regression analysis was performed to examine the relationship between net changes in BP and step count. Fourteen trials were analyzed. Pooled net changes in BP improved significantly (systolic BP, -3.1 mm Hg; diastolic BP, -1.6 mm Hg). When the trials were categorized depending on whether they achieved walking 10,000 steps a day, the pooled net change in systolic BP and diastolic BP did not differ significantly between both groups of subjects. The meta-regression analyses indicated that net change in systolic BP was significantly associated with an increased step count (e.g., systolic BP is expected to decrease approximately 4 mm Hg if increased step count by 2000 steps a day). However, net change in systolic BP was not associated with the step count in an intervention group following the intervention. At present, there is presumably no evidence that walking 10,000 steps a day lowers the BP to any marked degree. In order to reduce systolic BP by walking with a pedometer, one should be mindful of increasing one's step count.","author":[{"family":"Igarashi","given":"Yutaka"},{"family":"Akazawa","given":"Nobuhiko"},{"family":"Maeda","given":"Seiji"}],"authorYearDisplayFormat":false,"citation-label":"7772405","container-title":"Journal of Human Hypertension","container-title-short":"J. Hum. Hypertens.","id":"7772405","invisible":false,"issue":"12","issued":{"date-parts":[["2018","8","20"]]},"journalAbbreviation":"J. Hum. Hypertens.","page":"814-824","suppress-author":false,"title":"The required step count for a reduction in blood pressure: a systematic review and meta-analysis.","type":"article-journal","volume":"32"},{"DOI":"10.1007/s13340-017-0333-z","First":false,"Last":false,"PMCID":"PMC6224870","PMID":"30603352","abstract":"&lt;strong&gt;Background:&lt;/strong&gt; High blood pressure (BP) and diabetes have been suggested to be non-communicable diseases (NCDs), and they are components in the definition of metabolic syndrome. Further, several studies have reported that the risk of developing NCDs can be reduced by increased physical activity. In addition, a daily target of 10,000 steps has been generally suggested to increase physical activity in sedentary lifestyles. Therefore, the purpose of this study was to determine the effect of an accumulation of 10,000 steps daily on BP and blood glucose in overweight participants.&lt;br&gt;&lt;br&gt;&lt;strong&gt;Methods:&lt;/strong&gt; Participants were recruited from males and females, aged 35-59 years, with sedentary lifestyles. A longitudinal quasi-experimental study was designed with 35 participants who had body mass indices ≥25 kg/m2. These volunteers were assigned to the 12-week pedometer-based walking program (an accumulation of at least 10,000 steps daily). Blood glucose and BP were measured before and after the intervention.&lt;br&gt;&lt;br&gt;&lt;strong&gt;Results:&lt;/strong&gt; Systolic blood pressure (SBP) was significantly lower in 30 individuals who accumulated 10,000 steps daily (-13.74 mmHg). In addition, the reduction of blood glucose levels (-14.89 mg/dl) in the intervention participants was statistically significant (p &lt;  0.001).&lt;br&gt;&lt;br&gt;&lt;strong&gt;Conclusion:&lt;/strong&gt; The accumulation of at least 10,000 steps daily resulted in decreased SBP and blood glucose in overweight Thai subjects. It could also reduce the risk of cardiovascular disease (e.g., hypertension and diabetes).","author":[{"family":"Yuenyongchaiwat","given":"Kornanong"},{"family":"Pipatsitipong","given":"Duangnate"},{"family":"Sangprasert","given":"Panthip"}],"authorYearDisplayFormat":false,"citation-label":"7772341","container-title":"Diabetology International","container-title-short":"Diabetol. Int.","id":"7772341","invisible":false,"issue":"1","issued":{"date-parts":[["2018","2"]]},"journalAbbreviation":"Diabetol. Int.","page":"75-79","suppress-author":false,"title":"Increasing walking steps daily can reduce blood pressure and diabetes in overweight participants.","type":"article-journal","volume":"9"},{"DOI":"10.1186/s12955-018-1008-6","First":false,"Last":false,"PMCID":"PMC6137925","PMID":"30217193","abstract":"&lt;strong&gt;BACKGROUND:&lt;/strong&gt; Physical activity (PA) promotes cardiovascular health and health related quality of life (HRQoL), although the effect of that on blood pressure (BP) control has rarely been studied in hypertensive subjects. Our aim was to evaluate the effectiveness of a PA intervention programme on cardiovascular disease (CVD) risk, HRQoL and BP control in hypertensive subjects.&lt;br&gt;&lt;br&gt;&lt;strong&gt;METHODS:&lt;/strong&gt; A randomized clinical trial, with a PA intervention programme of 9 months duration, comprising a walking group of 120 min/week, supervised, and with socio-cultural activities. Participants were 207 hypertensive subjects (68.2 years, 76.8% women). PA (IPAQ-s), diet, CVD risk, BP, BMI, smoking, and HRQoL (SF-36) were assessed at baseline and at the end of the intervention. Changes in CVD risk and in HRQoL during the intervention was calculated (end-baseline score). Multivariate models were applied.&lt;br&gt;&lt;br&gt;&lt;strong&gt;RESULTS:&lt;/strong&gt; In multivariate models, the PA intervention programme, with no modification of the diet, decreased CVD risk (- 1.19 points) and the systolic BP (- 8.68 mmHg), and increased some areas of HRQoL (4.45 to 14.62 points). An increase in the percentage of subjects with controlled BP was observed by the PA programme itself (OR 5.395 to 5.785 according to multivariate models), and by the changes during the intervention in the decrease in CVD risk (OR 0.609) and in the increase in the HRQoL in physical component summary (OR 1.041), role physical (OR 1.010), and bodily pain (OR 1.014), independently of controlled BP at baseline.&lt;br&gt;&lt;br&gt;&lt;strong&gt;CONCLUSIONS:&lt;/strong&gt; This PA intervention programme improved cardiovascular health and HRQoL, and favoured BP control in primary care users with hypertension.&lt;br&gt;&lt;br&gt;&lt;strong&gt;TRIAL REGISTRATION:&lt;/strong&gt; Clinicaltrials.gov ID NCT02767739 ; Trial registered on May 5th, 2016. Retrospectively registered.","author":[{"family":"Arija","given":"Victoria"},{"family":"Villalobos","given":"Felipe"},{"family":"Pedret","given":"Roser"},{"family":"Vinuesa","given":"Angels"},{"family":"Jovani","given":"Dolors"},{"family":"Pascual","given":"Gabriel"},{"family":"Basora","given":"Josep"}],"authorYearDisplayFormat":false,"citation-label":"7683864","container-title":"Health and Quality of Life Outcomes","container-title-short":"Health Qual. Life Outcomes","id":"7683864","invisible":false,"issue":"1","issued":{"date-parts":[["2018","9","14"]]},"journalAbbreviation":"Health Qual. Life Outcomes","page":"184","suppress-author":false,"title":"Physical activity, cardiovascular health, quality of life and blood pressure control in hypertensive subjects: randomized clinical trial.","type":"article-journal","volume":"16"},{"DOI":"10.1177/1090198114560015","First":false,"Last":false,"PMCID":"PMC4446166","PMID":"25819980","abstract":"&lt;strong&gt;OBJECTIVES:&lt;/strong&gt; The purpose of this study was to evaluate the effectiveness of the Walk Your Heart to Health (WYHH) intervention, one component of the multilevel Community Approaches to Cardiovascular Health: Pathways to Heart Health (CATCH:PATH) intervention designed to promote physical activity and reduce cardiovascular risk among non-Hispanic Black and Hispanic residents of Detroit, Michigan. The study was designed and implemented using a community-based participatory research approach that actively engaged community residents, health service providers and academic researchers. It was implemented between 2009 and 2012.&lt;br&gt;&lt;br&gt;&lt;strong&gt;METHOD:&lt;/strong&gt; WYHH was a 32-week community health promoter-facilitated walking group intervention. Groups met three times per week at community-based or faith-based organizations, and walked for 45 to 90 minutes (increasing over time). The study used a cluster randomized control design to evaluate effectiveness of WYHH, with participants randomized into intervention or lagged intervention (control) groups. Psychosocial, clinical, and anthropometric data were collected at baseline, 8, and 32 weeks, and pedometer step data tracked using uploadable peisoelectric pedometers.&lt;br&gt;&lt;br&gt;&lt;strong&gt;RESULTS:&lt;/strong&gt; Participants in the intervention group increased steps significantly more during the initial 8-week intervention period, compared with the control group (β = 2004.5, p = .000). Increases in physical activity were associated with reductions in systolic blood pressure, fasting blood glucose, total cholesterol, waist circumference and body mass index at 8 weeks, and maintained at 32 weeks.&lt;br&gt;&lt;br&gt;&lt;strong&gt;CONCLUSION:&lt;/strong&gt; The WYHH community health promoter-facilitated walking group intervention was associated with significant reductions in multiple indicators of cardiovascular risk among predominantly Hispanic and non-Hispanic Black participants in a low-to-moderate income urban community. Such interventions can contribute to reductions in racial, ethnic, and socioeconomic inequities in cardiovascular mortality.&lt;br&gt;&lt;br&gt;© 2015 Society for Public Health Education.","author":[{"family":"Schulz","given":"Amy J"},{"family":"Israel","given":"Barbara A"},{"family":"Mentz","given":"Graciela B"},{"family":"Bernal","given":"Cristina"},{"family":"Caver","given":"Deanna"},{"family":"DeMajo","given":"Ricardo"},{"family":"Diaz","given":"Gregoria"},{"family":"Gamboa","given":"Cindy"},{"family":"Gaines","given":"Causandra"},{"family":"Hoston","given":"Bernadine"},{"family":"Opperman","given":"Alisha"},{"family":"Reyes","given":"Angela G"},{"family":"Rowe","given":"Zachary"},{"family":"Sand","given":"Sharon L"},{"family":"Woods","given":"Sachiko"}],"authorYearDisplayFormat":false,"citation-label":"4733225","container-title":"Health education &amp; behavior : the official publication of the Society for Public Health Education","container-title-short":"Health Educ. Behav.","id":"4733225","invisible":false,"issue":"3","issued":{"date-parts":[["2015","6"]]},"journalAbbreviation":"Health Educ. Behav.","page":"380-392","suppress-author":false,"title":"Effectiveness of a walking group intervention to promote physical activity and cardiovascular health in predominantly non-Hispanic black and Hispanic urban neighborhoods: findings from the walk your heart to health intervention.","type":"article-journal","volume":"42"}]</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9–13</w:t>
      </w:r>
      <w:r w:rsidRPr="002B3A17">
        <w:rPr>
          <w:rFonts w:ascii="Arial" w:eastAsia="Times New Roman" w:hAnsi="Arial" w:cs="Arial"/>
          <w:color w:val="000000" w:themeColor="text1"/>
        </w:rPr>
        <w:fldChar w:fldCharType="end"/>
      </w:r>
      <w:r w:rsidRPr="002B3A17">
        <w:rPr>
          <w:rFonts w:ascii="Arial" w:eastAsia="Times New Roman" w:hAnsi="Arial" w:cs="Arial"/>
          <w:color w:val="000000" w:themeColor="text1"/>
        </w:rPr>
        <w:t xml:space="preserve"> Interventions range from 4-36 weeks of twice-weekly meetings to fully independent pedometer-based walking programs.</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F1000_CSL_CITATION&lt;~#@#~&gt;[{"DOI":"10.1136/bjsports-2015-095786","First":false,"Last":false,"PMID":"26787705","abstract":"Regular physical activity (PA) reduces the blood pressure (BP) of individuals with hypertension. The present review analysed the scientific evidence for the BP lowering effect of aerobic PA in 27 randomised controlled studies on individuals with hypertension, and shows that regular medium-to-high-intensity aerobic activity reduces the BP by a mean of 11/5 mm Hg (level of evidence, 3+). In addition, three randomised controlled trials (RCTs) on isometric (static) activity showed a BP reduction of similar magnitude in hypertensives; dynamic resistance training may show less effect, as shown in five available RCTs (level of evidence 2+). As both the prevalence of hypertension and physical inactivity are high and increasing in today's society, PA has a great role to play as a single (when indicated) or additive treatment for hypertension. Furthermore, as competitive athletes are getting older, it can be expected that more athletes at different competitive levels will have hypertension. Certain considerations must be applied regarding evaluation and treatment of hypertension in athletes. Eligibility for competitive sports may be affected if target organ damage (TOD) is present; however, an athlete with well-controlled BP, having no additional risk factors or TOD, is eligible for all sports. &lt;br&gt;&lt;br&gt;Published by the BMJ Publishing Group Limited. For permission to use (where not already granted under a licence) please go to http://www.bmj.com/company/products-services/rights-and-licensing/","author":[{"family":"Börjesson","given":"Mats"},{"family":"Onerup","given":"Aron"},{"family":"Lundqvist","given":"Stefan"},{"family":"Dahlöf","given":"Björn"}],"authorYearDisplayFormat":false,"citation-label":"5633453","container-title":"British Journal of Sports Medicine","container-title-short":"Br. J. Sports Med.","id":"5633453","invisible":false,"issue":"6","issued":{"date-parts":[["2016","3"]]},"journalAbbreviation":"Br. J. Sports Med.","page":"356-361","suppress-author":false,"title":"Physical activity and exercise lower blood pressure in individuals with hypertension: narrative review of 27 RCTs.","type":"article-journal","volume":"50"},{"DOI":"10.1038/s41371-018-0100-z","First":false,"Last":false,"PMID":"30127487","abstract":"The aim of the current study was to perform a systematic review and meta-analysis to evaluate the relationship between step count and changes in blood pressure (BP). Studies involving healthy adults and an intervention in the form of brisk walking with a pedometer were included. Net changes in BP and step count in each trial were calculated and pooled. In addition, the pooled net changes of two categories (trials that achieved walking 10,000 steps a day and those that did not) were compared. A meta-regression analysis was performed to examine the relationship between net changes in BP and step count. Fourteen trials were analyzed. Pooled net changes in BP improved significantly (systolic BP, -3.1 mm Hg; diastolic BP, -1.6 mm Hg). When the trials were categorized depending on whether they achieved walking 10,000 steps a day, the pooled net change in systolic BP and diastolic BP did not differ significantly between both groups of subjects. The meta-regression analyses indicated that net change in systolic BP was significantly associated with an increased step count (e.g., systolic BP is expected to decrease approximately 4 mm Hg if increased step count by 2000 steps a day). However, net change in systolic BP was not associated with the step count in an intervention group following the intervention. At present, there is presumably no evidence that walking 10,000 steps a day lowers the BP to any marked degree. In order to reduce systolic BP by walking with a pedometer, one should be mindful of increasing one's step count.","author":[{"family":"Igarashi","given":"Yutaka"},{"family":"Akazawa","given":"Nobuhiko"},{"family":"Maeda","given":"Seiji"}],"authorYearDisplayFormat":false,"citation-label":"7772405","container-title":"Journal of Human Hypertension","container-title-short":"J. Hum. Hypertens.","id":"7772405","invisible":false,"issue":"12","issued":{"date-parts":[["2018","8","20"]]},"journalAbbreviation":"J. Hum. Hypertens.","page":"814-824","suppress-author":false,"title":"The required step count for a reduction in blood pressure: a systematic review and meta-analysis.","type":"article-journal","volume":"32"},{"DOI":"10.1007/s13340-017-0333-z","First":false,"Last":false,"PMCID":"PMC6224870","PMID":"30603352","abstract":"&lt;strong&gt;Background:&lt;/strong&gt; High blood pressure (BP) and diabetes have been suggested to be non-communicable diseases (NCDs), and they are components in the definition of metabolic syndrome. Further, several studies have reported that the risk of developing NCDs can be reduced by increased physical activity. In addition, a daily target of 10,000 steps has been generally suggested to increase physical activity in sedentary lifestyles. Therefore, the purpose of this study was to determine the effect of an accumulation of 10,000 steps daily on BP and blood glucose in overweight participants.&lt;br&gt;&lt;br&gt;&lt;strong&gt;Methods:&lt;/strong&gt; Participants were recruited from males and females, aged 35-59 years, with sedentary lifestyles. A longitudinal quasi-experimental study was designed with 35 participants who had body mass indices ≥25 kg/m2. These volunteers were assigned to the 12-week pedometer-based walking program (an accumulation of at least 10,000 steps daily). Blood glucose and BP were measured before and after the intervention.&lt;br&gt;&lt;br&gt;&lt;strong&gt;Results:&lt;/strong&gt; Systolic blood pressure (SBP) was significantly lower in 30 individuals who accumulated 10,000 steps daily (-13.74 mmHg). In addition, the reduction of blood glucose levels (-14.89 mg/dl) in the intervention participants was statistically significant (p &lt;  0.001).&lt;br&gt;&lt;br&gt;&lt;strong&gt;Conclusion:&lt;/strong&gt; The accumulation of at least 10,000 steps daily resulted in decreased SBP and blood glucose in overweight Thai subjects. It could also reduce the risk of cardiovascular disease (e.g., hypertension and diabetes).","author":[{"family":"Yuenyongchaiwat","given":"Kornanong"},{"family":"Pipatsitipong","given":"Duangnate"},{"family":"Sangprasert","given":"Panthip"}],"authorYearDisplayFormat":false,"citation-label":"7772341","container-title":"Diabetology International","container-title-short":"Diabetol. Int.","id":"7772341","invisible":false,"issue":"1","issued":{"date-parts":[["2018","2"]]},"journalAbbreviation":"Diabetol. Int.","page":"75-79","suppress-author":false,"title":"Increasing walking steps daily can reduce blood pressure and diabetes in overweight participants.","type":"article-journal","volume":"9"},{"DOI":"10.1186/s12955-018-1008-6","First":false,"Last":false,"PMCID":"PMC6137925","PMID":"30217193","abstract":"&lt;strong&gt;BACKGROUND:&lt;/strong&gt; Physical activity (PA) promotes cardiovascular health and health related quality of life (HRQoL), although the effect of that on blood pressure (BP) control has rarely been studied in hypertensive subjects. Our aim was to evaluate the effectiveness of a PA intervention programme on cardiovascular disease (CVD) risk, HRQoL and BP control in hypertensive subjects.&lt;br&gt;&lt;br&gt;&lt;strong&gt;METHODS:&lt;/strong&gt; A randomized clinical trial, with a PA intervention programme of 9 months duration, comprising a walking group of 120 min/week, supervised, and with socio-cultural activities. Participants were 207 hypertensive subjects (68.2 years, 76.8% women). PA (IPAQ-s), diet, CVD risk, BP, BMI, smoking, and HRQoL (SF-36) were assessed at baseline and at the end of the intervention. Changes in CVD risk and in HRQoL during the intervention was calculated (end-baseline score). Multivariate models were applied.&lt;br&gt;&lt;br&gt;&lt;strong&gt;RESULTS:&lt;/strong&gt; In multivariate models, the PA intervention programme, with no modification of the diet, decreased CVD risk (- 1.19 points) and the systolic BP (- 8.68 mmHg), and increased some areas of HRQoL (4.45 to 14.62 points). An increase in the percentage of subjects with controlled BP was observed by the PA programme itself (OR 5.395 to 5.785 according to multivariate models), and by the changes during the intervention in the decrease in CVD risk (OR 0.609) and in the increase in the HRQoL in physical component summary (OR 1.041), role physical (OR 1.010), and bodily pain (OR 1.014), independently of controlled BP at baseline.&lt;br&gt;&lt;br&gt;&lt;strong&gt;CONCLUSIONS:&lt;/strong&gt; This PA intervention programme improved cardiovascular health and HRQoL, and favoured BP control in primary care users with hypertension.&lt;br&gt;&lt;br&gt;&lt;strong&gt;TRIAL REGISTRATION:&lt;/strong&gt; Clinicaltrials.gov ID NCT02767739 ; Trial registered on May 5th, 2016. Retrospectively registered.","author":[{"family":"Arija","given":"Victoria"},{"family":"Villalobos","given":"Felipe"},{"family":"Pedret","given":"Roser"},{"family":"Vinuesa","given":"Angels"},{"family":"Jovani","given":"Dolors"},{"family":"Pascual","given":"Gabriel"},{"family":"Basora","given":"Josep"}],"authorYearDisplayFormat":false,"citation-label":"7683864","container-title":"Health and Quality of Life Outcomes","container-title-short":"Health Qual. Life Outcomes","id":"7683864","invisible":false,"issue":"1","issued":{"date-parts":[["2018","9","14"]]},"journalAbbreviation":"Health Qual. Life Outcomes","page":"184","suppress-author":false,"title":"Physical activity, cardiovascular health, quality of life and blood pressure control in hypertensive subjects: randomized clinical trial.","type":"article-journal","volume":"16"}]</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9–12</w:t>
      </w:r>
      <w:r w:rsidRPr="002B3A17">
        <w:rPr>
          <w:rFonts w:ascii="Arial" w:eastAsia="Times New Roman" w:hAnsi="Arial" w:cs="Arial"/>
          <w:color w:val="000000" w:themeColor="text1"/>
        </w:rPr>
        <w:fldChar w:fldCharType="end"/>
      </w:r>
      <w:r w:rsidRPr="002B3A17">
        <w:rPr>
          <w:rFonts w:ascii="Arial" w:eastAsia="Times New Roman" w:hAnsi="Arial" w:cs="Arial"/>
          <w:color w:val="000000" w:themeColor="text1"/>
        </w:rPr>
        <w:t xml:space="preserve"> All report significant reductions in BP ranging from reduction in SBP of 3.10 -13.75 mmHg, and reductions in DBP of 1.60 mmHg.</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F1000_CSL_CITATION&lt;~#@#~&gt;[{"DOI":"10.1136/bjsports-2015-095786","First":false,"Last":false,"PMID":"26787705","abstract":"Regular physical activity (PA) reduces the blood pressure (BP) of individuals with hypertension. The present review analysed the scientific evidence for the BP lowering effect of aerobic PA in 27 randomised controlled studies on individuals with hypertension, and shows that regular medium-to-high-intensity aerobic activity reduces the BP by a mean of 11/5 mm Hg (level of evidence, 3+). In addition, three randomised controlled trials (RCTs) on isometric (static) activity showed a BP reduction of similar magnitude in hypertensives; dynamic resistance training may show less effect, as shown in five available RCTs (level of evidence 2+). As both the prevalence of hypertension and physical inactivity are high and increasing in today's society, PA has a great role to play as a single (when indicated) or additive treatment for hypertension. Furthermore, as competitive athletes are getting older, it can be expected that more athletes at different competitive levels will have hypertension. Certain considerations must be applied regarding evaluation and treatment of hypertension in athletes. Eligibility for competitive sports may be affected if target organ damage (TOD) is present; however, an athlete with well-controlled BP, having no additional risk factors or TOD, is eligible for all sports. &lt;br&gt;&lt;br&gt;Published by the BMJ Publishing Group Limited. For permission to use (where not already granted under a licence) please go to http://www.bmj.com/company/products-services/rights-and-licensing/","author":[{"family":"Börjesson","given":"Mats"},{"family":"Onerup","given":"Aron"},{"family":"Lundqvist","given":"Stefan"},{"family":"Dahlöf","given":"Björn"}],"authorYearDisplayFormat":false,"citation-label":"5633453","container-title":"British Journal of Sports Medicine","container-title-short":"Br. J. Sports Med.","id":"5633453","invisible":false,"issue":"6","issued":{"date-parts":[["2016","3"]]},"journalAbbreviation":"Br. J. Sports Med.","page":"356-361","suppress-author":false,"title":"Physical activity and exercise lower blood pressure in individuals with hypertension: narrative review of 27 RCTs.","type":"article-journal","volume":"50"},{"DOI":"10.1038/s41371-018-0100-z","First":false,"Last":false,"PMID":"30127487","abstract":"The aim of the current study was to perform a systematic review and meta-analysis to evaluate the relationship between step count and changes in blood pressure (BP). Studies involving healthy adults and an intervention in the form of brisk walking with a pedometer were included. Net changes in BP and step count in each trial were calculated and pooled. In addition, the pooled net changes of two categories (trials that achieved walking 10,000 steps a day and those that did not) were compared. A meta-regression analysis was performed to examine the relationship between net changes in BP and step count. Fourteen trials were analyzed. Pooled net changes in BP improved significantly (systolic BP, -3.1 mm Hg; diastolic BP, -1.6 mm Hg). When the trials were categorized depending on whether they achieved walking 10,000 steps a day, the pooled net change in systolic BP and diastolic BP did not differ significantly between both groups of subjects. The meta-regression analyses indicated that net change in systolic BP was significantly associated with an increased step count (e.g., systolic BP is expected to decrease approximately 4 mm Hg if increased step count by 2000 steps a day). However, net change in systolic BP was not associated with the step count in an intervention group following the intervention. At present, there is presumably no evidence that walking 10,000 steps a day lowers the BP to any marked degree. In order to reduce systolic BP by walking with a pedometer, one should be mindful of increasing one's step count.","author":[{"family":"Igarashi","given":"Yutaka"},{"family":"Akazawa","given":"Nobuhiko"},{"family":"Maeda","given":"Seiji"}],"authorYearDisplayFormat":false,"citation-label":"7772405","container-title":"Journal of Human Hypertension","container-title-short":"J. Hum. Hypertens.","id":"7772405","invisible":false,"issue":"12","issued":{"date-parts":[["2018","8","20"]]},"journalAbbreviation":"J. Hum. Hypertens.","page":"814-824","suppress-author":false,"title":"The required step count for a reduction in blood pressure: a systematic review and meta-analysis.","type":"article-journal","volume":"32"},{"DOI":"10.1007/s13340-017-0333-z","First":false,"Last":false,"PMCID":"PMC6224870","PMID":"30603352","abstract":"&lt;strong&gt;Background:&lt;/strong&gt; High blood pressure (BP) and diabetes have been suggested to be non-communicable diseases (NCDs), and they are components in the definition of metabolic syndrome. Further, several studies have reported that the risk of developing NCDs can be reduced by increased physical activity. In addition, a daily target of 10,000 steps has been generally suggested to increase physical activity in sedentary lifestyles. Therefore, the purpose of this study was to determine the effect of an accumulation of 10,000 steps daily on BP and blood glucose in overweight participants.&lt;br&gt;&lt;br&gt;&lt;strong&gt;Methods:&lt;/strong&gt; Participants were recruited from males and females, aged 35-59 years, with sedentary lifestyles. A longitudinal quasi-experimental study was designed with 35 participants who had body mass indices ≥25 kg/m2. These volunteers were assigned to the 12-week pedometer-based walking program (an accumulation of at least 10,000 steps daily). Blood glucose and BP were measured before and after the intervention.&lt;br&gt;&lt;br&gt;&lt;strong&gt;Results:&lt;/strong&gt; Systolic blood pressure (SBP) was significantly lower in 30 individuals who accumulated 10,000 steps daily (-13.74 mmHg). In addition, the reduction of blood glucose levels (-14.89 mg/dl) in the intervention participants was statistically significant (p &lt;  0.001).&lt;br&gt;&lt;br&gt;&lt;strong&gt;Conclusion:&lt;/strong&gt; The accumulation of at least 10,000 steps daily resulted in decreased SBP and blood glucose in overweight Thai subjects. It could also reduce the risk of cardiovascular disease (e.g., hypertension and diabetes).","author":[{"family":"Yuenyongchaiwat","given":"Kornanong"},{"family":"Pipatsitipong","given":"Duangnate"},{"family":"Sangprasert","given":"Panthip"}],"authorYearDisplayFormat":false,"citation-label":"7772341","container-title":"Diabetology International","container-title-short":"Diabetol. Int.","id":"7772341","invisible":false,"issue":"1","issued":{"date-parts":[["2018","2"]]},"journalAbbreviation":"Diabetol. Int.","page":"75-79","suppress-author":false,"title":"Increasing walking steps daily can reduce blood pressure and diabetes in overweight participants.","type":"article-journal","volume":"9"},{"DOI":"10.1186/s12955-018-1008-6","First":false,"Last":false,"PMCID":"PMC6137925","PMID":"30217193","abstract":"&lt;strong&gt;BACKGROUND:&lt;/strong&gt; Physical activity (PA) promotes cardiovascular health and health related quality of life (HRQoL), although the effect of that on blood pressure (BP) control has rarely been studied in hypertensive subjects. Our aim was to evaluate the effectiveness of a PA intervention programme on cardiovascular disease (CVD) risk, HRQoL and BP control in hypertensive subjects.&lt;br&gt;&lt;br&gt;&lt;strong&gt;METHODS:&lt;/strong&gt; A randomized clinical trial, with a PA intervention programme of 9 months duration, comprising a walking group of 120 min/week, supervised, and with socio-cultural activities. Participants were 207 hypertensive subjects (68.2 years, 76.8% women). PA (IPAQ-s), diet, CVD risk, BP, BMI, smoking, and HRQoL (SF-36) were assessed at baseline and at the end of the intervention. Changes in CVD risk and in HRQoL during the intervention was calculated (end-baseline score). Multivariate models were applied.&lt;br&gt;&lt;br&gt;&lt;strong&gt;RESULTS:&lt;/strong&gt; In multivariate models, the PA intervention programme, with no modification of the diet, decreased CVD risk (- 1.19 points) and the systolic BP (- 8.68 mmHg), and increased some areas of HRQoL (4.45 to 14.62 points). An increase in the percentage of subjects with controlled BP was observed by the PA programme itself (OR 5.395 to 5.785 according to multivariate models), and by the changes during the intervention in the decrease in CVD risk (OR 0.609) and in the increase in the HRQoL in physical component summary (OR 1.041), role physical (OR 1.010), and bodily pain (OR 1.014), independently of controlled BP at baseline.&lt;br&gt;&lt;br&gt;&lt;strong&gt;CONCLUSIONS:&lt;/strong&gt; This PA intervention programme improved cardiovascular health and HRQoL, and favoured BP control in primary care users with hypertension.&lt;br&gt;&lt;br&gt;&lt;strong&gt;TRIAL REGISTRATION:&lt;/strong&gt; Clinicaltrials.gov ID NCT02767739 ; Trial registered on May 5th, 2016. Retrospectively registered.","author":[{"family":"Arija","given":"Victoria"},{"family":"Villalobos","given":"Felipe"},{"family":"Pedret","given":"Roser"},{"family":"Vinuesa","given":"Angels"},{"family":"Jovani","given":"Dolors"},{"family":"Pascual","given":"Gabriel"},{"family":"Basora","given":"Josep"}],"authorYearDisplayFormat":false,"citation-label":"7683864","container-title":"Health and Quality of Life Outcomes","container-title-short":"Health Qual. Life Outcomes","id":"7683864","invisible":false,"issue":"1","issued":{"date-parts":[["2018","9","14"]]},"journalAbbreviation":"Health Qual. Life Outcomes","page":"184","suppress-author":false,"title":"Physical activity, cardiovascular health, quality of life and blood pressure control in hypertensive subjects: randomized clinical trial.","type":"article-journal","volume":"16"}]</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9–12</w:t>
      </w:r>
      <w:r w:rsidRPr="002B3A17">
        <w:rPr>
          <w:rFonts w:ascii="Arial" w:eastAsia="Times New Roman" w:hAnsi="Arial" w:cs="Arial"/>
          <w:color w:val="000000" w:themeColor="text1"/>
        </w:rPr>
        <w:fldChar w:fldCharType="end"/>
      </w:r>
      <w:r w:rsidRPr="002B3A17">
        <w:rPr>
          <w:rFonts w:ascii="Arial" w:eastAsia="Times New Roman" w:hAnsi="Arial" w:cs="Arial"/>
          <w:color w:val="000000" w:themeColor="text1"/>
        </w:rPr>
        <w:t xml:space="preserve"> A meta-analysis by </w:t>
      </w:r>
      <w:proofErr w:type="spellStart"/>
      <w:r w:rsidRPr="002B3A17">
        <w:rPr>
          <w:rFonts w:ascii="Arial" w:eastAsia="Times New Roman" w:hAnsi="Arial" w:cs="Arial"/>
          <w:color w:val="000000" w:themeColor="text1"/>
        </w:rPr>
        <w:t>Borjesson</w:t>
      </w:r>
      <w:proofErr w:type="spellEnd"/>
      <w:r w:rsidRPr="002B3A17">
        <w:rPr>
          <w:rFonts w:ascii="Arial" w:eastAsia="Times New Roman" w:hAnsi="Arial" w:cs="Arial"/>
          <w:color w:val="000000" w:themeColor="text1"/>
        </w:rPr>
        <w:t xml:space="preserve"> et al. found that walking 3-7 times per week </w:t>
      </w:r>
      <w:r w:rsidRPr="002B3A17">
        <w:rPr>
          <w:rFonts w:ascii="Arial" w:eastAsia="Times New Roman" w:hAnsi="Arial" w:cs="Arial"/>
          <w:color w:val="000000" w:themeColor="text1"/>
        </w:rPr>
        <w:lastRenderedPageBreak/>
        <w:t>produced significant reductions in SBP and DBP of 6-15 mmHg and 3-4 mmHg respectively.</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F1000_CSL_CITATION&lt;~#@#~&gt;[{"DOI":"10.1136/bjsports-2015-095786","First":false,"Last":false,"PMID":"26787705","abstract":"Regular physical activity (PA) reduces the blood pressure (BP) of individuals with hypertension. The present review analysed the scientific evidence for the BP lowering effect of aerobic PA in 27 randomised controlled studies on individuals with hypertension, and shows that regular medium-to-high-intensity aerobic activity reduces the BP by a mean of 11/5 mm Hg (level of evidence, 3+). In addition, three randomised controlled trials (RCTs) on isometric (static) activity showed a BP reduction of similar magnitude in hypertensives; dynamic resistance training may show less effect, as shown in five available RCTs (level of evidence 2+). As both the prevalence of hypertension and physical inactivity are high and increasing in today's society, PA has a great role to play as a single (when indicated) or additive treatment for hypertension. Furthermore, as competitive athletes are getting older, it can be expected that more athletes at different competitive levels will have hypertension. Certain considerations must be applied regarding evaluation and treatment of hypertension in athletes. Eligibility for competitive sports may be affected if target organ damage (TOD) is present; however, an athlete with well-controlled BP, having no additional risk factors or TOD, is eligible for all sports. &lt;br&gt;&lt;br&gt;Published by the BMJ Publishing Group Limited. For permission to use (where not already granted under a licence) please go to http://www.bmj.com/company/products-services/rights-and-licensing/","author":[{"family":"Börjesson","given":"Mats"},{"family":"Onerup","given":"Aron"},{"family":"Lundqvist","given":"Stefan"},{"family":"Dahlöf","given":"Björn"}],"authorYearDisplayFormat":false,"citation-label":"5633453","container-title":"British Journal of Sports Medicine","container-title-short":"Br. J. Sports Med.","id":"5633453","invisible":false,"issue":"6","issued":{"date-parts":[["2016","3"]]},"journalAbbreviation":"Br. J. Sports Med.","page":"356-361","suppress-author":false,"title":"Physical activity and exercise lower blood pressure in individuals with hypertension: narrative review of 27 RCTs.","type":"article-journal","volume":"50"}]</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9</w:t>
      </w:r>
      <w:r w:rsidRPr="002B3A17">
        <w:rPr>
          <w:rFonts w:ascii="Arial" w:eastAsia="Times New Roman" w:hAnsi="Arial" w:cs="Arial"/>
          <w:color w:val="000000" w:themeColor="text1"/>
        </w:rPr>
        <w:fldChar w:fldCharType="end"/>
      </w:r>
      <w:r w:rsidRPr="002B3A17">
        <w:rPr>
          <w:rFonts w:ascii="Arial" w:eastAsia="Times New Roman" w:hAnsi="Arial" w:cs="Arial"/>
          <w:color w:val="000000" w:themeColor="text1"/>
        </w:rPr>
        <w:t xml:space="preserve"> These changes in BP were not only statistically significant, studies show that a reduction of SBP by 10-12 mmHg and DBP by 5-6 mmHg has been related to a 34-38% reduction in risk of stroke and 16% reduction in risk of CHD.</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F1000_CSL_CITATION&lt;~#@#~&gt;[{"DOI":"10.1136/bmj.39548.738368.BE","First":false,"Last":false,"PMCID":"PMC2386598","PMID":"18480116","abstract":"&lt;strong&gt;OBJECTIVE:&lt;/strong&gt; To quantify the relative risk reductions achieved with different regimens to lower blood pressure in younger and older adults.&lt;br&gt;&lt;br&gt;&lt;strong&gt;DESIGN:&lt;/strong&gt; Meta-analyses and meta-regression analyses used to compare the effects on the primary outcome between two age groups (&lt; 65 v &gt; or =65 years). Evidence for an interaction between age and the effects of treatment sought by fitting age as a continuous variable and estimating overall effects across trials.&lt;br&gt;&lt;br&gt;&lt;strong&gt;MAIN OUTCOME MEASURES:&lt;/strong&gt; &lt;br&gt;&lt;br&gt;&lt;strong&gt;PRIMARY OUTCOME:&lt;/strong&gt; total major cardiovascular events.&lt;br&gt;&lt;br&gt;&lt;strong&gt;RESULTS:&lt;/strong&gt; 31 trials, with 190 606 participants, were included. The meta-analyses showed no clear difference between age groups in the effects of lowering blood pressure or any difference between the effects of the drug classes on major cardiovascular events (all P&gt; or =0.24). Neither was there any significant interaction between age and treatment when age was fitted as a continuous variable (all P&gt;0.09). The meta-regressions also showed no difference in effects between the two age groups for the outcome of major cardiovascular events (&lt; 65 v &gt; or =65; P=0.38).&lt;br&gt;&lt;br&gt;&lt;strong&gt;CONCLUSIONS:&lt;/strong&gt; Reduction of blood pressure produces benefits in younger (&lt; 65 years) and older (&gt; or =65 years) adults, with no strong evidence that protection against major vascular events afforded by different drug classes varies substantially with age.","author":[{"family":"Blood Pressure Lowering Treatment Trialists' Collaboration"},{"family":"Turnbull","given":"F"},{"family":"Neal","given":"B"},{"family":"Ninomiya","given":"T"},{"family":"Algert","given":"C"},{"family":"Arima","given":"H"},{"family":"Barzi","given":"F"},{"family":"Bulpitt","given":"C"},{"family":"Chalmers","given":"J"},{"family":"Fagard","given":"R"},{"family":"Gleason","given":"A"},{"family":"Heritier","given":"S"},{"family":"Li","given":"N"},{"family":"Perkovic","given":"V"},{"family":"Woodward","given":"M"},{"family":"MacMahon","given":"S"}],"authorYearDisplayFormat":false,"citation-label":"3267961","container-title":"BMJ (Clinical Research Ed.)","container-title-short":"BMJ","id":"3267961","invisible":false,"issue":"7653","issued":{"date-parts":[["2008","5","17"]]},"journalAbbreviation":"BMJ","page":"1121-1123","suppress-author":false,"title":"Effects of different regimens to lower blood pressure on major cardiovascular events in older and younger adults: meta-analysis of randomised trials.","type":"article-journal","volume":"336"},{"DOI":"10.1016/0140-6736(90)90878-9","First":false,"Last":false,"PMID":"1969518","abstract":"The associations of diastolic blood pressure (DBP) with stroke and with coronary heart disease (CHD) were investigated in nine major prospective observational studies: total 420,000 individuals, 843 strokes, and 4856 CHD events, 6-25 (mean 10) years of follow-up. The combined results demonstrate positive, continuous, and apparently independent associations, with no significant heterogeneity of effect among different studies. Within the range of DBP studied (about 70-110 mm Hg), there was no evidence of any \"threshold\" below which lower levels of DBP were not associated with lower risks of stroke and of CHD. Previous analyses have described the uncorrected associations of DBP measured just at \"baseline\" with subsequent disease rates. But, because of the diluting effects of random fluctuations in DBP, these substantially underestimate the true associations of the usual DBP (ie, an individual's long-term average DBP) with disease. After correction for this \"regression dilution\" bias, prolonged differences in usual DBP of 5, 7.5, and 10 mm Hg were respectively associated with at least 34%, 46%, and 56% less stroke and at least 21%, 29%, and 37% less CHD. These associations are about 60% greater than in previous uncorrected analyses. (This regression dilution bias is quite general, so analogous corrections to the relations of cholesterol to CHD or of various other risk factors to CHD or to other diseases would likewise increase their estimated strengths.) The DBP results suggest that for the large majority of individuals, whether conventionally \"hypertensive\" or \"normotensive\", a lower blood pressure should eventually confer a lower risk of vascular disease.","author":[{"family":"MacMahon","given":"S"},{"family":"Peto","given":"R"},{"family":"Cutler","given":"J"},{"family":"Collins","given":"R"},{"family":"Sorlie","given":"P"},{"family":"Neaton","given":"J"},{"family":"Abbott","given":"R"},{"family":"Godwin","given":"J"},{"family":"Dyer","given":"A"},{"family":"Stamler","given":"J"}],"authorYearDisplayFormat":false,"citation-label":"1486866","container-title":"The Lancet","container-title-short":"Lancet","id":"1486866","invisible":false,"issue":"8692","issued":{"date-parts":[["1990","3","31"]]},"journalAbbreviation":"Lancet","page":"765-774","suppress-author":false,"title":"Blood pressure, stroke, and coronary heart disease. Part 1, Prolonged differences in blood pressure: prospective observational studies corrected for the regression dilution bias.","type":"article-journal","volume":"335"}]</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14,15</w:t>
      </w:r>
      <w:r w:rsidRPr="002B3A17">
        <w:rPr>
          <w:rFonts w:ascii="Arial" w:eastAsia="Times New Roman" w:hAnsi="Arial" w:cs="Arial"/>
          <w:color w:val="000000" w:themeColor="text1"/>
        </w:rPr>
        <w:fldChar w:fldCharType="end"/>
      </w:r>
    </w:p>
    <w:p w14:paraId="73EB16E5" w14:textId="5405C719" w:rsidR="0097493D" w:rsidRPr="002B3A17" w:rsidRDefault="0097493D" w:rsidP="0097493D">
      <w:pPr>
        <w:spacing w:line="480" w:lineRule="auto"/>
        <w:ind w:firstLine="720"/>
        <w:rPr>
          <w:rFonts w:ascii="Arial" w:eastAsia="Times New Roman" w:hAnsi="Arial" w:cs="Arial"/>
          <w:color w:val="000000" w:themeColor="text1"/>
        </w:rPr>
      </w:pPr>
      <w:r w:rsidRPr="002B3A17">
        <w:rPr>
          <w:rFonts w:ascii="Arial" w:eastAsia="Times New Roman" w:hAnsi="Arial" w:cs="Arial"/>
          <w:color w:val="000000" w:themeColor="text1"/>
        </w:rPr>
        <w:t>In addition to walking, the other component of the program, educational intervention, has been well-validated through a variety of different methods and durations in the rural population.</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F1000_CSL_CITATION&lt;~#@#~&gt;[{"DOI":"10.1186/s13063-019-3220-z","First":false,"Last":false,"PMCID":"PMC6360728","PMID":"30717779","abstract":"&lt;strong&gt;BACKGROUND:&lt;/strong&gt; The present randomized controlled trial (RCT) evaluated the effectiveness of a theory-based physical activity (PA) intervention for rural patients with prediabetes. It was hypothesized that a PA intervention program based on the social cognitive theory (SCT) will modify fasting blood sugar (FBS) among rural people with prediabetes, which in turn will result in a decrease in diabetes incidence in the rural area.&lt;br&gt;&lt;br&gt;&lt;strong&gt;METHODS:&lt;/strong&gt; A cluster RCT on prediabetic people was conducted in Ahar, East Azerbaijan Province, Iran. A PA intervention in prediabetes was performed over 16 weeks of follow-ups in 12 villages (six per arm). Residents (n = 272; n = 136 per arm) were invited to participate in the study through rural health care centers during screening for eligibility. Participants in the intervention and control groups were informed of their prediabetic conditions and encouraged to make appropriate changes to their lifestyles to modify their prediabetes. The intervention was an educational program delivered over 16 weeks and involved behavioral change techniques. Through the education program, the intervention group received one session per week lasting about 90 min (a total of 16 sessions). The importance of risk control with PA, the duration of hill climbing, as well as exercise and safety tips were explained in a brochure that was given to the participants. Anthropometric measures, glycemic status, and PA were evaluated at the beginning of the program and after 16 weeks of follow-up.&lt;br&gt;&lt;br&gt;&lt;strong&gt;RESULTS:&lt;/strong&gt; The PA program showed a reduction in FBS mg/dl at 16 weeks (large-effect-size Cohen's d = -0.63, p = 0.001) compared to the control condition. PA intervention led to a large effect size on diastolic blood pressure (BP, - 1.01) and a medium effect size for systolic BP (- 0.57), body mass index (BMI, - 0.33), and weight (- 0.35). Based on generalized linear mixed model analysis, significant reductions in FBS (mg/dl), BMI, weight, and diastolic BP were found in the intervention group compared to the control group.&lt;br&gt;&lt;br&gt;&lt;strong&gt;CONCLUSION:&lt;/strong&gt; Our results support the effectiveness of an SCT-based PA intervention to reduce the risk of prediabetes developing into diabetes among rural patients with prediabetes. Findings suggest that implementation of SCT-based PA intervention for a rural population at risk of diabetes has potential benefits.&lt;br&gt;&lt;br&gt;&lt;strong&gt;TRIAL REGISTRATION:&lt;/strong&gt; Iranian Registry of Clinical Trials, IRCT201607198132N4 . Registered on 1 September 2017. Prospectively registered.","author":[{"family":"Shamizadeh","given":"Tahereh"},{"family":"Jahangiry","given":"Leila"},{"family":"Sarbakhsh","given":"Parvin"},{"family":"Ponnet","given":"Koen"}],"authorYearDisplayFormat":false,"citation-label":"7772659","container-title":"Trials","container-title-short":"Trials","id":"7772659","invisible":false,"issue":"1","issued":{"date-parts":[["2019","2","4"]]},"journalAbbreviation":"Trials","page":"98","suppress-author":false,"title":"Social cognitive theory-based intervention to promote physical activity among prediabetic rural people: a cluster randomized controlled trial.","type":"article-journal","volume":"20"},{"DOI":"10.1111/phn.12234","First":false,"Last":false,"PMID":"26404001","abstract":"&lt;strong&gt;OBJECTIVE:&lt;/strong&gt; The objective was to pilot a socioculturally tailored church-based stroke prevention program delivered by trained community health workers (CHWs) and to test its effects on participant knowledge scores.&lt;br&gt;&lt;br&gt;&lt;strong&gt;DESIGN AND SAMPLE:&lt;/strong&gt; A single-group, pre-post test pilot study was conducted with a convenience sample of 201 adult African-Americans recruited from nine churches in three Alabama counties. Measurements included participant weight, blood pressure (BP), physical activity level; knowledge related to hypertension, heart disease, and stroke; cigarette smoking; and access to care, as well as the Stages of Change constructs within the Transtheoretical Model. The intervention was a six-session group-based health education program delivered by trained CHWs.&lt;br&gt;&lt;br&gt;&lt;strong&gt;MEASURES:&lt;/strong&gt; Measurements included participant weight, blood pressure (BP), physical activity level; knowledge related to hypertension, heart disease, and stroke; cigarette smoking; and access to care, as well as the Stages of Change constructs within the Transtheoretical Model. The intervention was a six-session group-based health education program delivered by trained CHWs.&lt;br&gt;&lt;br&gt;&lt;strong&gt;RESULTS:&lt;/strong&gt; From baseline to 12 weeks, knowledge increased significantly (p &lt;  .001). Systolic BP measures improved (p = .0008). More than half of participants lost weight; however, weight change did not reach significance (p = .1380). Most (87%) participants indicated having a medical home at baseline; at the end of the study the percentage increased to 92% (p = .0138).&lt;br&gt;&lt;br&gt;&lt;strong&gt;CONCLUSION:&lt;/strong&gt; A church-based intervention delivered by trained CHWs is feasible and may be a promising public health strategy to increase knowledge regarding hypertension and stroke prevention among African-Americans.&lt;br&gt;&lt;br&gt;© 2015 Wiley Periodicals, Inc.","author":[{"family":"Williams","given":"Lovoria B"},{"family":"Franklin","given":"Brandi"},{"family":"Evans","given":"Mary B"},{"family":"Jackson","given":"Chazeman"},{"family":"Hill","given":"Alethea"},{"family":"Minor","given":"Michael"}],"authorYearDisplayFormat":false,"citation-label":"5587733","container-title":"Public Health Nursing","container-title-short":"Public Health Nurs.","id":"5587733","invisible":false,"issue":"1","issued":{"date-parts":[["2016","2"]]},"journalAbbreviation":"Public Health Nurs.","page":"11-20","suppress-author":false,"title":"Turn the Beat Around: A Stroke Prevention Program for African-American Churches.","type":"article-journal","volume":"33"},{"DOI":"10.1177/1090198114560015","First":false,"Last":false,"PMCID":"PMC4446166","PMID":"25819980","abstract":"&lt;strong&gt;OBJECTIVES:&lt;/strong&gt; The purpose of this study was to evaluate the effectiveness of the Walk Your Heart to Health (WYHH) intervention, one component of the multilevel Community Approaches to Cardiovascular Health: Pathways to Heart Health (CATCH:PATH) intervention designed to promote physical activity and reduce cardiovascular risk among non-Hispanic Black and Hispanic residents of Detroit, Michigan. The study was designed and implemented using a community-based participatory research approach that actively engaged community residents, health service providers and academic researchers. It was implemented between 2009 and 2012.&lt;br&gt;&lt;br&gt;&lt;strong&gt;METHOD:&lt;/strong&gt; WYHH was a 32-week community health promoter-facilitated walking group intervention. Groups met three times per week at community-based or faith-based organizations, and walked for 45 to 90 minutes (increasing over time). The study used a cluster randomized control design to evaluate effectiveness of WYHH, with participants randomized into intervention or lagged intervention (control) groups. Psychosocial, clinical, and anthropometric data were collected at baseline, 8, and 32 weeks, and pedometer step data tracked using uploadable peisoelectric pedometers.&lt;br&gt;&lt;br&gt;&lt;strong&gt;RESULTS:&lt;/strong&gt; Participants in the intervention group increased steps significantly more during the initial 8-week intervention period, compared with the control group (β = 2004.5, p = .000). Increases in physical activity were associated with reductions in systolic blood pressure, fasting blood glucose, total cholesterol, waist circumference and body mass index at 8 weeks, and maintained at 32 weeks.&lt;br&gt;&lt;br&gt;&lt;strong&gt;CONCLUSION:&lt;/strong&gt; The WYHH community health promoter-facilitated walking group intervention was associated with significant reductions in multiple indicators of cardiovascular risk among predominantly Hispanic and non-Hispanic Black participants in a low-to-moderate income urban community. Such interventions can contribute to reductions in racial, ethnic, and socioeconomic inequities in cardiovascular mortality.&lt;br&gt;&lt;br&gt;© 2015 Society for Public Health Education.","author":[{"family":"Schulz","given":"Amy J"},{"family":"Israel","given":"Barbara A"},{"family":"Mentz","given":"Graciela B"},{"family":"Bernal","given":"Cristina"},{"family":"Caver","given":"Deanna"},{"family":"DeMajo","given":"Ricardo"},{"family":"Diaz","given":"Gregoria"},{"family":"Gamboa","given":"Cindy"},{"family":"Gaines","given":"Causandra"},{"family":"Hoston","given":"Bernadine"},{"family":"Opperman","given":"Alisha"},{"family":"Reyes","given":"Angela G"},{"family":"Rowe","given":"Zachary"},{"family":"Sand","given":"Sharon L"},{"family":"Woods","given":"Sachiko"}],"authorYearDisplayFormat":false,"citation-label":"4733225","container-title":"Health education &amp; behavior : the official publication of the Society for Public Health Education","container-title-short":"Health Educ. Behav.","id":"4733225","invisible":false,"issue":"3","issued":{"date-parts":[["2015","6"]]},"journalAbbreviation":"Health Educ. Behav.","page":"380-392","suppress-author":false,"title":"Effectiveness of a walking group intervention to promote physical activity and cardiovascular health in predominantly non-Hispanic black and Hispanic urban neighborhoods: findings from the walk your heart to health intervention.","type":"article-journal","volume":"42"}]</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13,16,17</w:t>
      </w:r>
      <w:r w:rsidRPr="002B3A17">
        <w:rPr>
          <w:rFonts w:ascii="Arial" w:eastAsia="Times New Roman" w:hAnsi="Arial" w:cs="Arial"/>
          <w:color w:val="000000" w:themeColor="text1"/>
        </w:rPr>
        <w:fldChar w:fldCharType="end"/>
      </w:r>
      <w:r w:rsidRPr="002B3A17">
        <w:rPr>
          <w:rFonts w:ascii="Arial" w:eastAsia="Times New Roman" w:hAnsi="Arial" w:cs="Arial"/>
          <w:color w:val="000000" w:themeColor="text1"/>
        </w:rPr>
        <w:t xml:space="preserve"> Interventions have range from 12 – 32 weeks of 45-120 minute interventions occurring as little as every two weeks or as frequently as 3 times per week.</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F1000_CSL_CITATION&lt;~#@#~&gt;[{"DOI":"10.1186/s13063-019-3220-z","First":false,"Last":false,"PMCID":"PMC6360728","PMID":"30717779","abstract":"&lt;strong&gt;BACKGROUND:&lt;/strong&gt; The present randomized controlled trial (RCT) evaluated the effectiveness of a theory-based physical activity (PA) intervention for rural patients with prediabetes. It was hypothesized that a PA intervention program based on the social cognitive theory (SCT) will modify fasting blood sugar (FBS) among rural people with prediabetes, which in turn will result in a decrease in diabetes incidence in the rural area.&lt;br&gt;&lt;br&gt;&lt;strong&gt;METHODS:&lt;/strong&gt; A cluster RCT on prediabetic people was conducted in Ahar, East Azerbaijan Province, Iran. A PA intervention in prediabetes was performed over 16 weeks of follow-ups in 12 villages (six per arm). Residents (n = 272; n = 136 per arm) were invited to participate in the study through rural health care centers during screening for eligibility. Participants in the intervention and control groups were informed of their prediabetic conditions and encouraged to make appropriate changes to their lifestyles to modify their prediabetes. The intervention was an educational program delivered over 16 weeks and involved behavioral change techniques. Through the education program, the intervention group received one session per week lasting about 90 min (a total of 16 sessions). The importance of risk control with PA, the duration of hill climbing, as well as exercise and safety tips were explained in a brochure that was given to the participants. Anthropometric measures, glycemic status, and PA were evaluated at the beginning of the program and after 16 weeks of follow-up.&lt;br&gt;&lt;br&gt;&lt;strong&gt;RESULTS:&lt;/strong&gt; The PA program showed a reduction in FBS mg/dl at 16 weeks (large-effect-size Cohen's d = -0.63, p = 0.001) compared to the control condition. PA intervention led to a large effect size on diastolic blood pressure (BP, - 1.01) and a medium effect size for systolic BP (- 0.57), body mass index (BMI, - 0.33), and weight (- 0.35). Based on generalized linear mixed model analysis, significant reductions in FBS (mg/dl), BMI, weight, and diastolic BP were found in the intervention group compared to the control group.&lt;br&gt;&lt;br&gt;&lt;strong&gt;CONCLUSION:&lt;/strong&gt; Our results support the effectiveness of an SCT-based PA intervention to reduce the risk of prediabetes developing into diabetes among rural patients with prediabetes. Findings suggest that implementation of SCT-based PA intervention for a rural population at risk of diabetes has potential benefits.&lt;br&gt;&lt;br&gt;&lt;strong&gt;TRIAL REGISTRATION:&lt;/strong&gt; Iranian Registry of Clinical Trials, IRCT201607198132N4 . Registered on 1 September 2017. Prospectively registered.","author":[{"family":"Shamizadeh","given":"Tahereh"},{"family":"Jahangiry","given":"Leila"},{"family":"Sarbakhsh","given":"Parvin"},{"family":"Ponnet","given":"Koen"}],"authorYearDisplayFormat":false,"citation-label":"7772659","container-title":"Trials","container-title-short":"Trials","id":"7772659","invisible":false,"issue":"1","issued":{"date-parts":[["2019","2","4"]]},"journalAbbreviation":"Trials","page":"98","suppress-author":false,"title":"Social cognitive theory-based intervention to promote physical activity among prediabetic rural people: a cluster randomized controlled trial.","type":"article-journal","volume":"20"},{"DOI":"10.1111/phn.12234","First":false,"Last":false,"PMID":"26404001","abstract":"&lt;strong&gt;OBJECTIVE:&lt;/strong&gt; The objective was to pilot a socioculturally tailored church-based stroke prevention program delivered by trained community health workers (CHWs) and to test its effects on participant knowledge scores.&lt;br&gt;&lt;br&gt;&lt;strong&gt;DESIGN AND SAMPLE:&lt;/strong&gt; A single-group, pre-post test pilot study was conducted with a convenience sample of 201 adult African-Americans recruited from nine churches in three Alabama counties. Measurements included participant weight, blood pressure (BP), physical activity level; knowledge related to hypertension, heart disease, and stroke; cigarette smoking; and access to care, as well as the Stages of Change constructs within the Transtheoretical Model. The intervention was a six-session group-based health education program delivered by trained CHWs.&lt;br&gt;&lt;br&gt;&lt;strong&gt;MEASURES:&lt;/strong&gt; Measurements included participant weight, blood pressure (BP), physical activity level; knowledge related to hypertension, heart disease, and stroke; cigarette smoking; and access to care, as well as the Stages of Change constructs within the Transtheoretical Model. The intervention was a six-session group-based health education program delivered by trained CHWs.&lt;br&gt;&lt;br&gt;&lt;strong&gt;RESULTS:&lt;/strong&gt; From baseline to 12 weeks, knowledge increased significantly (p &lt;  .001). Systolic BP measures improved (p = .0008). More than half of participants lost weight; however, weight change did not reach significance (p = .1380). Most (87%) participants indicated having a medical home at baseline; at the end of the study the percentage increased to 92% (p = .0138).&lt;br&gt;&lt;br&gt;&lt;strong&gt;CONCLUSION:&lt;/strong&gt; A church-based intervention delivered by trained CHWs is feasible and may be a promising public health strategy to increase knowledge regarding hypertension and stroke prevention among African-Americans.&lt;br&gt;&lt;br&gt;© 2015 Wiley Periodicals, Inc.","author":[{"family":"Williams","given":"Lovoria B"},{"family":"Franklin","given":"Brandi"},{"family":"Evans","given":"Mary B"},{"family":"Jackson","given":"Chazeman"},{"family":"Hill","given":"Alethea"},{"family":"Minor","given":"Michael"}],"authorYearDisplayFormat":false,"citation-label":"5587733","container-title":"Public Health Nursing","container-title-short":"Public Health Nurs.","id":"5587733","invisible":false,"issue":"1","issued":{"date-parts":[["2016","2"]]},"journalAbbreviation":"Public Health Nurs.","page":"11-20","suppress-author":false,"title":"Turn the Beat Around: A Stroke Prevention Program for African-American Churches.","type":"article-journal","volume":"33"},{"DOI":"10.1177/1090198114560015","First":false,"Last":false,"PMCID":"PMC4446166","PMID":"25819980","abstract":"&lt;strong&gt;OBJECTIVES:&lt;/strong&gt; The purpose of this study was to evaluate the effectiveness of the Walk Your Heart to Health (WYHH) intervention, one component of the multilevel Community Approaches to Cardiovascular Health: Pathways to Heart Health (CATCH:PATH) intervention designed to promote physical activity and reduce cardiovascular risk among non-Hispanic Black and Hispanic residents of Detroit, Michigan. The study was designed and implemented using a community-based participatory research approach that actively engaged community residents, health service providers and academic researchers. It was implemented between 2009 and 2012.&lt;br&gt;&lt;br&gt;&lt;strong&gt;METHOD:&lt;/strong&gt; WYHH was a 32-week community health promoter-facilitated walking group intervention. Groups met three times per week at community-based or faith-based organizations, and walked for 45 to 90 minutes (increasing over time). The study used a cluster randomized control design to evaluate effectiveness of WYHH, with participants randomized into intervention or lagged intervention (control) groups. Psychosocial, clinical, and anthropometric data were collected at baseline, 8, and 32 weeks, and pedometer step data tracked using uploadable peisoelectric pedometers.&lt;br&gt;&lt;br&gt;&lt;strong&gt;RESULTS:&lt;/strong&gt; Participants in the intervention group increased steps significantly more during the initial 8-week intervention period, compared with the control group (β = 2004.5, p = .000). Increases in physical activity were associated with reductions in systolic blood pressure, fasting blood glucose, total cholesterol, waist circumference and body mass index at 8 weeks, and maintained at 32 weeks.&lt;br&gt;&lt;br&gt;&lt;strong&gt;CONCLUSION:&lt;/strong&gt; The WYHH community health promoter-facilitated walking group intervention was associated with significant reductions in multiple indicators of cardiovascular risk among predominantly Hispanic and non-Hispanic Black participants in a low-to-moderate income urban community. Such interventions can contribute to reductions in racial, ethnic, and socioeconomic inequities in cardiovascular mortality.&lt;br&gt;&lt;br&gt;© 2015 Society for Public Health Education.","author":[{"family":"Schulz","given":"Amy J"},{"family":"Israel","given":"Barbara A"},{"family":"Mentz","given":"Graciela B"},{"family":"Bernal","given":"Cristina"},{"family":"Caver","given":"Deanna"},{"family":"DeMajo","given":"Ricardo"},{"family":"Diaz","given":"Gregoria"},{"family":"Gamboa","given":"Cindy"},{"family":"Gaines","given":"Causandra"},{"family":"Hoston","given":"Bernadine"},{"family":"Opperman","given":"Alisha"},{"family":"Reyes","given":"Angela G"},{"family":"Rowe","given":"Zachary"},{"family":"Sand","given":"Sharon L"},{"family":"Woods","given":"Sachiko"}],"authorYearDisplayFormat":false,"citation-label":"4733225","container-title":"Health education &amp; behavior : the official publication of the Society for Public Health Education","container-title-short":"Health Educ. Behav.","id":"4733225","invisible":false,"issue":"3","issued":{"date-parts":[["2015","6"]]},"journalAbbreviation":"Health Educ. Behav.","page":"380-392","suppress-author":false,"title":"Effectiveness of a walking group intervention to promote physical activity and cardiovascular health in predominantly non-Hispanic black and Hispanic urban neighborhoods: findings from the walk your heart to health intervention.","type":"article-journal","volume":"42"}]</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13,16,17</w:t>
      </w:r>
      <w:r w:rsidRPr="002B3A17">
        <w:rPr>
          <w:rFonts w:ascii="Arial" w:eastAsia="Times New Roman" w:hAnsi="Arial" w:cs="Arial"/>
          <w:color w:val="000000" w:themeColor="text1"/>
        </w:rPr>
        <w:fldChar w:fldCharType="end"/>
      </w:r>
      <w:r w:rsidRPr="002B3A17">
        <w:rPr>
          <w:rFonts w:ascii="Arial" w:eastAsia="Times New Roman" w:hAnsi="Arial" w:cs="Arial"/>
          <w:color w:val="000000" w:themeColor="text1"/>
        </w:rPr>
        <w:t xml:space="preserve"> The variation continues as each of these PA and educational programs utilized a different model of behavior change. One program using the social cognitive theory (SCT) found that after 16 weeks, there was a significant and large effect size for the reduction in DBP.</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F1000_CSL_CITATION&lt;~#@#~&gt;[{"DOI":"10.1186/s13063-019-3220-z","First":false,"Last":false,"PMCID":"PMC6360728","PMID":"30717779","abstract":"&lt;strong&gt;BACKGROUND:&lt;/strong&gt; The present randomized controlled trial (RCT) evaluated the effectiveness of a theory-based physical activity (PA) intervention for rural patients with prediabetes. It was hypothesized that a PA intervention program based on the social cognitive theory (SCT) will modify fasting blood sugar (FBS) among rural people with prediabetes, which in turn will result in a decrease in diabetes incidence in the rural area.&lt;br&gt;&lt;br&gt;&lt;strong&gt;METHODS:&lt;/strong&gt; A cluster RCT on prediabetic people was conducted in Ahar, East Azerbaijan Province, Iran. A PA intervention in prediabetes was performed over 16 weeks of follow-ups in 12 villages (six per arm). Residents (n = 272; n = 136 per arm) were invited to participate in the study through rural health care centers during screening for eligibility. Participants in the intervention and control groups were informed of their prediabetic conditions and encouraged to make appropriate changes to their lifestyles to modify their prediabetes. The intervention was an educational program delivered over 16 weeks and involved behavioral change techniques. Through the education program, the intervention group received one session per week lasting about 90 min (a total of 16 sessions). The importance of risk control with PA, the duration of hill climbing, as well as exercise and safety tips were explained in a brochure that was given to the participants. Anthropometric measures, glycemic status, and PA were evaluated at the beginning of the program and after 16 weeks of follow-up.&lt;br&gt;&lt;br&gt;&lt;strong&gt;RESULTS:&lt;/strong&gt; The PA program showed a reduction in FBS mg/dl at 16 weeks (large-effect-size Cohen's d = -0.63, p = 0.001) compared to the control condition. PA intervention led to a large effect size on diastolic blood pressure (BP, - 1.01) and a medium effect size for systolic BP (- 0.57), body mass index (BMI, - 0.33), and weight (- 0.35). Based on generalized linear mixed model analysis, significant reductions in FBS (mg/dl), BMI, weight, and diastolic BP were found in the intervention group compared to the control group.&lt;br&gt;&lt;br&gt;&lt;strong&gt;CONCLUSION:&lt;/strong&gt; Our results support the effectiveness of an SCT-based PA intervention to reduce the risk of prediabetes developing into diabetes among rural patients with prediabetes. Findings suggest that implementation of SCT-based PA intervention for a rural population at risk of diabetes has potential benefits.&lt;br&gt;&lt;br&gt;&lt;strong&gt;TRIAL REGISTRATION:&lt;/strong&gt; Iranian Registry of Clinical Trials, IRCT201607198132N4 . Registered on 1 September 2017. Prospectively registered.","author":[{"family":"Shamizadeh","given":"Tahereh"},{"family":"Jahangiry","given":"Leila"},{"family":"Sarbakhsh","given":"Parvin"},{"family":"Ponnet","given":"Koen"}],"authorYearDisplayFormat":false,"citation-label":"7772659","container-title":"Trials","container-title-short":"Trials","id":"7772659","invisible":false,"issue":"1","issued":{"date-parts":[["2019","2","4"]]},"journalAbbreviation":"Trials","page":"98","suppress-author":false,"title":"Social cognitive theory-based intervention to promote physical activity among prediabetic rural people: a cluster randomized controlled trial.","type":"article-journal","volume":"20"}]</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16</w:t>
      </w:r>
      <w:r w:rsidRPr="002B3A17">
        <w:rPr>
          <w:rFonts w:ascii="Arial" w:eastAsia="Times New Roman" w:hAnsi="Arial" w:cs="Arial"/>
          <w:color w:val="000000" w:themeColor="text1"/>
        </w:rPr>
        <w:fldChar w:fldCharType="end"/>
      </w:r>
      <w:r w:rsidRPr="002B3A17">
        <w:rPr>
          <w:rFonts w:ascii="Arial" w:eastAsia="Times New Roman" w:hAnsi="Arial" w:cs="Arial"/>
          <w:color w:val="000000" w:themeColor="text1"/>
        </w:rPr>
        <w:t xml:space="preserve"> Another study using the transtheoretical model (TTM) found that after 6 weeks of educational training and daily BP logs, participants gained significant knowledge relating to HTN, heart disease, and stroke as well as a significant decrease in SBP and DBP of 4 and 3 mmHg respectively.</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F1000_CSL_CITATION&lt;~#@#~&gt;[{"DOI":"10.1111/phn.12234","First":false,"Last":false,"PMID":"26404001","abstract":"&lt;strong&gt;OBJECTIVE:&lt;/strong&gt; The objective was to pilot a socioculturally tailored church-based stroke prevention program delivered by trained community health workers (CHWs) and to test its effects on participant knowledge scores.&lt;br&gt;&lt;br&gt;&lt;strong&gt;DESIGN AND SAMPLE:&lt;/strong&gt; A single-group, pre-post test pilot study was conducted with a convenience sample of 201 adult African-Americans recruited from nine churches in three Alabama counties. Measurements included participant weight, blood pressure (BP), physical activity level; knowledge related to hypertension, heart disease, and stroke; cigarette smoking; and access to care, as well as the Stages of Change constructs within the Transtheoretical Model. The intervention was a six-session group-based health education program delivered by trained CHWs.&lt;br&gt;&lt;br&gt;&lt;strong&gt;MEASURES:&lt;/strong&gt; Measurements included participant weight, blood pressure (BP), physical activity level; knowledge related to hypertension, heart disease, and stroke; cigarette smoking; and access to care, as well as the Stages of Change constructs within the Transtheoretical Model. The intervention was a six-session group-based health education program delivered by trained CHWs.&lt;br&gt;&lt;br&gt;&lt;strong&gt;RESULTS:&lt;/strong&gt; From baseline to 12 weeks, knowledge increased significantly (p &lt;  .001). Systolic BP measures improved (p = .0008). More than half of participants lost weight; however, weight change did not reach significance (p = .1380). Most (87%) participants indicated having a medical home at baseline; at the end of the study the percentage increased to 92% (p = .0138).&lt;br&gt;&lt;br&gt;&lt;strong&gt;CONCLUSION:&lt;/strong&gt; A church-based intervention delivered by trained CHWs is feasible and may be a promising public health strategy to increase knowledge regarding hypertension and stroke prevention among African-Americans.&lt;br&gt;&lt;br&gt;© 2015 Wiley Periodicals, Inc.","author":[{"family":"Williams","given":"Lovoria B"},{"family":"Franklin","given":"Brandi"},{"family":"Evans","given":"Mary B"},{"family":"Jackson","given":"Chazeman"},{"family":"Hill","given":"Alethea"},{"family":"Minor","given":"Michael"}],"authorYearDisplayFormat":false,"citation-label":"5587733","container-title":"Public Health Nursing","container-title-short":"Public Health Nurs.","id":"5587733","invisible":false,"issue":"1","issued":{"date-parts":[["2016","2"]]},"journalAbbreviation":"Public Health Nurs.","page":"11-20","suppress-author":false,"title":"Turn the Beat Around: A Stroke Prevention Program for African-American Churches.","type":"article-journal","volume":"33"}]</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17</w:t>
      </w:r>
      <w:r w:rsidRPr="002B3A17">
        <w:rPr>
          <w:rFonts w:ascii="Arial" w:eastAsia="Times New Roman" w:hAnsi="Arial" w:cs="Arial"/>
          <w:color w:val="000000" w:themeColor="text1"/>
        </w:rPr>
        <w:fldChar w:fldCharType="end"/>
      </w:r>
      <w:r w:rsidRPr="002B3A17">
        <w:rPr>
          <w:rFonts w:ascii="Arial" w:eastAsia="Times New Roman" w:hAnsi="Arial" w:cs="Arial"/>
          <w:color w:val="000000" w:themeColor="text1"/>
        </w:rPr>
        <w:t xml:space="preserve"> Lastly, an intervention based on the social-ecological model (SEM) found that after 8 weeks, participants exercised significantly more and for each increase of 1,000 steps compared to baseline, participants had a significantly lower odds of HTN (OR = 0.9).</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F1000_CSL_CITATION&lt;~#@#~&gt;[{"DOI":"10.1177/1090198114560015","First":false,"Last":false,"PMCID":"PMC4446166","PMID":"25819980","abstract":"&lt;strong&gt;OBJECTIVES:&lt;/strong&gt; The purpose of this study was to evaluate the effectiveness of the Walk Your Heart to Health (WYHH) intervention, one component of the multilevel Community Approaches to Cardiovascular Health: Pathways to Heart Health (CATCH:PATH) intervention designed to promote physical activity and reduce cardiovascular risk among non-Hispanic Black and Hispanic residents of Detroit, Michigan. The study was designed and implemented using a community-based participatory research approach that actively engaged community residents, health service providers and academic researchers. It was implemented between 2009 and 2012.&lt;br&gt;&lt;br&gt;&lt;strong&gt;METHOD:&lt;/strong&gt; WYHH was a 32-week community health promoter-facilitated walking group intervention. Groups met three times per week at community-based or faith-based organizations, and walked for 45 to 90 minutes (increasing over time). The study used a cluster randomized control design to evaluate effectiveness of WYHH, with participants randomized into intervention or lagged intervention (control) groups. Psychosocial, clinical, and anthropometric data were collected at baseline, 8, and 32 weeks, and pedometer step data tracked using uploadable peisoelectric pedometers.&lt;br&gt;&lt;br&gt;&lt;strong&gt;RESULTS:&lt;/strong&gt; Participants in the intervention group increased steps significantly more during the initial 8-week intervention period, compared with the control group (β = 2004.5, p = .000). Increases in physical activity were associated with reductions in systolic blood pressure, fasting blood glucose, total cholesterol, waist circumference and body mass index at 8 weeks, and maintained at 32 weeks.&lt;br&gt;&lt;br&gt;&lt;strong&gt;CONCLUSION:&lt;/strong&gt; The WYHH community health promoter-facilitated walking group intervention was associated with significant reductions in multiple indicators of cardiovascular risk among predominantly Hispanic and non-Hispanic Black participants in a low-to-moderate income urban community. Such interventions can contribute to reductions in racial, ethnic, and socioeconomic inequities in cardiovascular mortality.&lt;br&gt;&lt;br&gt;© 2015 Society for Public Health Education.","author":[{"family":"Schulz","given":"Amy J"},{"family":"Israel","given":"Barbara A"},{"family":"Mentz","given":"Graciela B"},{"family":"Bernal","given":"Cristina"},{"family":"Caver","given":"Deanna"},{"family":"DeMajo","given":"Ricardo"},{"family":"Diaz","given":"Gregoria"},{"family":"Gamboa","given":"Cindy"},{"family":"Gaines","given":"Causandra"},{"family":"Hoston","given":"Bernadine"},{"family":"Opperman","given":"Alisha"},{"family":"Reyes","given":"Angela G"},{"family":"Rowe","given":"Zachary"},{"family":"Sand","given":"Sharon L"},{"family":"Woods","given":"Sachiko"}],"authorYearDisplayFormat":false,"citation-label":"4733225","container-title":"Health education &amp; behavior : the official publication of the Society for Public Health Education","container-title-short":"Health Educ. Behav.","id":"4733225","invisible":false,"issue":"3","issued":{"date-parts":[["2015","6"]]},"journalAbbreviation":"Health Educ. Behav.","page":"380-392","suppress-author":false,"title":"Effectiveness of a walking group intervention to promote physical activity and cardiovascular health in predominantly non-Hispanic black and Hispanic urban neighborhoods: findings from the walk your heart to health intervention.","type":"article-journal","volume":"42"}]</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13</w:t>
      </w:r>
      <w:r w:rsidRPr="002B3A17">
        <w:rPr>
          <w:rFonts w:ascii="Arial" w:eastAsia="Times New Roman" w:hAnsi="Arial" w:cs="Arial"/>
          <w:color w:val="000000" w:themeColor="text1"/>
        </w:rPr>
        <w:fldChar w:fldCharType="end"/>
      </w:r>
      <w:r w:rsidRPr="002B3A17">
        <w:rPr>
          <w:rFonts w:ascii="Arial" w:eastAsia="Times New Roman" w:hAnsi="Arial" w:cs="Arial"/>
          <w:color w:val="000000" w:themeColor="text1"/>
        </w:rPr>
        <w:t xml:space="preserve"> </w:t>
      </w:r>
    </w:p>
    <w:p w14:paraId="1CDA35EC" w14:textId="469E018F" w:rsidR="0097493D" w:rsidRPr="002B3A17" w:rsidRDefault="0097493D" w:rsidP="0097493D">
      <w:pPr>
        <w:spacing w:line="480" w:lineRule="auto"/>
        <w:ind w:firstLine="720"/>
        <w:rPr>
          <w:rFonts w:ascii="Arial" w:eastAsia="Times New Roman" w:hAnsi="Arial" w:cs="Arial"/>
          <w:color w:val="000000" w:themeColor="text1"/>
        </w:rPr>
      </w:pPr>
      <w:r w:rsidRPr="002B3A17">
        <w:rPr>
          <w:rFonts w:ascii="Arial" w:eastAsia="Times New Roman" w:hAnsi="Arial" w:cs="Arial"/>
          <w:color w:val="000000" w:themeColor="text1"/>
        </w:rPr>
        <w:t>The SEM is useful in this population of rural adults as it addresses behavior change on an individual, interpersonal, community, and population-level.</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F1000_CSL_CITATION&lt;~#@#~&gt;[{"DOI":"10.1146/annurev-publhealth-031210-101218","First":false,"Last":false,"PMID":"21091195","abstract":"In the United States, awareness is increasing that medical care alone cannot adequately improve health overall or reduce health disparities without also addressing where and how people live. A critical mass of relevant knowledge has accumulated, documenting associations, exploring pathways and biological mechanisms, and providing a previously unavailable scientific foundation for appreciating the role of social factors in health. We review current knowledge about health effects of social (including economic) factors, knowledge gaps, and research priorities, focusing on upstream social determinants-including economic resources, education, and racial discrimination-that fundamentally shape the downstream determinants, such as behaviors, targeted by most interventions. Research priorities include measuring social factors better, monitoring social factors and health relative to policies, examining health effects of social factors across lifetimes and generations, incrementally elucidating pathways through knowledge linkage, testing multidimensional interventions, and addressing political will as a key barrier to translating knowledge into action.","author":[{"family":"Braveman","given":"Paula"},{"family":"Egerter","given":"Susan"},{"family":"Williams","given":"David R"}],"authorYearDisplayFormat":false,"citation-label":"2037695","container-title":"Annual review of public health","container-title-short":"Annu. Rev. Public Health","id":"2037695","invisible":false,"issued":{"date-parts":[["2011"]]},"journalAbbreviation":"Annu. Rev. Public Health","page":"381-398","suppress-author":false,"title":"The social determinants of health: coming of age.","type":"article-journal","volume":"32"},{"DOI":"10.1177/109019818801500401","First":false,"Last":false,"author":[{"family":"McLeroy","given":"K R"},{"family":"Bibeau","given":"D"},{"family":"Steckler","given":"A"},{"family":"Glanz","given":"K"}],"authorYearDisplayFormat":false,"citation-label":"876475","container-title":"Health Education &amp; Behavior","container-title-short":"Health Education &amp; Behavior","id":"876475","invisible":false,"issue":"4","issued":{"date-parts":[["1988","1","1"]]},"journalAbbreviation":"Health Education &amp; Behavior","page":"351-377","suppress-author":false,"title":"An Ecological Perspective on Health Promotion Programs","type":"article-journal","volume":"15"}]</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18,19</w:t>
      </w:r>
      <w:r w:rsidRPr="002B3A17">
        <w:rPr>
          <w:rFonts w:ascii="Arial" w:eastAsia="Times New Roman" w:hAnsi="Arial" w:cs="Arial"/>
          <w:color w:val="000000" w:themeColor="text1"/>
        </w:rPr>
        <w:fldChar w:fldCharType="end"/>
      </w:r>
      <w:r w:rsidRPr="002B3A17">
        <w:rPr>
          <w:rFonts w:ascii="Arial" w:eastAsia="Times New Roman" w:hAnsi="Arial" w:cs="Arial"/>
          <w:color w:val="000000" w:themeColor="text1"/>
        </w:rPr>
        <w:t xml:space="preserve"> Studies have shown that intervention to just one of these levels is not enough to produce significant outcomes when it comes to cardiovascular risk factors.</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F1000_CSL_CITATION&lt;~#@#~&gt;[{"DOI":"10.1111/j.1748-0361.2012.00442.x","First":false,"Last":false,"PMCID":"PMC3695442","PMID":"23802927","abstract":"&lt;strong&gt;PURPOSE:&lt;/strong&gt; To compare 2 strategies, stage-matched nursing and community intervention (SMN+CI) and community intervention (CI) alone in changing cardiovascular risk factors in up to 3 behavioral areas: diet, physical activity, and/or smoking among rural women.&lt;br&gt;&lt;br&gt;&lt;strong&gt;METHODS:&lt;/strong&gt; A 14-month, multisite randomized controlled trial of 117 rural women was conducted. Transtheoretical model was used in identification of stage of change and development of the SMN+CI nursing interventions. A social-ecological model was used to address issues of rurality in the development of interventions.&lt;br&gt;&lt;br&gt;&lt;strong&gt;FINDINGS:&lt;/strong&gt; The SMN + CI group was superior on 4 outcomes. There were significant increases in 2 measures of dietary intake; improvement in dietary stage of change for fruits and vegetables; and reduced diastolic blood pressure (DBP) in the SMN + CI group. After log transformation DBP significance was lost. The CI group had a significant reduction in change in total cholesterol; however, significance was lost after control for the initiation of lipid lowering medications. There was a significant reduction in Framingham risk scores pre- to postintervention, regardless of group.&lt;br&gt;&lt;br&gt;&lt;strong&gt;CONCLUSIONS:&lt;/strong&gt; There continues to be a need to improve cardiovascular risk factors in rural women. There should be an exploration of whether intensified dose and fidelity of the intervention strategies of diet and physical activity are effective in improving anthropometric and laboratory values. Further investigation is warranted into factors influencing the pre- to postreduction in Framingham risk scores.&lt;br&gt;&lt;br&gt;© 2012 National Rural Health Association.","author":[{"family":"Fahs","given":"Pamela Stewart"},{"family":"Pribulick","given":"Margaret"},{"family":"Williams","given":"Ishan Canty"},{"family":"James","given":"Gary D"},{"family":"Rovnyak","given":"Virginia"},{"family":"Seibold-Simpson","given":"Susan M"}],"authorYearDisplayFormat":false,"citation-label":"7666491","container-title":"The Journal of Rural Health","container-title-short":"J. Rural Health","id":"7666491","invisible":false,"issue":"3","issued":{"date-parts":[["2013","6"]]},"journalAbbreviation":"J. Rural Health","page":"248-257","suppress-author":false,"title":"Promoting heart health in rural women.","type":"article-journal","volume":"29"}]</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20</w:t>
      </w:r>
      <w:r w:rsidRPr="002B3A17">
        <w:rPr>
          <w:rFonts w:ascii="Arial" w:eastAsia="Times New Roman" w:hAnsi="Arial" w:cs="Arial"/>
          <w:color w:val="000000" w:themeColor="text1"/>
        </w:rPr>
        <w:fldChar w:fldCharType="end"/>
      </w:r>
      <w:r w:rsidRPr="002B3A17">
        <w:rPr>
          <w:rFonts w:ascii="Arial" w:eastAsia="Times New Roman" w:hAnsi="Arial" w:cs="Arial"/>
          <w:color w:val="000000" w:themeColor="text1"/>
        </w:rPr>
        <w:t xml:space="preserve"> On an individual level, rural-dwelling adults commonly have lower levels of health-related knowledge or </w:t>
      </w:r>
      <w:r w:rsidRPr="002B3A17">
        <w:rPr>
          <w:rFonts w:ascii="Arial" w:eastAsia="Times New Roman" w:hAnsi="Arial" w:cs="Arial"/>
          <w:color w:val="000000" w:themeColor="text1"/>
        </w:rPr>
        <w:lastRenderedPageBreak/>
        <w:t>education, limited financial resources, and lack of motivation or self-efficacy when it comes to making health-behavior changes.</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F1000_CSL_CITATION&lt;~#@#~&gt;[{"DOI":"10.1111/phn.12234","First":false,"Last":false,"PMID":"26404001","abstract":"&lt;strong&gt;OBJECTIVE:&lt;/strong&gt; The objective was to pilot a socioculturally tailored church-based stroke prevention program delivered by trained community health workers (CHWs) and to test its effects on participant knowledge scores.&lt;br&gt;&lt;br&gt;&lt;strong&gt;DESIGN AND SAMPLE:&lt;/strong&gt; A single-group, pre-post test pilot study was conducted with a convenience sample of 201 adult African-Americans recruited from nine churches in three Alabama counties. Measurements included participant weight, blood pressure (BP), physical activity level; knowledge related to hypertension, heart disease, and stroke; cigarette smoking; and access to care, as well as the Stages of Change constructs within the Transtheoretical Model. The intervention was a six-session group-based health education program delivered by trained CHWs.&lt;br&gt;&lt;br&gt;&lt;strong&gt;MEASURES:&lt;/strong&gt; Measurements included participant weight, blood pressure (BP), physical activity level; knowledge related to hypertension, heart disease, and stroke; cigarette smoking; and access to care, as well as the Stages of Change constructs within the Transtheoretical Model. The intervention was a six-session group-based health education program delivered by trained CHWs.&lt;br&gt;&lt;br&gt;&lt;strong&gt;RESULTS:&lt;/strong&gt; From baseline to 12 weeks, knowledge increased significantly (p &lt;  .001). Systolic BP measures improved (p = .0008). More than half of participants lost weight; however, weight change did not reach significance (p = .1380). Most (87%) participants indicated having a medical home at baseline; at the end of the study the percentage increased to 92% (p = .0138).&lt;br&gt;&lt;br&gt;&lt;strong&gt;CONCLUSION:&lt;/strong&gt; A church-based intervention delivered by trained CHWs is feasible and may be a promising public health strategy to increase knowledge regarding hypertension and stroke prevention among African-Americans.&lt;br&gt;&lt;br&gt;© 2015 Wiley Periodicals, Inc.","author":[{"family":"Williams","given":"Lovoria B"},{"family":"Franklin","given":"Brandi"},{"family":"Evans","given":"Mary B"},{"family":"Jackson","given":"Chazeman"},{"family":"Hill","given":"Alethea"},{"family":"Minor","given":"Michael"}],"authorYearDisplayFormat":false,"citation-label":"5587733","container-title":"Public Health Nursing","container-title-short":"Public Health Nurs.","id":"5587733","invisible":false,"issue":"1","issued":{"date-parts":[["2016","2"]]},"journalAbbreviation":"Public Health Nurs.","page":"11-20","suppress-author":false,"title":"Turn the Beat Around: A Stroke Prevention Program for African-American Churches.","type":"article-journal","volume":"33"},{"First":false,"Last":false,"URL":"https://www.census.gov/library/stories/2017/11/income-poverty-rural-america.html","accessed":{"date-parts":[["2019","11","18"]]},"authorYearDisplayFormat":false,"citation-label":"7785375","id":"7785375","invisible":false,"issued":{"date-parts":[[]]},"suppress-author":false,"title":"Poverty Rate Lower in Rural America Than Urban Centers","type":"webpage"},{"DOI":"10.1186/s13063-019-3220-z","First":false,"Last":false,"PMCID":"PMC6360728","PMID":"30717779","abstract":"&lt;strong&gt;BACKGROUND:&lt;/strong&gt; The present randomized controlled trial (RCT) evaluated the effectiveness of a theory-based physical activity (PA) intervention for rural patients with prediabetes. It was hypothesized that a PA intervention program based on the social cognitive theory (SCT) will modify fasting blood sugar (FBS) among rural people with prediabetes, which in turn will result in a decrease in diabetes incidence in the rural area.&lt;br&gt;&lt;br&gt;&lt;strong&gt;METHODS:&lt;/strong&gt; A cluster RCT on prediabetic people was conducted in Ahar, East Azerbaijan Province, Iran. A PA intervention in prediabetes was performed over 16 weeks of follow-ups in 12 villages (six per arm). Residents (n = 272; n = 136 per arm) were invited to participate in the study through rural health care centers during screening for eligibility. Participants in the intervention and control groups were informed of their prediabetic conditions and encouraged to make appropriate changes to their lifestyles to modify their prediabetes. The intervention was an educational program delivered over 16 weeks and involved behavioral change techniques. Through the education program, the intervention group received one session per week lasting about 90 min (a total of 16 sessions). The importance of risk control with PA, the duration of hill climbing, as well as exercise and safety tips were explained in a brochure that was given to the participants. Anthropometric measures, glycemic status, and PA were evaluated at the beginning of the program and after 16 weeks of follow-up.&lt;br&gt;&lt;br&gt;&lt;strong&gt;RESULTS:&lt;/strong&gt; The PA program showed a reduction in FBS mg/dl at 16 weeks (large-effect-size Cohen's d = -0.63, p = 0.001) compared to the control condition. PA intervention led to a large effect size on diastolic blood pressure (BP, - 1.01) and a medium effect size for systolic BP (- 0.57), body mass index (BMI, - 0.33), and weight (- 0.35). Based on generalized linear mixed model analysis, significant reductions in FBS (mg/dl), BMI, weight, and diastolic BP were found in the intervention group compared to the control group.&lt;br&gt;&lt;br&gt;&lt;strong&gt;CONCLUSION:&lt;/strong&gt; Our results support the effectiveness of an SCT-based PA intervention to reduce the risk of prediabetes developing into diabetes among rural patients with prediabetes. Findings suggest that implementation of SCT-based PA intervention for a rural population at risk of diabetes has potential benefits.&lt;br&gt;&lt;br&gt;&lt;strong&gt;TRIAL REGISTRATION:&lt;/strong&gt; Iranian Registry of Clinical Trials, IRCT201607198132N4 . Registered on 1 September 2017. Prospectively registered.","author":[{"family":"Shamizadeh","given":"Tahereh"},{"family":"Jahangiry","given":"Leila"},{"family":"Sarbakhsh","given":"Parvin"},{"family":"Ponnet","given":"Koen"}],"authorYearDisplayFormat":false,"citation-label":"7772659","container-title":"Trials","container-title-short":"Trials","id":"7772659","invisible":false,"issue":"1","issued":{"date-parts":[["2019","2","4"]]},"journalAbbreviation":"Trials","page":"98","suppress-author":false,"title":"Social cognitive theory-based intervention to promote physical activity among prediabetic rural people: a cluster randomized controlled trial.","type":"article-journal","volume":"20"}]</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16,17,21</w:t>
      </w:r>
      <w:r w:rsidRPr="002B3A17">
        <w:rPr>
          <w:rFonts w:ascii="Arial" w:eastAsia="Times New Roman" w:hAnsi="Arial" w:cs="Arial"/>
          <w:color w:val="000000" w:themeColor="text1"/>
        </w:rPr>
        <w:fldChar w:fldCharType="end"/>
      </w:r>
      <w:r w:rsidRPr="002B3A17">
        <w:rPr>
          <w:rFonts w:ascii="Arial" w:eastAsia="Times New Roman" w:hAnsi="Arial" w:cs="Arial"/>
          <w:color w:val="000000" w:themeColor="text1"/>
        </w:rPr>
        <w:t xml:space="preserve"> Success with program activity adherence as well as education has been shown to significantly impact these factors in relation to PA, self-efficacy, and health-related knowledge.</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F1000_CSL_CITATION&lt;~#@#~&gt;[{"DOI":"10.1111/phn.12234","First":false,"Last":false,"PMID":"26404001","abstract":"&lt;strong&gt;OBJECTIVE:&lt;/strong&gt; The objective was to pilot a socioculturally tailored church-based stroke prevention program delivered by trained community health workers (CHWs) and to test its effects on participant knowledge scores.&lt;br&gt;&lt;br&gt;&lt;strong&gt;DESIGN AND SAMPLE:&lt;/strong&gt; A single-group, pre-post test pilot study was conducted with a convenience sample of 201 adult African-Americans recruited from nine churches in three Alabama counties. Measurements included participant weight, blood pressure (BP), physical activity level; knowledge related to hypertension, heart disease, and stroke; cigarette smoking; and access to care, as well as the Stages of Change constructs within the Transtheoretical Model. The intervention was a six-session group-based health education program delivered by trained CHWs.&lt;br&gt;&lt;br&gt;&lt;strong&gt;MEASURES:&lt;/strong&gt; Measurements included participant weight, blood pressure (BP), physical activity level; knowledge related to hypertension, heart disease, and stroke; cigarette smoking; and access to care, as well as the Stages of Change constructs within the Transtheoretical Model. The intervention was a six-session group-based health education program delivered by trained CHWs.&lt;br&gt;&lt;br&gt;&lt;strong&gt;RESULTS:&lt;/strong&gt; From baseline to 12 weeks, knowledge increased significantly (p &lt;  .001). Systolic BP measures improved (p = .0008). More than half of participants lost weight; however, weight change did not reach significance (p = .1380). Most (87%) participants indicated having a medical home at baseline; at the end of the study the percentage increased to 92% (p = .0138).&lt;br&gt;&lt;br&gt;&lt;strong&gt;CONCLUSION:&lt;/strong&gt; A church-based intervention delivered by trained CHWs is feasible and may be a promising public health strategy to increase knowledge regarding hypertension and stroke prevention among African-Americans.&lt;br&gt;&lt;br&gt;© 2015 Wiley Periodicals, Inc.","author":[{"family":"Williams","given":"Lovoria B"},{"family":"Franklin","given":"Brandi"},{"family":"Evans","given":"Mary B"},{"family":"Jackson","given":"Chazeman"},{"family":"Hill","given":"Alethea"},{"family":"Minor","given":"Michael"}],"authorYearDisplayFormat":false,"citation-label":"5587733","container-title":"Public Health Nursing","container-title-short":"Public Health Nurs.","id":"5587733","invisible":false,"issue":"1","issued":{"date-parts":[["2016","2"]]},"journalAbbreviation":"Public Health Nurs.","page":"11-20","suppress-author":false,"title":"Turn the Beat Around: A Stroke Prevention Program for African-American Churches.","type":"article-journal","volume":"33"},{"DOI":"10.1186/s13063-019-3220-z","First":false,"Last":false,"PMCID":"PMC6360728","PMID":"30717779","abstract":"&lt;strong&gt;BACKGROUND:&lt;/strong&gt; The present randomized controlled trial (RCT) evaluated the effectiveness of a theory-based physical activity (PA) intervention for rural patients with prediabetes. It was hypothesized that a PA intervention program based on the social cognitive theory (SCT) will modify fasting blood sugar (FBS) among rural people with prediabetes, which in turn will result in a decrease in diabetes incidence in the rural area.&lt;br&gt;&lt;br&gt;&lt;strong&gt;METHODS:&lt;/strong&gt; A cluster RCT on prediabetic people was conducted in Ahar, East Azerbaijan Province, Iran. A PA intervention in prediabetes was performed over 16 weeks of follow-ups in 12 villages (six per arm). Residents (n = 272; n = 136 per arm) were invited to participate in the study through rural health care centers during screening for eligibility. Participants in the intervention and control groups were informed of their prediabetic conditions and encouraged to make appropriate changes to their lifestyles to modify their prediabetes. The intervention was an educational program delivered over 16 weeks and involved behavioral change techniques. Through the education program, the intervention group received one session per week lasting about 90 min (a total of 16 sessions). The importance of risk control with PA, the duration of hill climbing, as well as exercise and safety tips were explained in a brochure that was given to the participants. Anthropometric measures, glycemic status, and PA were evaluated at the beginning of the program and after 16 weeks of follow-up.&lt;br&gt;&lt;br&gt;&lt;strong&gt;RESULTS:&lt;/strong&gt; The PA program showed a reduction in FBS mg/dl at 16 weeks (large-effect-size Cohen's d = -0.63, p = 0.001) compared to the control condition. PA intervention led to a large effect size on diastolic blood pressure (BP, - 1.01) and a medium effect size for systolic BP (- 0.57), body mass index (BMI, - 0.33), and weight (- 0.35). Based on generalized linear mixed model analysis, significant reductions in FBS (mg/dl), BMI, weight, and diastolic BP were found in the intervention group compared to the control group.&lt;br&gt;&lt;br&gt;&lt;strong&gt;CONCLUSION:&lt;/strong&gt; Our results support the effectiveness of an SCT-based PA intervention to reduce the risk of prediabetes developing into diabetes among rural patients with prediabetes. Findings suggest that implementation of SCT-based PA intervention for a rural population at risk of diabetes has potential benefits.&lt;br&gt;&lt;br&gt;&lt;strong&gt;TRIAL REGISTRATION:&lt;/strong&gt; Iranian Registry of Clinical Trials, IRCT201607198132N4 . Registered on 1 September 2017. Prospectively registered.","author":[{"family":"Shamizadeh","given":"Tahereh"},{"family":"Jahangiry","given":"Leila"},{"family":"Sarbakhsh","given":"Parvin"},{"family":"Ponnet","given":"Koen"}],"authorYearDisplayFormat":false,"citation-label":"7772659","container-title":"Trials","container-title-short":"Trials","id":"7772659","invisible":false,"issue":"1","issued":{"date-parts":[["2019","2","4"]]},"journalAbbreviation":"Trials","page":"98","suppress-author":false,"title":"Social cognitive theory-based intervention to promote physical activity among prediabetic rural people: a cluster randomized controlled trial.","type":"article-journal","volume":"20"}]</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16,17</w:t>
      </w:r>
      <w:r w:rsidRPr="002B3A17">
        <w:rPr>
          <w:rFonts w:ascii="Arial" w:eastAsia="Times New Roman" w:hAnsi="Arial" w:cs="Arial"/>
          <w:color w:val="000000" w:themeColor="text1"/>
        </w:rPr>
        <w:fldChar w:fldCharType="end"/>
      </w:r>
      <w:r w:rsidRPr="002B3A17">
        <w:rPr>
          <w:rFonts w:ascii="Arial" w:eastAsia="Times New Roman" w:hAnsi="Arial" w:cs="Arial"/>
          <w:color w:val="000000" w:themeColor="text1"/>
        </w:rPr>
        <w:t xml:space="preserve"> Furthermore, the addition of an interpersonal component, the use of group-based activity, can help increase adherence and longevity of change by increase in support by family, friends, and other significant relationships.</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F1000_CSL_CITATION&lt;~#@#~&gt;[{"DOI":"10.1186/1479-5868-10-18","First":false,"Last":false,"PMCID":"PMC3585890","PMID":"23388115","abstract":"&lt;strong&gt;OBJECTIVE:&lt;/strong&gt; Walking groups are increasingly being set up but little is known about their efficacy in promoting physical activity. The present study aims to assess the efficacy of interventions to promote walking in groups to promoting physical activity within adults, and to explore potential moderators of this efficacy.&lt;br&gt;&lt;br&gt;&lt;strong&gt;METHOD:&lt;/strong&gt; Systematic literature review searches were conducted using multiple databases. A random effect model was used for the meta-analysis, with sensitivity analysis.&lt;br&gt;&lt;br&gt;&lt;strong&gt;RESULTS:&lt;/strong&gt; The effect of the interventions (19 studies, 4 572 participants) on physical activity was of medium size (d = 0.52), statistically significant (95%CI 0.32 to 0.71, p &lt;  0.0001), and with large fail-safe of N = 753. Moderator analyses showed that lower quality studies had larger effect sizes than higher quality studies, studies reporting outcomes over six months had larger effect sizes than studies reporting outcomes up to six months, studies that targeted both genders had higher effect sizes than studies that targeted only women, studies that targeted older adults had larger effect sizes than studies that targeted younger adults. No significant differences were found between studies delivered by professionals and those delivered by lay people.&lt;br&gt;&lt;br&gt;&lt;strong&gt;CONCLUSION:&lt;/strong&gt; Interventions to promote walking in groups are efficacious at increasing physical activity. Despite low homogeneity of results, and limitations (e.g. small number of studies using objective measures of physical activity, publication bias), which might have influence the findings, the large fail-safe N suggests these findings are robust. Possible explanations for heterogeneity between studies are discussed, and the need for more investigation of this is highlighted.","author":[{"family":"Kassavou","given":"Aikaterini"},{"family":"Turner","given":"Andrew"},{"family":"French","given":"David P"}],"authorYearDisplayFormat":false,"citation-label":"5884757","container-title":"The International Journal of Behavioral Nutrition and Physical Activity","container-title-short":"Int. J. Behav. Nutr. Phys. Act.","id":"5884757","invisible":false,"issued":{"date-parts":[["2013","2","6"]]},"journalAbbreviation":"Int. J. Behav. Nutr. Phys. Act.","page":"18","suppress-author":false,"title":"Do interventions to promote walking in groups increase physical activity? A meta-analysis.","type":"article-journal","volume":"10"}]</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22</w:t>
      </w:r>
      <w:r w:rsidRPr="002B3A17">
        <w:rPr>
          <w:rFonts w:ascii="Arial" w:eastAsia="Times New Roman" w:hAnsi="Arial" w:cs="Arial"/>
          <w:color w:val="000000" w:themeColor="text1"/>
        </w:rPr>
        <w:fldChar w:fldCharType="end"/>
      </w:r>
      <w:r w:rsidRPr="002B3A17">
        <w:rPr>
          <w:rFonts w:ascii="Arial" w:eastAsia="Times New Roman" w:hAnsi="Arial" w:cs="Arial"/>
          <w:color w:val="000000" w:themeColor="text1"/>
        </w:rPr>
        <w:t xml:space="preserve"> Lastly, intervention on the community level to increase accessibility of the landscape, workplace, or norms of the community, common barriers to behavior change, is crucial for sustained change to an area.</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F1000_CSL_CITATION&lt;~#@#~&gt;[{"DOI":"10.1146/annurev-publhealth-031210-101218","First":false,"Last":false,"PMID":"21091195","abstract":"In the United States, awareness is increasing that medical care alone cannot adequately improve health overall or reduce health disparities without also addressing where and how people live. A critical mass of relevant knowledge has accumulated, documenting associations, exploring pathways and biological mechanisms, and providing a previously unavailable scientific foundation for appreciating the role of social factors in health. We review current knowledge about health effects of social (including economic) factors, knowledge gaps, and research priorities, focusing on upstream social determinants-including economic resources, education, and racial discrimination-that fundamentally shape the downstream determinants, such as behaviors, targeted by most interventions. Research priorities include measuring social factors better, monitoring social factors and health relative to policies, examining health effects of social factors across lifetimes and generations, incrementally elucidating pathways through knowledge linkage, testing multidimensional interventions, and addressing political will as a key barrier to translating knowledge into action.","author":[{"family":"Braveman","given":"Paula"},{"family":"Egerter","given":"Susan"},{"family":"Williams","given":"David R"}],"authorYearDisplayFormat":false,"citation-label":"2037695","container-title":"Annual review of public health","container-title-short":"Annu. Rev. Public Health","id":"2037695","invisible":false,"issued":{"date-parts":[["2011"]]},"journalAbbreviation":"Annu. Rev. Public Health","page":"381-398","suppress-author":false,"title":"The social determinants of health: coming of age.","type":"article-journal","volume":"32"},{"DOI":"10.1111/jrh.12361","First":false,"Last":false,"PMCID":"PMC6744363","PMID":"30865324","abstract":"&lt;strong&gt;PURPOSE:&lt;/strong&gt; The purposes of these analyses were to determine whether Strong Hearts, Healthy Communities (SHHC), a multilevel, cardiovascular disease risk reduction program for overweight, sedentary rural women aged 40 or older, led to improved functional fitness, and if changes in fitness accounted for weight loss associated with program participation.&lt;br&gt;&lt;br&gt;&lt;strong&gt;METHODS:&lt;/strong&gt; Sixteen rural communities were randomized to receive the SHHC intervention or a control program. Both programs involved groups of 12-16 participants. The SHHC program met 1 hour twice a week for 24 weeks where participants engaged in aerobic exercise and progressive strength training. Program content addressed diet and social and environmental influences on heart-healthy behavior. The control group met 1 hour each month for 6 months, covering current dietary and physical activity recommendations. Objective measures of functional fitness included the 30-second arm curl, 30-second chair stand, and 2-minute step test. Self-reported functional fitness was measured by the Physical Functioning Subscale of the MOS Short Form-36 (SF-36 PF).&lt;br&gt;&lt;br&gt;&lt;strong&gt;FINDINGS:&lt;/strong&gt; The SHHC program was associated with increased strength and endurance, as represented by greater improvement in the chair stand and step test; and with increased physical function, as represented by the SF-36 PF. Adjustment for change in aerobic endurance, as measured by the step test, accounted for two-thirds of the intervention effect on weight loss at the end of the intervention.&lt;br&gt;&lt;br&gt;&lt;strong&gt;CONCLUSIONS:&lt;/strong&gt; SHHC participants experienced improved performance on objective measures of functional fitness and self-reported measures of physical function, and changes in weight were partially accounted for by changes in aerobic fitness.&lt;br&gt;&lt;br&gt;© 2019 National Rural Health Association.","author":[{"family":"Pullyblank","given":"Kristin"},{"family":"Strogatz","given":"David"},{"family":"Folta","given":"Sara C"},{"family":"Paul","given":"Lynn"},{"family":"Nelson","given":"Miriam E"},{"family":"Graham","given":"Meredith"},{"family":"Marshall","given":"Grace A"},{"family":"Eldridge","given":"Galen"},{"family":"Parry","given":"Stephen A"},{"family":"Mebust","given":"Sean"},{"family":"Seguin","given":"Rebecca A"}],"authorYearDisplayFormat":false,"citation-label":"6636850","container-title":"The Journal of Rural Health","container-title-short":"J. Rural Health","id":"6636850","invisible":false,"issued":{"date-parts":[["2019","3","13"]]},"journalAbbreviation":"J. Rural Health","suppress-author":false,"title":"Effects of the strong hearts, healthy communities intervention on functional fitness of rural women.","type":"article-journal"},{"DOI":"10.1111/j.1748-0361.2012.00442.x","First":false,"Last":false,"PMCID":"PMC3695442","PMID":"23802927","abstract":"&lt;strong&gt;PURPOSE:&lt;/strong&gt; To compare 2 strategies, stage-matched nursing and community intervention (SMN+CI) and community intervention (CI) alone in changing cardiovascular risk factors in up to 3 behavioral areas: diet, physical activity, and/or smoking among rural women.&lt;br&gt;&lt;br&gt;&lt;strong&gt;METHODS:&lt;/strong&gt; A 14-month, multisite randomized controlled trial of 117 rural women was conducted. Transtheoretical model was used in identification of stage of change and development of the SMN+CI nursing interventions. A social-ecological model was used to address issues of rurality in the development of interventions.&lt;br&gt;&lt;br&gt;&lt;strong&gt;FINDINGS:&lt;/strong&gt; The SMN + CI group was superior on 4 outcomes. There were significant increases in 2 measures of dietary intake; improvement in dietary stage of change for fruits and vegetables; and reduced diastolic blood pressure (DBP) in the SMN + CI group. After log transformation DBP significance was lost. The CI group had a significant reduction in change in total cholesterol; however, significance was lost after control for the initiation of lipid lowering medications. There was a significant reduction in Framingham risk scores pre- to postintervention, regardless of group.&lt;br&gt;&lt;br&gt;&lt;strong&gt;CONCLUSIONS:&lt;/strong&gt; There continues to be a need to improve cardiovascular risk factors in rural women. There should be an exploration of whether intensified dose and fidelity of the intervention strategies of diet and physical activity are effective in improving anthropometric and laboratory values. Further investigation is warranted into factors influencing the pre- to postreduction in Framingham risk scores.&lt;br&gt;&lt;br&gt;© 2012 National Rural Health Association.","author":[{"family":"Fahs","given":"Pamela Stewart"},{"family":"Pribulick","given":"Margaret"},{"family":"Williams","given":"Ishan Canty"},{"family":"James","given":"Gary D"},{"family":"Rovnyak","given":"Virginia"},{"family":"Seibold-Simpson","given":"Susan M"}],"authorYearDisplayFormat":false,"citation-label":"7666491","container-title":"The Journal of Rural Health","container-title-short":"J. Rural Health","id":"7666491","invisible":false,"issue":"3","issued":{"date-parts":[["2013","6"]]},"journalAbbreviation":"J. Rural Health","page":"248-257","suppress-author":false,"title":"Promoting heart health in rural women.","type":"article-journal","volume":"29"}]</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18,20,23</w:t>
      </w:r>
      <w:r w:rsidRPr="002B3A17">
        <w:rPr>
          <w:rFonts w:ascii="Arial" w:eastAsia="Times New Roman" w:hAnsi="Arial" w:cs="Arial"/>
          <w:color w:val="000000" w:themeColor="text1"/>
        </w:rPr>
        <w:fldChar w:fldCharType="end"/>
      </w:r>
    </w:p>
    <w:p w14:paraId="7A535368" w14:textId="72BEDE6C" w:rsidR="0097493D" w:rsidRPr="002B3A17" w:rsidRDefault="0097493D" w:rsidP="0097493D">
      <w:pPr>
        <w:spacing w:line="480" w:lineRule="auto"/>
        <w:ind w:firstLine="720"/>
        <w:rPr>
          <w:rFonts w:ascii="Arial" w:eastAsia="Times New Roman" w:hAnsi="Arial" w:cs="Arial"/>
          <w:color w:val="000000" w:themeColor="text1"/>
        </w:rPr>
      </w:pPr>
      <w:r w:rsidRPr="002B3A17">
        <w:rPr>
          <w:rFonts w:ascii="Arial" w:eastAsia="Times New Roman" w:hAnsi="Arial" w:cs="Arial"/>
          <w:color w:val="000000" w:themeColor="text1"/>
        </w:rPr>
        <w:t>There are positive results for implementation of the SEM as it relates to cardiovascular risk factors, specifically reduction in BP, in rural Americans, as a recent program implemented in Minnesota found a significant increase in percentage of population at target BP (6.2% in intervention, 2.0% in control) as well as a small but significant decrease in SBP and DBP of 0.7 and 1.7 mmHg respectively, while the control group had increases in SBP and DBP of 1.4 and 0.1 mmHg respectively.</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F1000_CSL_CITATION&lt;~#@#~&gt;[{"DOI":"10.1016/j.ahj.2016.02.006","First":false,"Last":false,"PMID":"27179725","abstract":"&lt;strong&gt;BACKGROUND:&lt;/strong&gt; Population-based interventions aimed at reducing cardiovascular disease (CVD) hold significant potential and will be increasingly relied upon as the model for health care changes in the United States.&lt;br&gt;&lt;br&gt;&lt;strong&gt;METHODS:&lt;/strong&gt; The Heart of New Ulm Project is a population-based project with health care, community, and workplace interventions addressing multiple levels of the social-ecological model designed to reduce modifiable CVD risk factors in rural New Ulm, MN. The community is served by one health system, enabling the use of electronic health record data for surveillance. Electronic health record data were extracted at baseline (2008-2009) and 2 follow-up periods (2010-2011, 2012-2013) for residents aged 40 to 79 years. Generalized estimating equations were used to fit longitudinal models of the risk factors.&lt;br&gt;&lt;br&gt;&lt;strong&gt;RESULTS:&lt;/strong&gt; Of 7,855 residents in the target population, 80% had electronic health record data for each period. The prevalence of at goal (blood pressure [BP] &lt; 140/90 mm Hg) and (low-density lipoprotein cholesterol [LDL-C] &lt; 130 mg/dL) increased from 79.3% to 86.4% and 68.9% to 71.1%, respectively, from baseline to 5 years, with the largest reductions in BP and LDL-C seen in individuals not at goal at baseline. Blood pressure and lipid-lowering medication use increased from 41.8% to 44.0% and 25.3% to 29.1%, respectively. The proportion at goal for glucose increased from 46.9% to 48.2%. The prevalence body mass index &lt; 30 kg/m(2) (55%) did not change, whereas the proportion at-goal for high-density lipoprotein decreased from 63.8% to 58%, and smoking showed an increase from 11.3% to 13.6%.&lt;br&gt;&lt;br&gt;&lt;strong&gt;CONCLUSION:&lt;/strong&gt; In a community participating in a multifaceted, population-based project aimed at reducing modifiable CVD risk factors, significant improvements in BP, LDL-C, and glucose were observed for 5 years, and body mass index remained stable in a state where obesity was increasing.&lt;br&gt;&lt;br&gt;Copyright © 2016 Elsevier Inc. All rights reserved.","author":[{"family":"Sidebottom","given":"Abbey C"},{"family":"Sillah","given":"Arthur"},{"family":"Miedema","given":"Michael D"},{"family":"Vock","given":"David M"},{"family":"Pereira","given":"Raquel"},{"family":"Benson","given":"Gretchen"},{"family":"Boucher","given":"Jackie L"},{"family":"Knickelbine","given":"Thomas"},{"family":"Lindberg","given":"Rebecca"},{"family":"VanWormer","given":"Jeffrey J"}],"authorYearDisplayFormat":false,"citation-label":"7785300","container-title":"American Heart Journal","container-title-short":"Am. Heart J.","id":"7785300","invisible":false,"issued":{"date-parts":[["2016","2","17"]]},"journalAbbreviation":"Am. Heart J.","page":"66-76","suppress-author":false,"title":"Changes in cardiovascular risk factors after 5 years of implementation of a population-based program to reduce cardiovascular disease: The Heart of New Ulm Project.","type":"article-journal","volume":"175"},{"DOI":"10.1016/j.ypmed.2018.04.016","First":false,"Last":false,"PMID":"29634974","abstract":"The Heart of New Ulm Project (HONU), is a population-based project designed to reduce modifiable cardiovascular disease (CVD) risk factors in the rural community of New Ulm, MN. HONU interventions address multiple levels of the social-ecological model. The community is served by one health system, enabling the use of electronic health record (EHR) data for surveillance. The purpose of this study was to assess if trends in CVD risk factors and healthcare utilization differed between a cohort of New Ulm residents age 40-79 and matched controls selected from a similar community, using EHR data from baseline (2008-2009) through three follow up time periods (2010-2011, 2012-2013, 2014-2015). Matching, using covariate balance sparse technique, yielded a sample of 4077 New Ulm residents and 4077 controls. We used mixed effects longitudinal models to examine trends over time between the two groups. Blood pressure, total cholesterol, low-density lipoprotein-cholesterol, and triglycerides showed better management in New Ulm over time compared to the controls. The proportion of residents in New Ulm with controlled blood pressure increased by 6.2 percentage points compared to an increase of 2 points in controls (p &lt;  0.0001). As the cohort aged, 10-year ASCVD risk scores increased less in New Ulm (5.1) than the comparison community (5.9). The intervention and control community did not differ with regard to inpatient stays, smoking, or glucose. Findings suggest efficacy for the HONU project interventions for some outcomes.&lt;br&gt;&lt;br&gt;Copyright © 2018 The Authors. Published by Elsevier Inc. All rights reserved.","author":[{"family":"Sidebottom","given":"Abbey C"},{"family":"Sillah","given":"Arthur"},{"family":"Vock","given":"David M"},{"family":"Miedema","given":"Michael D"},{"family":"Pereira","given":"Raquel"},{"family":"Benson","given":"Gretchen"},{"family":"Lindberg","given":"Rebecca"},{"family":"Boucher","given":"Jackie L"},{"family":"Knickelbine","given":"Thomas"},{"family":"VanWormer","given":"Jeffrey J"}],"authorYearDisplayFormat":false,"citation-label":"7785297","container-title":"Preventive Medicine","container-title-short":"Prev. Med.","id":"7785297","invisible":false,"issued":{"date-parts":[["2018","4","7"]]},"journalAbbreviation":"Prev. Med.","page":"216-221","suppress-author":false,"title":"Assessing the impact of the heart of New Ulm Project on cardiovascular disease risk factors: A population-based program to reduce cardiovascular disease.","type":"article-journal","volume":"112"}]</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24,25</w:t>
      </w:r>
      <w:r w:rsidRPr="002B3A17">
        <w:rPr>
          <w:rFonts w:ascii="Arial" w:eastAsia="Times New Roman" w:hAnsi="Arial" w:cs="Arial"/>
          <w:color w:val="000000" w:themeColor="text1"/>
        </w:rPr>
        <w:fldChar w:fldCharType="end"/>
      </w:r>
      <w:r w:rsidRPr="002B3A17">
        <w:rPr>
          <w:rFonts w:ascii="Arial" w:eastAsia="Times New Roman" w:hAnsi="Arial" w:cs="Arial"/>
          <w:color w:val="000000" w:themeColor="text1"/>
        </w:rPr>
        <w:t xml:space="preserve"> Overall, established programs implementing the SEM to target individual and community change around activity and cardiovascular risk factors such as high BP were successful, indicating strong evidence for the use of this behavior change model for the program.</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F1000_CSL_CITATION&lt;~#@#~&gt;[{"DOI":"10.1111/j.1748-0361.2012.00442.x","First":false,"Last":false,"PMCID":"PMC3695442","PMID":"23802927","abstract":"&lt;strong&gt;PURPOSE:&lt;/strong&gt; To compare 2 strategies, stage-matched nursing and community intervention (SMN+CI) and community intervention (CI) alone in changing cardiovascular risk factors in up to 3 behavioral areas: diet, physical activity, and/or smoking among rural women.&lt;br&gt;&lt;br&gt;&lt;strong&gt;METHODS:&lt;/strong&gt; A 14-month, multisite randomized controlled trial of 117 rural women was conducted. Transtheoretical model was used in identification of stage of change and development of the SMN+CI nursing interventions. A social-ecological model was used to address issues of rurality in the development of interventions.&lt;br&gt;&lt;br&gt;&lt;strong&gt;FINDINGS:&lt;/strong&gt; The SMN + CI group was superior on 4 outcomes. There were significant increases in 2 measures of dietary intake; improvement in dietary stage of change for fruits and vegetables; and reduced diastolic blood pressure (DBP) in the SMN + CI group. After log transformation DBP significance was lost. The CI group had a significant reduction in change in total cholesterol; however, significance was lost after control for the initiation of lipid lowering medications. There was a significant reduction in Framingham risk scores pre- to postintervention, regardless of group.&lt;br&gt;&lt;br&gt;&lt;strong&gt;CONCLUSIONS:&lt;/strong&gt; There continues to be a need to improve cardiovascular risk factors in rural women. There should be an exploration of whether intensified dose and fidelity of the intervention strategies of diet and physical activity are effective in improving anthropometric and laboratory values. Further investigation is warranted into factors influencing the pre- to postreduction in Framingham risk scores.&lt;br&gt;&lt;br&gt;© 2012 National Rural Health Association.","author":[{"family":"Fahs","given":"Pamela Stewart"},{"family":"Pribulick","given":"Margaret"},{"family":"Williams","given":"Ishan Canty"},{"family":"James","given":"Gary D"},{"family":"Rovnyak","given":"Virginia"},{"family":"Seibold-Simpson","given":"Susan M"}],"authorYearDisplayFormat":false,"citation-label":"7666491","container-title":"The Journal of Rural Health","container-title-short":"J. Rural Health","id":"7666491","invisible":false,"issue":"3","issued":{"date-parts":[["2013","6"]]},"journalAbbreviation":"J. Rural Health","page":"248-257","suppress-author":false,"title":"Promoting heart health in rural women.","type":"article-journal","volume":"29"},{"DOI":"10.1016/j.ahj.2016.02.006","First":false,"Last":false,"PMID":"27179725","abstract":"&lt;strong&gt;BACKGROUND:&lt;/strong&gt; Population-based interventions aimed at reducing cardiovascular disease (CVD) hold significant potential and will be increasingly relied upon as the model for health care changes in the United States.&lt;br&gt;&lt;br&gt;&lt;strong&gt;METHODS:&lt;/strong&gt; The Heart of New Ulm Project is a population-based project with health care, community, and workplace interventions addressing multiple levels of the social-ecological model designed to reduce modifiable CVD risk factors in rural New Ulm, MN. The community is served by one health system, enabling the use of electronic health record data for surveillance. Electronic health record data were extracted at baseline (2008-2009) and 2 follow-up periods (2010-2011, 2012-2013) for residents aged 40 to 79 years. Generalized estimating equations were used to fit longitudinal models of the risk factors.&lt;br&gt;&lt;br&gt;&lt;strong&gt;RESULTS:&lt;/strong&gt; Of 7,855 residents in the target population, 80% had electronic health record data for each period. The prevalence of at goal (blood pressure [BP] &lt; 140/90 mm Hg) and (low-density lipoprotein cholesterol [LDL-C] &lt; 130 mg/dL) increased from 79.3% to 86.4% and 68.9% to 71.1%, respectively, from baseline to 5 years, with the largest reductions in BP and LDL-C seen in individuals not at goal at baseline. Blood pressure and lipid-lowering medication use increased from 41.8% to 44.0% and 25.3% to 29.1%, respectively. The proportion at goal for glucose increased from 46.9% to 48.2%. The prevalence body mass index &lt; 30 kg/m(2) (55%) did not change, whereas the proportion at-goal for high-density lipoprotein decreased from 63.8% to 58%, and smoking showed an increase from 11.3% to 13.6%.&lt;br&gt;&lt;br&gt;&lt;strong&gt;CONCLUSION:&lt;/strong&gt; In a community participating in a multifaceted, population-based project aimed at reducing modifiable CVD risk factors, significant improvements in BP, LDL-C, and glucose were observed for 5 years, and body mass index remained stable in a state where obesity was increasing.&lt;br&gt;&lt;br&gt;Copyright © 2016 Elsevier Inc. All rights reserved.","author":[{"family":"Sidebottom","given":"Abbey C"},{"family":"Sillah","given":"Arthur"},{"family":"Miedema","given":"Michael D"},{"family":"Vock","given":"David M"},{"family":"Pereira","given":"Raquel"},{"family":"Benson","given":"Gretchen"},{"family":"Boucher","given":"Jackie L"},{"family":"Knickelbine","given":"Thomas"},{"family":"Lindberg","given":"Rebecca"},{"family":"VanWormer","given":"Jeffrey J"}],"authorYearDisplayFormat":false,"citation-label":"7785300","container-title":"American Heart Journal","container-title-short":"Am. Heart J.","id":"7785300","invisible":false,"issued":{"date-parts":[["2016","2","17"]]},"journalAbbreviation":"Am. Heart J.","page":"66-76","suppress-author":false,"title":"Changes in cardiovascular risk factors after 5 years of implementation of a population-based program to reduce cardiovascular disease: The Heart of New Ulm Project.","type":"article-journal","volume":"175"},{"DOI":"10.1016/j.ypmed.2018.04.016","First":false,"Last":false,"PMID":"29634974","abstract":"The Heart of New Ulm Project (HONU), is a population-based project designed to reduce modifiable cardiovascular disease (CVD) risk factors in the rural community of New Ulm, MN. HONU interventions address multiple levels of the social-ecological model. The community is served by one health system, enabling the use of electronic health record (EHR) data for surveillance. The purpose of this study was to assess if trends in CVD risk factors and healthcare utilization differed between a cohort of New Ulm residents age 40-79 and matched controls selected from a similar community, using EHR data from baseline (2008-2009) through three follow up time periods (2010-2011, 2012-2013, 2014-2015). Matching, using covariate balance sparse technique, yielded a sample of 4077 New Ulm residents and 4077 controls. We used mixed effects longitudinal models to examine trends over time between the two groups. Blood pressure, total cholesterol, low-density lipoprotein-cholesterol, and triglycerides showed better management in New Ulm over time compared to the controls. The proportion of residents in New Ulm with controlled blood pressure increased by 6.2 percentage points compared to an increase of 2 points in controls (p &lt;  0.0001). As the cohort aged, 10-year ASCVD risk scores increased less in New Ulm (5.1) than the comparison community (5.9). The intervention and control community did not differ with regard to inpatient stays, smoking, or glucose. Findings suggest efficacy for the HONU project interventions for some outcomes.&lt;br&gt;&lt;br&gt;Copyright © 2018 The Authors. Published by Elsevier Inc. All rights reserved.","author":[{"family":"Sidebottom","given":"Abbey C"},{"family":"Sillah","given":"Arthur"},{"family":"Vock","given":"David M"},{"family":"Miedema","given":"Michael D"},{"family":"Pereira","given":"Raquel"},{"family":"Benson","given":"Gretchen"},{"family":"Lindberg","given":"Rebecca"},{"family":"Boucher","given":"Jackie L"},{"family":"Knickelbine","given":"Thomas"},{"family":"VanWormer","given":"Jeffrey J"}],"authorYearDisplayFormat":false,"citation-label":"7785297","container-title":"Preventive Medicine","container-title-short":"Prev. Med.","id":"7785297","invisible":false,"issued":{"date-parts":[["2018","4","7"]]},"journalAbbreviation":"Prev. Med.","page":"216-221","suppress-author":false,"title":"Assessing the impact of the heart of New Ulm Project on cardiovascular disease risk factors: A population-based program to reduce cardiovascular disease.","type":"article-journal","volume":"112"}]</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20,24,25</w:t>
      </w:r>
      <w:r w:rsidRPr="002B3A17">
        <w:rPr>
          <w:rFonts w:ascii="Arial" w:eastAsia="Times New Roman" w:hAnsi="Arial" w:cs="Arial"/>
          <w:color w:val="000000" w:themeColor="text1"/>
        </w:rPr>
        <w:fldChar w:fldCharType="end"/>
      </w:r>
      <w:r w:rsidRPr="002B3A17">
        <w:rPr>
          <w:rFonts w:ascii="Arial" w:eastAsia="Times New Roman" w:hAnsi="Arial" w:cs="Arial"/>
          <w:color w:val="000000" w:themeColor="text1"/>
        </w:rPr>
        <w:t xml:space="preserve"> </w:t>
      </w:r>
    </w:p>
    <w:p w14:paraId="2DA295AD" w14:textId="33FA47DC" w:rsidR="0097493D" w:rsidRPr="002B3A17" w:rsidRDefault="0097493D" w:rsidP="0097493D">
      <w:pPr>
        <w:spacing w:line="480" w:lineRule="auto"/>
        <w:ind w:firstLine="720"/>
        <w:rPr>
          <w:rFonts w:ascii="Arial" w:eastAsia="Times New Roman" w:hAnsi="Arial" w:cs="Arial"/>
          <w:color w:val="000000" w:themeColor="text1"/>
        </w:rPr>
      </w:pPr>
      <w:r w:rsidRPr="002B3A17">
        <w:rPr>
          <w:rFonts w:ascii="Arial" w:eastAsia="Times New Roman" w:hAnsi="Arial" w:cs="Arial"/>
          <w:color w:val="000000" w:themeColor="text1"/>
        </w:rPr>
        <w:t>The 6-minute walk test (6MWT) is a validated measure of walking endurance that has been validated for many different populations and conditions, and for which there are validated prediction equations that can be used to identify patient-specific age-predicted norms.</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First":false,"Last":false,"URL":"https://www.thecardiologyadvisor.com/home/decision-support-in-medicine/cardiology/the-6-minute-walk-test/","accessed":{"date-parts":[["2019","11","18"]]},"authorYearDisplayFormat":false,"citation-label":"7789361","id":"7789361","invisible":false,"issued":{"date-parts":[[]]},"suppress-author":false,"title":"The 6 Minute Walk Test - The Cardiology Advisor","type":"webpage"},{"DOI":"10.1371/journal.pone.0139629","First":false,"Last":false,"PMCID":"PMC4587898","PMID":"26418238","abstract":"&lt;strong&gt;OBJECTIVE:&lt;/strong&gt; This study compared actual 6 minute walk test (6MWT) performance with predicted 6MWT using previously validated equations and then determined whether allometric modelling offers a sounder alternative to estimating 6MWT in adults aged 50-80 years.&lt;br&gt;&lt;br&gt;&lt;strong&gt;METHODS:&lt;/strong&gt; We compared actual 6MWT performance against predicted 6MWT in 125 adults aged 50-85 years (62 male, 63 female). In a second sample of 246 adults aged 50-85 years (74 male, 172 female), a new prediction equation for 6MWT performance was developed using allometric modelling. This equation was then cross validated using the same sample that the other prediction equations were compared with.&lt;br&gt;&lt;br&gt;&lt;strong&gt;RESULTS:&lt;/strong&gt; Significant relationships were evident between 6MWT actual and 6MWT predicted using all of the commonly available prediction equations (all P&lt; 0.05 or better) with the exception of the Alameri et al prediction equation (P&gt;0.05). A series of paired t-tests indicated significant differences between 6MWT actual and 6MWT predicted for all available prediction equations (all P&lt; 0.05 or better) with the exception of the Iwama et al equation (P = .540). The Iwama et al equation also had similar bias (79.8m) and a coefficient of variation of over 15%. Using sample 2, a log-linear model significantly predicted 6MWT from the log of body mass and height and age (P = 0.001, adjusted R2 = .526), predicting 52.6% of the variance in actual 6MWT. When this allometric equation was applied to the original sample, the relationship between 6MWT actual and 6MWT predicted was in excess of values reported for the other previously validated prediction equations (r = .706, P = 0.001). There was a significant difference between actual 6MWT and 6MWT predicted using this new equation (P = 0.001) but the bias, standard deviation of differences and coefficient of variation were all less than for the other equations.&lt;br&gt;&lt;br&gt;&lt;strong&gt;CONCLUSIONS:&lt;/strong&gt; Where actual assessment of the 6MWT is not possible, the allometrically derived equation presented in the current study, offers a viable alternative which has been cross validated and has the least SD of differences and smallest coefficient of variation compared to any of the previously validated equations for the 6MWT.","author":[{"family":"Duncan","given":"Michael J"},{"family":"Mota","given":"Jorge"},{"family":"Carvalho","given":"Joana"},{"family":"Nevill","given":"Alan M"}],"authorYearDisplayFormat":false,"citation-label":"2408012","container-title":"Plos One","container-title-short":"PLoS ONE","id":"2408012","invisible":false,"issue":"9","issued":{"date-parts":[["2015","9","29"]]},"journalAbbreviation":"PLoS ONE","page":"e0139629","suppress-author":false,"title":"An Evaluation of Prediction Equations for the 6 Minute Walk Test in Healthy European Adults Aged 50-85 Years.","type":"article-journal","volume":"10"},{"First":false,"Last":false,"URL":"https://www.sralab.org/rehabilitation-measures/6-minute-walk-test","accessed":{"date-parts":[["2019","11","13"]]},"authorYearDisplayFormat":false,"citation-label":"7760941","id":"7760941","invisible":false,"issued":{"date-parts":[[]]},"suppress-author":false,"title":"6 Minute Walk Test | RehabMeasures Database","type":"webpage"}]</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26–28</w:t>
      </w:r>
      <w:r w:rsidRPr="002B3A17">
        <w:rPr>
          <w:rFonts w:ascii="Arial" w:eastAsia="Times New Roman" w:hAnsi="Arial" w:cs="Arial"/>
          <w:color w:val="000000" w:themeColor="text1"/>
        </w:rPr>
        <w:fldChar w:fldCharType="end"/>
      </w:r>
      <w:r w:rsidRPr="002B3A17">
        <w:rPr>
          <w:rFonts w:ascii="Arial" w:eastAsia="Times New Roman" w:hAnsi="Arial" w:cs="Arial"/>
          <w:color w:val="000000" w:themeColor="text1"/>
        </w:rPr>
        <w:t xml:space="preserve"> Although literature on the 6MWT is limited in patients with HTN, </w:t>
      </w:r>
      <w:r w:rsidRPr="002B3A17">
        <w:rPr>
          <w:rFonts w:ascii="Arial" w:eastAsia="Times New Roman" w:hAnsi="Arial" w:cs="Arial"/>
          <w:color w:val="000000" w:themeColor="text1"/>
        </w:rPr>
        <w:lastRenderedPageBreak/>
        <w:t>one study found significantly lower 6MWT distances in patients with HTN compared to healthy controls indicating sensitivity to the patient population.</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F1000_CSL_CITATION&lt;~#@#~&gt;[{"DOI":"10.1038/hr.2014.59","First":false,"Last":false,"PMID":"24621474","abstract":"This study investigated the association between hemodynamic variables and the 6-minute walk distance (6MWD) in adults with and without hypertension and explored the role of hemodynamic variables as predictors of 6MWD. Patients undergoing antihypertensive medication therapy (n=41) and sex-matched healthy subjects (n=41) were evaluated for their clinical status and cardiovascular risk factors. Two 6-minute walk tests were performed along an 18-m corridor with a 30-minute rest interval. The intraclass correlation (ICC) was high among patients (ICC=0.984 (0.965; 0.992), P&lt; 0.001) and controls (ICC=0.987 (0.832; 0.996), P&lt; 0.001). The patients presented 6MWD values that were significantly lower than those of healthy controls (338.8±112.8 vs. 388.0±66.7 m, P=0.010). In patients, the 6MWD was significantly and positively correlated with sex (0.737; P&lt; 0.001), height (0.502; P&lt; 0.001) and weight (0.303; P=0.027). In addition, negative and significant correlations were observed between 6MWD and the mean (-0.577; P&lt; 0.001), systolic (-0.521; P&lt; 0.001), diastolic (-0.505; P=0.001) and pulse (-0.353; P=0.015) pressures after simultaneous adjustment for age, body height and weight. The same behavior was observed in healthy controls (except for pulse pressure), albeit with lower correlation values. A regression model with sex, age, height and weight explained 52.2% (P&lt; 0.001) of the variance. The highest explained variance in patients (64.8%; P&lt; 0.001) and controls (56.5%; P&lt; 0.001) was observed after replacing the body weight with mean pressure in the model. The 6MWD is inversely associated with hemodynamic variables in both groups and is lower in patients with hypertension compared with healthy controls. Hemodynamic variables, particularly the mean pressure, should be included in prediction equations for 6MWD. ","author":[{"family":"Ramos","given":"Rodrigo A"},{"family":"Guimarães","given":"Fernando S"},{"family":"Cordovil","given":"Ivan"},{"family":"de Sa Ferreira","given":"Arthur"}],"authorYearDisplayFormat":false,"citation-label":"7789803","container-title":"Hypertension Research","container-title-short":"Hypertens. Res.","id":"7789803","invisible":false,"issue":"8","issued":{"date-parts":[["2014","8"]]},"journalAbbreviation":"Hypertens. Res.","page":"746-752","suppress-author":false,"title":"The six-minute walk distance is a marker of hemodynamic-related functional capacity in hypertension: a case-control study.","type":"article-journal","volume":"37"}]</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29</w:t>
      </w:r>
      <w:r w:rsidRPr="002B3A17">
        <w:rPr>
          <w:rFonts w:ascii="Arial" w:eastAsia="Times New Roman" w:hAnsi="Arial" w:cs="Arial"/>
          <w:color w:val="000000" w:themeColor="text1"/>
        </w:rPr>
        <w:fldChar w:fldCharType="end"/>
      </w:r>
      <w:r w:rsidRPr="002B3A17">
        <w:rPr>
          <w:rFonts w:ascii="Arial" w:eastAsia="Times New Roman" w:hAnsi="Arial" w:cs="Arial"/>
          <w:color w:val="000000" w:themeColor="text1"/>
        </w:rPr>
        <w:t xml:space="preserve"> Furthermore, a distance of less than 338 meters has been shown to increase risk of all-cause mortality over 8 years by 1.7 to 2.1 times.</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F1000_CSL_CITATION&lt;~#@#~&gt;[{"DOI":"10.1177/0898264314525665","First":false,"Last":false,"PMCID":"PMC4485950","PMID":"24695552","abstract":"&lt;strong&gt;OBJECTIVE:&lt;/strong&gt; To examine the association between 6-min walk test (6 MWT) performance and all-cause mortality, coronary heart disease mortality, and incident coronary heart disease in older adults.&lt;br&gt;&lt;br&gt;&lt;strong&gt;METHOD:&lt;/strong&gt; We conducted a time-to-event analysis of 1,665 Cardiovascular Health Study participants without prevalent cardiovascular disease with a 6 MWT.&lt;br&gt;&lt;br&gt;&lt;strong&gt;RESULTS:&lt;/strong&gt; During a mean follow-up of 8 years, there were 305 incident coronary heart disease events, and 504 deaths of which 100 were coronary heart disease-related deaths. The 6 MWT performance in the shortest two distance quintiles was associated with increased risk of all-cause mortality (290-338 m: hazard ratio [HR] = 1.7; 95% confidence interval [CI] = [1.2, 2.5]; &lt; 290 m: HR = 2.1; 95% CI = [1.4, 3.0]). The adjusted risk of coronary heart disease mortality incident events among those with a 6 MWT &lt;  290 m was not significant.&lt;br&gt;&lt;br&gt;&lt;strong&gt;DISCUSSION:&lt;/strong&gt; Performance on the 6 MWT is independently associated with all-cause mortality and is of prognostic utility in community-dwelling older adults.&lt;br&gt;&lt;br&gt;© The Author(s) 2014.","author":[{"family":"Yazdanyar","given":"Ali"},{"family":"Aziz","given":"Michael M"},{"family":"Enright","given":"Paul L"},{"family":"Edmundowicz","given":"Daniel"},{"family":"Boudreau","given":"Robert"},{"family":"Sutton-Tyrell","given":"Kim"},{"family":"Kuller","given":"Lewis"},{"family":"Newman","given":"Anne B"}],"authorYearDisplayFormat":false,"citation-label":"5719819","container-title":"Journal of Aging and Health","container-title-short":"J. Aging Health","id":"5719819","invisible":false,"issue":"4","issued":{"date-parts":[["2014","6"]]},"journalAbbreviation":"J. Aging Health","page":"583-599","suppress-author":false,"title":"Association Between 6-Minute Walk Test and All-Cause Mortality, Coronary Heart Disease-Specific Mortality, and Incident Coronary Heart Disease.","type":"article-journal","volume":"26"}]</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30</w:t>
      </w:r>
      <w:r w:rsidRPr="002B3A17">
        <w:rPr>
          <w:rFonts w:ascii="Arial" w:eastAsia="Times New Roman" w:hAnsi="Arial" w:cs="Arial"/>
          <w:color w:val="000000" w:themeColor="text1"/>
        </w:rPr>
        <w:fldChar w:fldCharType="end"/>
      </w:r>
      <w:r w:rsidRPr="002B3A17">
        <w:rPr>
          <w:rFonts w:ascii="Arial" w:eastAsia="Times New Roman" w:hAnsi="Arial" w:cs="Arial"/>
          <w:color w:val="000000" w:themeColor="text1"/>
        </w:rPr>
        <w:t xml:space="preserve"> Lastly, in a study of inactivity in adults, the 6MWT was found to be the best measure (second only to number of steps taken per day) at predicting inactivity in otherwise healthy adults.</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F1000_CSL_CITATION&lt;~#@#~&gt;[{"DOI":"10.1590/1516-3180.2015.00871609","First":false,"Last":false,"PMID":"27027809","abstract":"&lt;strong&gt;CONTEXT AND OBJECTIVES:&lt;/strong&gt; Accelerometry provides objective measurement of physical activity levels, but is unfeasible in clinical practice. Thus, we aimed to identify physical fitness tests capable of predicting physical inactivity among adults.&lt;br&gt;&lt;br&gt;&lt;strong&gt;DESIGN AND SETTING:&lt;/strong&gt; Diagnostic test study developed at a university laboratory and a diagnostic clinic.&lt;br&gt;&lt;br&gt;&lt;strong&gt;METHODS:&lt;/strong&gt; 188 asymptomatic subjects underwent assessment of physical activity levels through accelerometry, ergospirometry on treadmill, body composition from bioelectrical impedance, isokinetic muscle function, postural balance on a force platform and six-minute walk test. We conducted descriptive analysis and multiple logistic regression including age, sex, oxygen uptake, body fat, center of pressure, quadriceps peak torque, distance covered in six-minute walk test and steps/day in the model, as predictors of physical inactivity. We also determined sensitivity (S), specificity (Sp) and area under the curve of the main predictors by means of receiver operating characteristic curves.&lt;br&gt;&lt;br&gt;&lt;strong&gt;RESULTS:&lt;/strong&gt; The prevalence of physical inactivity was 14%. The mean number of steps/day (≤ 5357) was the best predictor of physical inactivity (S = 99%; Sp = 82%). The best physical fitness test was a distance in the six-minute walk test and ≤ 96% of predicted values (S = 70%; Sp = 80%). Body fat &gt; 25% was also significant (S = 83%; Sp = 51%). After logistic regression, steps/day and distance in the six-minute walk test remained predictors of physical inactivity.&lt;br&gt;&lt;br&gt;&lt;strong&gt;CONCLUSION:&lt;/strong&gt; The six-minute walk test should be included in epidemiological studies as a simple and cheap tool for screening for physical inactivity.","author":[{"family":"Sperandio","given":"Evandro Fornias"},{"family":"Arantes","given":"Rodolfo Leite"},{"family":"da Silva","given":"Rodrigo Pereira"},{"family":"Matheus","given":"Agatha Caveda"},{"family":"Lauria","given":"Vinícius Tonon"},{"family":"Bianchim","given":"Mayara Silveira"},{"family":"Romiti","given":"Marcello"},{"family":"Gagliardi","given":"Antônio Ricardo de Toledo"},{"family":"Dourado","given":"Victor Zuniga"}],"authorYearDisplayFormat":false,"citation-label":"4209622","container-title":"Sao Paulo Medical Journal","container-title-short":"Sao Paulo Med. J.","id":"4209622","invisible":false,"issue":"1","issued":{"date-parts":[["2016","2"]]},"journalAbbreviation":"Sao Paulo Med. J.","page":"56-62","suppress-author":false,"title":"Screening for physical inactivity among adults: the value of distance walked in the six-minute walk test. A cross-sectional diagnostic study.","type":"article-journal","volume":"134"}]</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31</w:t>
      </w:r>
      <w:r w:rsidRPr="002B3A17">
        <w:rPr>
          <w:rFonts w:ascii="Arial" w:eastAsia="Times New Roman" w:hAnsi="Arial" w:cs="Arial"/>
          <w:color w:val="000000" w:themeColor="text1"/>
        </w:rPr>
        <w:fldChar w:fldCharType="end"/>
      </w:r>
      <w:r w:rsidRPr="002B3A17">
        <w:rPr>
          <w:rFonts w:ascii="Arial" w:eastAsia="Times New Roman" w:hAnsi="Arial" w:cs="Arial"/>
          <w:color w:val="000000" w:themeColor="text1"/>
        </w:rPr>
        <w:t xml:space="preserve"> Overall this measure is valid, has validated predicted norms, is simple to perform, and able to predict significant risks and outcomes in the population of interest.</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First":false,"Last":false,"URL":"https://www.sralab.org/rehabilitation-measures/6-minute-walk-test","accessed":{"date-parts":[["2019","11","13"]]},"authorYearDisplayFormat":false,"citation-label":"7760941","id":"7760941","invisible":false,"issued":{"date-parts":[[]]},"suppress-author":false,"title":"6 Minute Walk Test | RehabMeasures Database","type":"webpage"},{"First":false,"Last":false,"URL":"https://www.thecardiologyadvisor.com/home/decision-support-in-medicine/cardiology/the-6-minute-walk-test/","accessed":{"date-parts":[["2019","11","18"]]},"authorYearDisplayFormat":false,"citation-label":"7789361","id":"7789361","invisible":false,"issued":{"date-parts":[[]]},"suppress-author":false,"title":"The 6 Minute Walk Test - The Cardiology Advisor","type":"webpage"},{"DOI":"10.1371/journal.pone.0139629","First":false,"Last":false,"PMCID":"PMC4587898","PMID":"26418238","abstract":"&lt;strong&gt;OBJECTIVE:&lt;/strong&gt; This study compared actual 6 minute walk test (6MWT) performance with predicted 6MWT using previously validated equations and then determined whether allometric modelling offers a sounder alternative to estimating 6MWT in adults aged 50-80 years.&lt;br&gt;&lt;br&gt;&lt;strong&gt;METHODS:&lt;/strong&gt; We compared actual 6MWT performance against predicted 6MWT in 125 adults aged 50-85 years (62 male, 63 female). In a second sample of 246 adults aged 50-85 years (74 male, 172 female), a new prediction equation for 6MWT performance was developed using allometric modelling. This equation was then cross validated using the same sample that the other prediction equations were compared with.&lt;br&gt;&lt;br&gt;&lt;strong&gt;RESULTS:&lt;/strong&gt; Significant relationships were evident between 6MWT actual and 6MWT predicted using all of the commonly available prediction equations (all P&lt; 0.05 or better) with the exception of the Alameri et al prediction equation (P&gt;0.05). A series of paired t-tests indicated significant differences between 6MWT actual and 6MWT predicted for all available prediction equations (all P&lt; 0.05 or better) with the exception of the Iwama et al equation (P = .540). The Iwama et al equation also had similar bias (79.8m) and a coefficient of variation of over 15%. Using sample 2, a log-linear model significantly predicted 6MWT from the log of body mass and height and age (P = 0.001, adjusted R2 = .526), predicting 52.6% of the variance in actual 6MWT. When this allometric equation was applied to the original sample, the relationship between 6MWT actual and 6MWT predicted was in excess of values reported for the other previously validated prediction equations (r = .706, P = 0.001). There was a significant difference between actual 6MWT and 6MWT predicted using this new equation (P = 0.001) but the bias, standard deviation of differences and coefficient of variation were all less than for the other equations.&lt;br&gt;&lt;br&gt;&lt;strong&gt;CONCLUSIONS:&lt;/strong&gt; Where actual assessment of the 6MWT is not possible, the allometrically derived equation presented in the current study, offers a viable alternative which has been cross validated and has the least SD of differences and smallest coefficient of variation compared to any of the previously validated equations for the 6MWT.","author":[{"family":"Duncan","given":"Michael J"},{"family":"Mota","given":"Jorge"},{"family":"Carvalho","given":"Joana"},{"family":"Nevill","given":"Alan M"}],"authorYearDisplayFormat":false,"citation-label":"2408012","container-title":"Plos One","container-title-short":"PLoS ONE","id":"2408012","invisible":false,"issue":"9","issued":{"date-parts":[["2015","9","29"]]},"journalAbbreviation":"PLoS ONE","page":"e0139629","suppress-author":false,"title":"An Evaluation of Prediction Equations for the 6 Minute Walk Test in Healthy European Adults Aged 50-85 Years.","type":"article-journal","volume":"10"},{"DOI":"10.1177/0898264314525665","First":false,"Last":false,"PMCID":"PMC4485950","PMID":"24695552","abstract":"&lt;strong&gt;OBJECTIVE:&lt;/strong&gt; To examine the association between 6-min walk test (6 MWT) performance and all-cause mortality, coronary heart disease mortality, and incident coronary heart disease in older adults.&lt;br&gt;&lt;br&gt;&lt;strong&gt;METHOD:&lt;/strong&gt; We conducted a time-to-event analysis of 1,665 Cardiovascular Health Study participants without prevalent cardiovascular disease with a 6 MWT.&lt;br&gt;&lt;br&gt;&lt;strong&gt;RESULTS:&lt;/strong&gt; During a mean follow-up of 8 years, there were 305 incident coronary heart disease events, and 504 deaths of which 100 were coronary heart disease-related deaths. The 6 MWT performance in the shortest two distance quintiles was associated with increased risk of all-cause mortality (290-338 m: hazard ratio [HR] = 1.7; 95% confidence interval [CI] = [1.2, 2.5]; &lt; 290 m: HR = 2.1; 95% CI = [1.4, 3.0]). The adjusted risk of coronary heart disease mortality incident events among those with a 6 MWT &lt;  290 m was not significant.&lt;br&gt;&lt;br&gt;&lt;strong&gt;DISCUSSION:&lt;/strong&gt; Performance on the 6 MWT is independently associated with all-cause mortality and is of prognostic utility in community-dwelling older adults.&lt;br&gt;&lt;br&gt;© The Author(s) 2014.","author":[{"family":"Yazdanyar","given":"Ali"},{"family":"Aziz","given":"Michael M"},{"family":"Enright","given":"Paul L"},{"family":"Edmundowicz","given":"Daniel"},{"family":"Boudreau","given":"Robert"},{"family":"Sutton-Tyrell","given":"Kim"},{"family":"Kuller","given":"Lewis"},{"family":"Newman","given":"Anne B"}],"authorYearDisplayFormat":false,"citation-label":"5719819","container-title":"Journal of Aging and Health","container-title-short":"J. Aging Health","id":"5719819","invisible":false,"issue":"4","issued":{"date-parts":[["2014","6"]]},"journalAbbreviation":"J. Aging Health","page":"583-599","suppress-author":false,"title":"Association Between 6-Minute Walk Test and All-Cause Mortality, Coronary Heart Disease-Specific Mortality, and Incident Coronary Heart Disease.","type":"article-journal","volume":"26"},{"DOI":"10.1590/1516-3180.2015.00871609","First":false,"Last":false,"PMID":"27027809","abstract":"&lt;strong&gt;CONTEXT AND OBJECTIVES:&lt;/strong&gt; Accelerometry provides objective measurement of physical activity levels, but is unfeasible in clinical practice. Thus, we aimed to identify physical fitness tests capable of predicting physical inactivity among adults.&lt;br&gt;&lt;br&gt;&lt;strong&gt;DESIGN AND SETTING:&lt;/strong&gt; Diagnostic test study developed at a university laboratory and a diagnostic clinic.&lt;br&gt;&lt;br&gt;&lt;strong&gt;METHODS:&lt;/strong&gt; 188 asymptomatic subjects underwent assessment of physical activity levels through accelerometry, ergospirometry on treadmill, body composition from bioelectrical impedance, isokinetic muscle function, postural balance on a force platform and six-minute walk test. We conducted descriptive analysis and multiple logistic regression including age, sex, oxygen uptake, body fat, center of pressure, quadriceps peak torque, distance covered in six-minute walk test and steps/day in the model, as predictors of physical inactivity. We also determined sensitivity (S), specificity (Sp) and area under the curve of the main predictors by means of receiver operating characteristic curves.&lt;br&gt;&lt;br&gt;&lt;strong&gt;RESULTS:&lt;/strong&gt; The prevalence of physical inactivity was 14%. The mean number of steps/day (≤ 5357) was the best predictor of physical inactivity (S = 99%; Sp = 82%). The best physical fitness test was a distance in the six-minute walk test and ≤ 96% of predicted values (S = 70%; Sp = 80%). Body fat &gt; 25% was also significant (S = 83%; Sp = 51%). After logistic regression, steps/day and distance in the six-minute walk test remained predictors of physical inactivity.&lt;br&gt;&lt;br&gt;&lt;strong&gt;CONCLUSION:&lt;/strong&gt; The six-minute walk test should be included in epidemiological studies as a simple and cheap tool for screening for physical inactivity.","author":[{"family":"Sperandio","given":"Evandro Fornias"},{"family":"Arantes","given":"Rodolfo Leite"},{"family":"da Silva","given":"Rodrigo Pereira"},{"family":"Matheus","given":"Agatha Caveda"},{"family":"Lauria","given":"Vinícius Tonon"},{"family":"Bianchim","given":"Mayara Silveira"},{"family":"Romiti","given":"Marcello"},{"family":"Gagliardi","given":"Antônio Ricardo de Toledo"},{"family":"Dourado","given":"Victor Zuniga"}],"authorYearDisplayFormat":false,"citation-label":"4209622","container-title":"Sao Paulo Medical Journal","container-title-short":"Sao Paulo Med. J.","id":"4209622","invisible":false,"issue":"1","issued":{"date-parts":[["2016","2"]]},"journalAbbreviation":"Sao Paulo Med. J.","page":"56-62","suppress-author":false,"title":"Screening for physical inactivity among adults: the value of distance walked in the six-minute walk test. A cross-sectional diagnostic study.","type":"article-journal","volume":"134"}]</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26–28,30,31</w:t>
      </w:r>
      <w:r w:rsidRPr="002B3A17">
        <w:rPr>
          <w:rFonts w:ascii="Arial" w:eastAsia="Times New Roman" w:hAnsi="Arial" w:cs="Arial"/>
          <w:color w:val="000000" w:themeColor="text1"/>
        </w:rPr>
        <w:fldChar w:fldCharType="end"/>
      </w:r>
    </w:p>
    <w:p w14:paraId="5154C9A4" w14:textId="21B73955" w:rsidR="0097493D" w:rsidRDefault="0097493D" w:rsidP="0097493D">
      <w:pPr>
        <w:spacing w:line="480" w:lineRule="auto"/>
        <w:ind w:firstLine="720"/>
        <w:rPr>
          <w:rFonts w:ascii="Arial" w:eastAsia="Times New Roman" w:hAnsi="Arial" w:cs="Arial"/>
          <w:color w:val="000000" w:themeColor="text1"/>
        </w:rPr>
      </w:pPr>
      <w:r w:rsidRPr="002B3A17">
        <w:rPr>
          <w:rFonts w:ascii="Arial" w:eastAsia="Times New Roman" w:hAnsi="Arial" w:cs="Arial"/>
          <w:color w:val="000000" w:themeColor="text1"/>
        </w:rPr>
        <w:t xml:space="preserve">A </w:t>
      </w:r>
      <w:r w:rsidR="00ED4B66">
        <w:rPr>
          <w:rFonts w:ascii="Arial" w:eastAsia="Times New Roman" w:hAnsi="Arial" w:cs="Arial"/>
          <w:color w:val="000000" w:themeColor="text1"/>
        </w:rPr>
        <w:t>second</w:t>
      </w:r>
      <w:r w:rsidRPr="002B3A17">
        <w:rPr>
          <w:rFonts w:ascii="Arial" w:eastAsia="Times New Roman" w:hAnsi="Arial" w:cs="Arial"/>
          <w:color w:val="000000" w:themeColor="text1"/>
        </w:rPr>
        <w:t xml:space="preserve"> measure of significance is the General Practice Physical Activity Questionnaire (GPPAQ), a quick objective measure of PA validated for use in adult populations</w:t>
      </w:r>
      <w:r w:rsidR="005134A9">
        <w:rPr>
          <w:rFonts w:ascii="Arial" w:eastAsia="Times New Roman" w:hAnsi="Arial" w:cs="Arial"/>
          <w:color w:val="000000" w:themeColor="text1"/>
        </w:rPr>
        <w:t xml:space="preserve"> that can be used to track physical activity behavior change</w:t>
      </w:r>
      <w:r w:rsidRPr="002B3A17">
        <w:rPr>
          <w:rFonts w:ascii="Arial" w:eastAsia="Times New Roman" w:hAnsi="Arial" w:cs="Arial"/>
          <w:color w:val="000000" w:themeColor="text1"/>
        </w:rPr>
        <w:t>.</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First":false,"Last":false,"URL":"https://www.ncbi.nlm.nih.gov/books/NBK51962/#appendixes.app10.s14","accessed":{"date-parts":[["2019","11","18"]]},"authorYearDisplayFormat":false,"citation-label":"7789340","id":"7789340","invisible":false,"issued":{"date-parts":[[]]},"suppress-author":false,"title":"The General Practice Physical Activity Questionnaire (GPPAQ) - Irritable Bowel Syndrome in Adults - NCBI Bookshelf","type":"webpage"}]</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32</w:t>
      </w:r>
      <w:r w:rsidRPr="002B3A17">
        <w:rPr>
          <w:rFonts w:ascii="Arial" w:eastAsia="Times New Roman" w:hAnsi="Arial" w:cs="Arial"/>
          <w:color w:val="000000" w:themeColor="text1"/>
        </w:rPr>
        <w:fldChar w:fldCharType="end"/>
      </w:r>
      <w:r w:rsidRPr="002B3A17">
        <w:rPr>
          <w:rFonts w:ascii="Arial" w:eastAsia="Times New Roman" w:hAnsi="Arial" w:cs="Arial"/>
          <w:color w:val="000000" w:themeColor="text1"/>
        </w:rPr>
        <w:t xml:space="preserve"> Although the measure is far from a perfect predictor of activity levels, 3 recent systematic reviews showed the GPPAQ to have better correlation with activity trackers, reliability, validity, sensitivity, and specificity than other commonly used measures of PA.</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F1000_CSL_CITATION&lt;~#@#~&gt;[{"DOI":"10.1093/fampra/cmx011","First":false,"Last":false,"PMID":"28334801","abstract":"&lt;strong&gt;Background:&lt;/strong&gt; Primary care is an ideal setting for physical activity interventions to prevent and manage common long-term conditions. To identify those who can benefit from such interventions and to deliver tailored support, primary care professionals (e.g. GPs, practice nurses, physiotherapists, health care assistants) need reliable and valid tools to assess physical activity. However, there is uncertainty about the best-performing tool.&lt;br&gt;&lt;br&gt;&lt;strong&gt;Objective:&lt;/strong&gt; To identify the tools used in the literature to assess the physical activity in primary care and describe their psychometric properties.&lt;br&gt;&lt;br&gt;&lt;strong&gt;Method:&lt;/strong&gt; A systematic review of published and unpublished literature was undertaken up to 1 December 2016). Papers detailing physical activity measures, tools or approaches used in primary care consultations were included. A synthesis of the frequency and context of their use, and their psychometric properties, was undertaken. Studies were appraised using the Downs and Black critical appraisal tool and the COnsensus-based Standards for the selection of health Measurement Instruments (COSMIN) initiative checklist.&lt;br&gt;&lt;br&gt;&lt;strong&gt;Results:&lt;/strong&gt; Fourteen papers reported 10 physical activity assessment tools. The General Practice Physical Activity Questionnaire (GPPAQ) was most frequently reported. None of the assessment tools identified showed high reliability and validity. Intra-rater reliability ranged from kappa: 0.53 [Brief Physical Activity Assessment Tool (BPAAT)] to 0.67 (GPPAQ). Criterion validity ranged from Pearson's rho: 0.26 (GPPAQ) to 0.52 (Physical Activity Vital Sign). Concurrent validity ranged from kappa: 0.24 (GPPAQ) to 0.64 (BPAAT).&lt;br&gt;&lt;br&gt;&lt;strong&gt;Conclusion:&lt;/strong&gt; The evidence base about physical activity assessment in primary care is insufficient to inform current practice.&lt;br&gt;&lt;br&gt;© The Author 2017. Published by Oxford University Press. All rights reserved. For permissions, please e-mail: journals.permissions@oup.com.","author":[{"family":"Smith","given":"Toby O"},{"family":"McKenna","given":"Máire C"},{"family":"Salter","given":"Charlotte"},{"family":"Hardeman","given":"Wendy"},{"family":"Richardson","given":"Kathryn"},{"family":"Hillsdon","given":"Melvyn"},{"family":"Hughes","given":"Carly A"},{"family":"Steel","given":"Nicholas"},{"family":"Jones","given":"Andy P"}],"authorYearDisplayFormat":false,"citation-label":"6340548","container-title":"Family Practice","container-title-short":"Fam. Pract.","id":"6340548","invisible":false,"issue":"4","issued":{"date-parts":[["2017","8","1"]]},"journalAbbreviation":"Fam. Pract.","page":"384-391","suppress-author":false,"title":"A systematic review of the physical activity assessment tools used in primary care.","type":"article-journal","volume":"34"},{"DOI":"10.1071/PY15027","First":false,"Last":false,"PMID":"27117859","abstract":"Traditionally, GPs have been responsible for physical activity (PA) assessment within the general practice setting. Multiple questionnaires are available to support uptake of PA assessment but less than 30% of patients are assessed. A range of barriers hamper uptake. Evidence indicates that practice nurses (PNs) and patients are resourceful members of the general practice team but have been underutilised. This study assessed the validity and reliability of two instruments for assessing PA, administered by PNs and patients. The study aimed to identify robust tool(s) to support the evolving role of PNs and patients in prevention and management strategies in general practice. A purposive sample of PNs and patients from general practices in Sydney was invited to participate. The results of the PN- or patient-administered general practice physical activity questionnaire (GPPAQ) and the three-question physical activity questionnaire (3Q) were compared against accelerometer activity. The study examined agreement in classification of PA levels according to Australian PA recommendations. Validity showed low-moderate correlations between accelerometer and GPPAQ (rho = 0.26), 3Q (rho = 0.45). Seven-day test-retest reliability intraclass correlation coefficients (ICCs) were 0.82-0.95 for GGPAQ and 0.94-0.98 for 3Q. Agreement with PA recommendations was moderate for GPPAQ (kappa 0.73, 95% CI, 0.56-0.85) and fair for 3Q (kappa 0.62, 95% CI, 0.47-0.78). Although 3Q demonstrated higher correlation with accelerometry, GPPAQ demonstrated higher agreement with PA guidelines. Given GPPAQ showed reasonable rigour, it may prove useful for PN and patient use.","author":[{"family":"Dutton","given":"Shona N"},{"family":"Bauman","given":"Adrian"},{"family":"Dennis","given":"Sarah M"},{"family":"Zwar","given":"Nicholas"},{"family":"Harris","given":"Mark F"}],"authorYearDisplayFormat":false,"citation-label":"7789839","container-title":"Australian journal of primary health","container-title-short":"Aust. J. Prim. Health","id":"7789839","invisible":false,"issued":{"date-parts":[["2016","4","27"]]},"journalAbbreviation":"Aust. J. Prim. Health","suppress-author":false,"title":"Resourcing an evolution of roles in general-practice: a study to determine the validity and reliability of tools to assist nurses and patients to assess physical activity.","type":"article-journal"},{"DOI":"10.5888/pcd14.170030","First":false,"Last":false,"PMCID":"PMC5716811","PMID":"29191260","abstract":"&lt;strong&gt;INTRODUCTION:&lt;/strong&gt; Physical activity (PA) is strongly endorsed for managing chronic conditions, and a vital sign tool (indicator of general physical condition) could alert providers of inadequate PA to prompt counseling or referral. This systematic review examined the use, definitions, psychometric properties, and outcomes of brief PA instruments as vital sign measures, with attention primarily to studies focused on arthritis.&lt;br&gt;&lt;br&gt;&lt;strong&gt;METHODS:&lt;/strong&gt; Electronic databases were searched for English-language literature from 1985 through 2016 using the terms PA, exercise, vital sign, exercise referral scheme, and exercise counseling. Of the 838 articles identified for title and abstract review, 9 articles qualified for full text review and data extraction.&lt;br&gt;&lt;br&gt;&lt;strong&gt;RESULTS:&lt;/strong&gt; Five brief PA measures were identified: Exercise Vital Sign (EVS), Physical Activity Vital Sign (PAVS), Speedy Nutrition and Physical Activity Assessment (SNAP), General Practice Physical Activity Questionnaire (GPPAQ), and Stanford Brief Activity Survey (SBAS). Studies focusing on arthritis were not found. Over 1.5 years of using EVS in a large hospital system, improvements occurred in relative weight loss among overweight patients and reduction in glycosylated hemoglobin among diabetic patients. On PAVS, moderate physical activity of 5 or more days per week versus fewer than 5 days per week was associated with a lower body mass index (-2.90 kg/m2). Compared with accelerometer-defined physical activity, EVS was weakly correlated (r = 0.27), had low sensitivity (27%-59%), and high specificity (74%-89%); SNAP showed weak agreement (κ = 0.12); GPPAQ had moderate sensitivity (46%) and specificity (50%), and SBAS was weakly correlated (r = 0.10-0.28), had poor to moderate sensitivity (18%-67%), and had moderate specificity (58%-79%).&lt;br&gt;&lt;br&gt;&lt;strong&gt;CONCLUSION:&lt;/strong&gt; Few studies have examined a brief physical activity tool as a vital sign measure. Initial investigations suggest the promise of these simple and quick assessment tools, and research is needed to test the effects of their use on chronic disease outcomes.","author":[{"family":"Golightly","given":"Yvonne M"},{"family":"Allen","given":"Kelli D"},{"family":"Ambrose","given":"Kirsten R"},{"family":"Stiller","given":"Jamie L"},{"family":"Evenson","given":"Kelly R"},{"family":"Voisin","given":"Christiane"},{"family":"Hootman","given":"Jennifer M"},{"family":"Callahan","given":"Leigh F"}],"authorYearDisplayFormat":false,"citation-label":"6340541","container-title":"Preventing Chronic Disease","container-title-short":"Prev. Chronic Dis.","id":"6340541","invisible":false,"issued":{"date-parts":[["2017","11","30"]]},"journalAbbreviation":"Prev. Chronic Dis.","page":"E123","suppress-author":false,"title":"Physical activity as a vital sign: A systematic review.","type":"article-journal","volume":"14"}]</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33–35</w:t>
      </w:r>
      <w:r w:rsidRPr="002B3A17">
        <w:rPr>
          <w:rFonts w:ascii="Arial" w:eastAsia="Times New Roman" w:hAnsi="Arial" w:cs="Arial"/>
          <w:color w:val="000000" w:themeColor="text1"/>
        </w:rPr>
        <w:fldChar w:fldCharType="end"/>
      </w:r>
      <w:r w:rsidRPr="002B3A17">
        <w:rPr>
          <w:rFonts w:ascii="Arial" w:eastAsia="Times New Roman" w:hAnsi="Arial" w:cs="Arial"/>
          <w:color w:val="000000" w:themeColor="text1"/>
        </w:rPr>
        <w:t xml:space="preserve"> The measure rates PA in one of four categories ranging from “inactive” to “active” taking into account activity at work and outside of the workplace.</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First":false,"Last":false,"URL":"https://www.ncbi.nlm.nih.gov/books/NBK51962/#appendixes.app10.s14","accessed":{"date-parts":[["2019","11","18"]]},"authorYearDisplayFormat":false,"citation-label":"7789340","id":"7789340","invisible":false,"issued":{"date-parts":[[]]},"suppress-author":false,"title":"The General Practice Physical Activity Questionnaire (GPPAQ) - Irritable Bowel Syndrome in Adults - NCBI Bookshelf","type":"webpage"}]</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32</w:t>
      </w:r>
      <w:r w:rsidRPr="002B3A17">
        <w:rPr>
          <w:rFonts w:ascii="Arial" w:eastAsia="Times New Roman" w:hAnsi="Arial" w:cs="Arial"/>
          <w:color w:val="000000" w:themeColor="text1"/>
        </w:rPr>
        <w:fldChar w:fldCharType="end"/>
      </w:r>
      <w:r w:rsidRPr="002B3A17">
        <w:rPr>
          <w:rFonts w:ascii="Arial" w:eastAsia="Times New Roman" w:hAnsi="Arial" w:cs="Arial"/>
          <w:color w:val="000000" w:themeColor="text1"/>
        </w:rPr>
        <w:t xml:space="preserve"> Workplace and leisure activity levels have been shown to be significantly related to all-cause mortality, with each of the 4 categories of the GPPAQ, inactive, moderately inactive, moderately active, and active, correlating to a significant reduction in risk when compared to the “inactive” group.</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F1000_CSL_CITATION&lt;~#@#~&gt;[{"DOI":"10.1093/ije/dyl079","First":false,"Last":false,"PMID":"16709620","abstract":"&lt;strong&gt;BACKGROUND:&lt;/strong&gt; The health benefits of physical activity are well established, but the overall amount of physical activity associated with cardiovascular and other health outcomes, and whether the relationships are similar in men and women and at different ages is still debated. This may be partly related to different methods for assessing physical activity. Most studies have focused on leisure time physical activity.&lt;br&gt;&lt;br&gt;&lt;strong&gt;METHODS:&lt;/strong&gt; We examined the prospective relationship between usual physical activity, taking into account both leisure and work activity, using a simple, pragmatic, four-point rating scale validated against heart rate monitoring, and cardiovascular disease incidence and total mortality after an average 8 years follow-up in 22,191 community living men and women aged 45-79 years with no known cardiovascular disease or cancer at baseline.&lt;br&gt;&lt;br&gt;&lt;strong&gt;RESULTS:&lt;/strong&gt; The relative risks (95% confidence interval) for all-cause mortality (1,553 deaths) for men and women who were moderately inactive, moderately active, and active compared with those who were inactive were 0.83 (0.73-0.95), 0.68 (0.58-0.80), and 0.68 (0.57-0.81), respectively, after adjusting for age, sex, systolic blood pressure, blood cholesterol, cigarette smoking, alcohol intake, diabetes, body mass index, and social class. The relationships were also consistent for cardiovascular disease incidence (3,079 events), in subgroups stratified by age, sex, body mass index, smoking status and social class, and after excluding deaths in the first 2 years. The combined scale was more consistently associated with mortality than the individual work and leisure time components separately.&lt;br&gt;&lt;br&gt;&lt;strong&gt;CONCLUSIONS:&lt;/strong&gt; When both work and leisure time physical activity patterns are taken into account, using a simple, pragmatic, validated questionnaire feasible for use in clinical and public health practice, even very moderate levels of usual physical activity are associated with significantly reduced risk of mortality and cardiovascular disease in men and women in the general population and potential population attributable impact of 14% for inactive compared with active levels. These findings may encourage efforts to increase physical activity levels not only in leisure time but also in usual daily working life.","author":[{"family":"Khaw","given":"Kay-Tee"},{"family":"Jakes","given":"Rupert"},{"family":"Bingham","given":"Sheila"},{"family":"Welch","given":"Ailsa"},{"family":"Luben","given":"Robert"},{"family":"Day","given":"Nicholas"},{"family":"Wareham","given":"Nicholas"}],"authorYearDisplayFormat":false,"citation-label":"7789857","container-title":"International Journal of Epidemiology","container-title-short":"Int. J. Epidemiol.","id":"7789857","invisible":false,"issue":"4","issued":{"date-parts":[["2006","8"]]},"journalAbbreviation":"Int. J. Epidemiol.","page":"1034-1043","suppress-author":false,"title":"Work and leisure time physical activity assessed using a simple, pragmatic, validated questionnaire and incident cardiovascular disease and all-cause mortality in men and women: The European Prospective Investigation into Cancer in Norfolk prospective population study.","type":"article-journal","volume":"35"}]</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36</w:t>
      </w:r>
      <w:r w:rsidRPr="002B3A17">
        <w:rPr>
          <w:rFonts w:ascii="Arial" w:eastAsia="Times New Roman" w:hAnsi="Arial" w:cs="Arial"/>
          <w:color w:val="000000" w:themeColor="text1"/>
        </w:rPr>
        <w:fldChar w:fldCharType="end"/>
      </w:r>
      <w:r w:rsidRPr="002B3A17">
        <w:rPr>
          <w:rFonts w:ascii="Arial" w:eastAsia="Times New Roman" w:hAnsi="Arial" w:cs="Arial"/>
          <w:color w:val="000000" w:themeColor="text1"/>
        </w:rPr>
        <w:t xml:space="preserve"> Those who scored “moderately active” or “active”  had a 32% reduced risk of all-cause mortality compared to those who were “inactive” and even those who were “moderately inactive” had a 17% reduction in risk.</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F1000_CSL_CITATION&lt;~#@#~&gt;[{"DOI":"10.1093/ije/dyl079","First":false,"Last":false,"PMID":"16709620","abstract":"&lt;strong&gt;BACKGROUND:&lt;/strong&gt; The health benefits of physical activity are well established, but the overall amount of physical activity associated with cardiovascular and other health outcomes, and whether the relationships are similar in men and women and at different ages is still debated. This may be partly related to different methods for assessing physical activity. Most studies have focused on leisure time physical activity.&lt;br&gt;&lt;br&gt;&lt;strong&gt;METHODS:&lt;/strong&gt; We examined the prospective relationship between usual physical activity, taking into account both leisure and work activity, using a simple, pragmatic, four-point rating scale validated against heart rate monitoring, and cardiovascular disease incidence and total mortality after an average 8 years follow-up in 22,191 community living men and women aged 45-79 years with no known cardiovascular disease or cancer at baseline.&lt;br&gt;&lt;br&gt;&lt;strong&gt;RESULTS:&lt;/strong&gt; The relative risks (95% confidence interval) for all-cause mortality (1,553 deaths) for men and women who were moderately inactive, moderately active, and active compared with those who were inactive were 0.83 (0.73-0.95), 0.68 (0.58-0.80), and 0.68 (0.57-0.81), respectively, after adjusting for age, sex, systolic blood pressure, blood cholesterol, cigarette smoking, alcohol intake, diabetes, body mass index, and social class. The relationships were also consistent for cardiovascular disease incidence (3,079 events), in subgroups stratified by age, sex, body mass index, smoking status and social class, and after excluding deaths in the first 2 years. The combined scale was more consistently associated with mortality than the individual work and leisure time components separately.&lt;br&gt;&lt;br&gt;&lt;strong&gt;CONCLUSIONS:&lt;/strong&gt; When both work and leisure time physical activity patterns are taken into account, using a simple, pragmatic, validated questionnaire feasible for use in clinical and public health practice, even very moderate levels of usual physical activity are associated with significantly reduced risk of mortality and cardiovascular disease in men and women in the general population and potential population attributable impact of 14% for inactive compared with active levels. These findings may encourage efforts to increase physical activity levels not only in leisure time but also in usual daily working life.","author":[{"family":"Khaw","given":"Kay-Tee"},{"family":"Jakes","given":"Rupert"},{"family":"Bingham","given":"Sheila"},{"family":"Welch","given":"Ailsa"},{"family":"Luben","given":"Robert"},{"family":"Day","given":"Nicholas"},{"family":"Wareham","given":"Nicholas"}],"authorYearDisplayFormat":false,"citation-label":"7789857","container-title":"International Journal of Epidemiology","container-title-short":"Int. J. Epidemiol.","id":"7789857","invisible":false,"issue":"4","issued":{"date-parts":[["2006","8"]]},"journalAbbreviation":"Int. J. Epidemiol.","page":"1034-1043","suppress-author":false,"title":"Work and leisure time physical activity assessed using a simple, pragmatic, validated questionnaire and incident cardiovascular disease and all-cause mortality in men and women: The European Prospective Investigation into Cancer in Norfolk prospective population study.","type":"article-journal","volume":"35"}]</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36</w:t>
      </w:r>
      <w:r w:rsidRPr="002B3A17">
        <w:rPr>
          <w:rFonts w:ascii="Arial" w:eastAsia="Times New Roman" w:hAnsi="Arial" w:cs="Arial"/>
          <w:color w:val="000000" w:themeColor="text1"/>
        </w:rPr>
        <w:fldChar w:fldCharType="end"/>
      </w:r>
      <w:r w:rsidRPr="002B3A17">
        <w:rPr>
          <w:rFonts w:ascii="Arial" w:eastAsia="Times New Roman" w:hAnsi="Arial" w:cs="Arial"/>
          <w:color w:val="000000" w:themeColor="text1"/>
        </w:rPr>
        <w:t xml:space="preserve"> Therefore, this is the best valid, quick, objective measure that is currently available for assessing PA.</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First":false,"Last":false,"URL":"https://www.ncbi.nlm.nih.gov/books/NBK51962/#appendixes.app10.s14","accessed":{"date-parts":[["2019","11","18"]]},"authorYearDisplayFormat":false,"citation-label":"7789340","id":"7789340","invisible":false,"issued":{"date-parts":[[]]},"suppress-author":false,"title":"The General Practice Physical Activity Questionnaire (GPPAQ) - Irritable Bowel Syndrome in Adults - NCBI Bookshelf","type":"webpage"},{"DOI":"10.1071/PY15027","First":false,"Last":false,"PMID":"27117859","abstract":"Traditionally, GPs have been responsible for physical activity (PA) assessment within the general practice setting. Multiple questionnaires are available to support uptake of PA assessment but less than 30% of patients are assessed. A range of barriers hamper uptake. Evidence indicates that practice nurses (PNs) and patients are resourceful members of the general practice team but have been underutilised. This study assessed the validity and reliability of two instruments for assessing PA, administered by PNs and patients. The study aimed to identify robust tool(s) to support the evolving role of PNs and patients in prevention and management strategies in general practice. A purposive sample of PNs and patients from general practices in Sydney was invited to participate. The results of the PN- or patient-administered general practice physical activity questionnaire (GPPAQ) and the three-question physical activity questionnaire (3Q) were compared against accelerometer activity. The study examined agreement in classification of PA levels according to Australian PA recommendations. Validity showed low-moderate correlations between accelerometer and GPPAQ (rho = 0.26), 3Q (rho = 0.45). Seven-day test-retest reliability intraclass correlation coefficients (ICCs) were 0.82-0.95 for GGPAQ and 0.94-0.98 for 3Q. Agreement with PA recommendations was moderate for GPPAQ (kappa 0.73, 95% CI, 0.56-0.85) and fair for 3Q (kappa 0.62, 95% CI, 0.47-0.78). Although 3Q demonstrated higher correlation with accelerometry, GPPAQ demonstrated higher agreement with PA guidelines. Given GPPAQ showed reasonable rigour, it may prove useful for PN and patient use.","author":[{"family":"Dutton","given":"Shona N"},{"family":"Bauman","given":"Adrian"},{"family":"Dennis","given":"Sarah M"},{"family":"Zwar","given":"Nicholas"},{"family":"Harris","given":"Mark F"}],"authorYearDisplayFormat":false,"citation-label":"7789839","container-title":"Australian journal of primary health","container-title-short":"Aust. J. Prim. Health","id":"7789839","invisible":false,"issued":{"date-parts":[["2016","4","27"]]},"journalAbbreviation":"Aust. J. Prim. Health","suppress-author":false,"title":"Resourcing an evolution of roles in general-practice: a study to determine the validity and reliability of tools to assist nurses and patients to assess physical activity.","type":"article-journal"},{"DOI":"10.1093/fampra/cmx011","First":false,"Last":false,"PMID":"28334801","abstract":"&lt;strong&gt;Background:&lt;/strong&gt; Primary care is an ideal setting for physical activity interventions to prevent and manage common long-term conditions. To identify those who can benefit from such interventions and to deliver tailored support, primary care professionals (e.g. GPs, practice nurses, physiotherapists, health care assistants) need reliable and valid tools to assess physical activity. However, there is uncertainty about the best-performing tool.&lt;br&gt;&lt;br&gt;&lt;strong&gt;Objective:&lt;/strong&gt; To identify the tools used in the literature to assess the physical activity in primary care and describe their psychometric properties.&lt;br&gt;&lt;br&gt;&lt;strong&gt;Method:&lt;/strong&gt; A systematic review of published and unpublished literature was undertaken up to 1 December 2016). Papers detailing physical activity measures, tools or approaches used in primary care consultations were included. A synthesis of the frequency and context of their use, and their psychometric properties, was undertaken. Studies were appraised using the Downs and Black critical appraisal tool and the COnsensus-based Standards for the selection of health Measurement Instruments (COSMIN) initiative checklist.&lt;br&gt;&lt;br&gt;&lt;strong&gt;Results:&lt;/strong&gt; Fourteen papers reported 10 physical activity assessment tools. The General Practice Physical Activity Questionnaire (GPPAQ) was most frequently reported. None of the assessment tools identified showed high reliability and validity. Intra-rater reliability ranged from kappa: 0.53 [Brief Physical Activity Assessment Tool (BPAAT)] to 0.67 (GPPAQ). Criterion validity ranged from Pearson's rho: 0.26 (GPPAQ) to 0.52 (Physical Activity Vital Sign). Concurrent validity ranged from kappa: 0.24 (GPPAQ) to 0.64 (BPAAT).&lt;br&gt;&lt;br&gt;&lt;strong&gt;Conclusion:&lt;/strong&gt; The evidence base about physical activity assessment in primary care is insufficient to inform current practice.&lt;br&gt;&lt;br&gt;© The Author 2017. Published by Oxford University Press. All rights reserved. For permissions, please e-mail: journals.permissions@oup.com.","author":[{"family":"Smith","given":"Toby O"},{"family":"McKenna","given":"Máire C"},{"family":"Salter","given":"Charlotte"},{"family":"Hardeman","given":"Wendy"},{"family":"Richardson","given":"Kathryn"},{"family":"Hillsdon","given":"Melvyn"},{"family":"Hughes","given":"Carly A"},{"family":"Steel","given":"Nicholas"},{"family":"Jones","given":"Andy P"}],"authorYearDisplayFormat":false,"citation-label":"6340548","container-title":"Family Practice","container-title-short":"Fam. Pract.","id":"6340548","invisible":false,"issue":"4","issued":{"date-parts":[["2017","8","1"]]},"journalAbbreviation":"Fam. Pract.","page":"384-391","suppress-author":false,"title":"A systematic review of the physical activity assessment tools used in primary care.","type":"article-journal","volume":"34"},{"DOI":"10.5888/pcd14.170030","First":false,"Last":false,"PMCID":"PMC5716811","PMID":"29191260","abstract":"&lt;strong&gt;INTRODUCTION:&lt;/strong&gt; Physical activity (PA) is strongly endorsed for managing chronic conditions, and a vital sign tool (indicator of general physical condition) could alert providers of inadequate PA to prompt counseling or referral. This systematic review examined the use, definitions, psychometric properties, and outcomes of brief PA instruments as vital sign measures, with attention primarily to studies focused on arthritis.&lt;br&gt;&lt;br&gt;&lt;strong&gt;METHODS:&lt;/strong&gt; Electronic databases were searched for English-language literature from 1985 through 2016 using the terms PA, exercise, vital sign, exercise referral scheme, and exercise counseling. Of the 838 articles identified for title and abstract review, 9 articles qualified for full text review and data extraction.&lt;br&gt;&lt;br&gt;&lt;strong&gt;RESULTS:&lt;/strong&gt; Five brief PA measures were identified: Exercise Vital Sign (EVS), Physical Activity Vital Sign (PAVS), Speedy Nutrition and Physical Activity Assessment (SNAP), General Practice Physical Activity Questionnaire (GPPAQ), and Stanford Brief Activity Survey (SBAS). Studies focusing on arthritis were not found. Over 1.5 years of using EVS in a large hospital system, improvements occurred in relative weight loss among overweight patients and reduction in glycosylated hemoglobin among diabetic patients. On PAVS, moderate physical activity of 5 or more days per week versus fewer than 5 days per week was associated with a lower body mass index (-2.90 kg/m2). Compared with accelerometer-defined physical activity, EVS was weakly correlated (r = 0.27), had low sensitivity (27%-59%), and high specificity (74%-89%); SNAP showed weak agreement (κ = 0.12); GPPAQ had moderate sensitivity (46%) and specificity (50%), and SBAS was weakly correlated (r = 0.10-0.28), had poor to moderate sensitivity (18%-67%), and had moderate specificity (58%-79%).&lt;br&gt;&lt;br&gt;&lt;strong&gt;CONCLUSION:&lt;/strong&gt; Few studies have examined a brief physical activity tool as a vital sign measure. Initial investigations suggest the promise of these simple and quick assessment tools, and research is needed to test the effects of their use on chronic disease outcomes.","author":[{"family":"Golightly","given":"Yvonne M"},{"family":"Allen","given":"Kelli D"},{"family":"Ambrose","given":"Kirsten R"},{"family":"Stiller","given":"Jamie L"},{"family":"Evenson","given":"Kelly R"},{"family":"Voisin","given":"Christiane"},{"family":"Hootman","given":"Jennifer M"},{"family":"Callahan","given":"Leigh F"}],"authorYearDisplayFormat":false,"citation-label":"6340541","container-title":"Preventing Chronic Disease","container-title-short":"Prev. Chronic Dis.","id":"6340541","invisible":false,"issued":{"date-parts":[["2017","11","30"]]},"journalAbbreviation":"Prev. Chronic Dis.","page":"E123","suppress-author":false,"title":"Physical activity as a vital sign: A systematic review.","type":"article-journal","volume":"14"},{"DOI":"10.1093/ije/dyl079","First":false,"Last":false,"PMID":"16709620","abstract":"&lt;strong&gt;BACKGROUND:&lt;/strong&gt; The health benefits of physical activity are well established, but the overall amount of physical activity associated with cardiovascular and other health outcomes, and whether the relationships are similar in men and women and at different ages is still debated. This may be partly related to different methods for assessing physical activity. Most studies have focused on leisure time physical activity.&lt;br&gt;&lt;br&gt;&lt;strong&gt;METHODS:&lt;/strong&gt; We examined the prospective relationship between usual physical activity, taking into account both leisure and work activity, using a simple, pragmatic, four-point rating scale validated against heart rate monitoring, and cardiovascular disease incidence and total mortality after an average 8 years follow-up in 22,191 community living men and women aged 45-79 years with no known cardiovascular disease or cancer at baseline.&lt;br&gt;&lt;br&gt;&lt;strong&gt;RESULTS:&lt;/strong&gt; The relative risks (95% confidence interval) for all-cause mortality (1,553 deaths) for men and women who were moderately inactive, moderately active, and active compared with those who were inactive were 0.83 (0.73-0.95), 0.68 (0.58-0.80), and 0.68 (0.57-0.81), respectively, after adjusting for age, sex, systolic blood pressure, blood cholesterol, cigarette smoking, alcohol intake, diabetes, body mass index, and social class. The relationships were also consistent for cardiovascular disease incidence (3,079 events), in subgroups stratified by age, sex, body mass index, smoking status and social class, and after excluding deaths in the first 2 years. The combined scale was more consistently associated with mortality than the individual work and leisure time components separately.&lt;br&gt;&lt;br&gt;&lt;strong&gt;CONCLUSIONS:&lt;/strong&gt; When both work and leisure time physical activity patterns are taken into account, using a simple, pragmatic, validated questionnaire feasible for use in clinical and public health practice, even very moderate levels of usual physical activity are associated with significantly reduced risk of mortality and cardiovascular disease in men and women in the general population and potential population attributable impact of 14% for inactive compared with active levels. These findings may encourage efforts to increase physical activity levels not only in leisure time but also in usual daily working life.","author":[{"family":"Khaw","given":"Kay-Tee"},{"family":"Jakes","given":"Rupert"},{"family":"Bingham","given":"Sheila"},{"family":"Welch","given":"Ailsa"},{"family":"Luben","given":"Robert"},{"family":"Day","given":"Nicholas"},{"family":"Wareham","given":"Nicholas"}],"authorYearDisplayFormat":false,"citation-label":"7789857","container-title":"International Journal of Epidemiology","container-title-short":"Int. J. Epidemiol.","id":"7789857","invisible":false,"issue":"4","issued":{"date-parts":[["2006","8"]]},"journalAbbreviation":"Int. J. Epidemiol.","page":"1034-1043","suppress-author":false,"title":"Work and leisure time physical activity assessed using a simple, pragmatic, validated questionnaire and incident cardiovascular disease and all-cause mortality in men and women: The European Prospective Investigation into Cancer in Norfolk prospective population study.","type":"article-journal","volume":"35"}]</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32–36</w:t>
      </w:r>
      <w:r w:rsidRPr="002B3A17">
        <w:rPr>
          <w:rFonts w:ascii="Arial" w:eastAsia="Times New Roman" w:hAnsi="Arial" w:cs="Arial"/>
          <w:color w:val="000000" w:themeColor="text1"/>
        </w:rPr>
        <w:fldChar w:fldCharType="end"/>
      </w:r>
    </w:p>
    <w:p w14:paraId="5C8AB985" w14:textId="67129BF4" w:rsidR="005134A9" w:rsidRPr="005134A9" w:rsidRDefault="005134A9" w:rsidP="00D53FE7">
      <w:pPr>
        <w:spacing w:line="480" w:lineRule="auto"/>
        <w:ind w:firstLine="720"/>
        <w:rPr>
          <w:rFonts w:ascii="Arial" w:eastAsia="Times New Roman" w:hAnsi="Arial" w:cs="Arial"/>
          <w:color w:val="000000" w:themeColor="text1"/>
        </w:rPr>
      </w:pPr>
      <w:r>
        <w:rPr>
          <w:rFonts w:ascii="Arial" w:eastAsia="Times New Roman" w:hAnsi="Arial" w:cs="Arial"/>
          <w:color w:val="000000" w:themeColor="text1"/>
        </w:rPr>
        <w:lastRenderedPageBreak/>
        <w:t xml:space="preserve">To track the understanding and retention of health-related knowledge, a survey created by the National Heart, Lung, and Blood Institute’s (NHLBI) Community Health Worker Health Disparities Initiative called “My Health Knowledge” will be administered both before and after the program. This is a free, 21-question survey that assesses health-related knowledge regarding </w:t>
      </w:r>
      <w:r w:rsidR="00F86AC7">
        <w:rPr>
          <w:rFonts w:ascii="Arial" w:eastAsia="Times New Roman" w:hAnsi="Arial" w:cs="Arial"/>
          <w:color w:val="000000" w:themeColor="text1"/>
        </w:rPr>
        <w:t>risk factors, disease, symptoms, risk reduction, and cardiovascular health. The survey is commonly scored based on percent of correct responses for a score ranging from 0% correct to 100% correct indicating highest levels of health-knowledge.</w:t>
      </w:r>
      <w:r w:rsidR="00CD593A">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F1000_CSL_CITATION&lt;~#@#~&gt;[{"DOI":"10.1111/phn.12234","First":false,"Last":false,"PMID":"26404001","abstract":"&lt;strong&gt;OBJECTIVE:&lt;/strong&gt; The objective was to pilot a socioculturally tailored church-based stroke prevention program delivered by trained community health workers (CHWs) and to test its effects on participant knowledge scores.&lt;br&gt;&lt;br&gt;&lt;strong&gt;DESIGN AND SAMPLE:&lt;/strong&gt; A single-group, pre-post test pilot study was conducted with a convenience sample of 201 adult African-Americans recruited from nine churches in three Alabama counties. Measurements included participant weight, blood pressure (BP), physical activity level; knowledge related to hypertension, heart disease, and stroke; cigarette smoking; and access to care, as well as the Stages of Change constructs within the Transtheoretical Model. The intervention was a six-session group-based health education program delivered by trained CHWs.&lt;br&gt;&lt;br&gt;&lt;strong&gt;MEASURES:&lt;/strong&gt; Measurements included participant weight, blood pressure (BP), physical activity level; knowledge related to hypertension, heart disease, and stroke; cigarette smoking; and access to care, as well as the Stages of Change constructs within the Transtheoretical Model. The intervention was a six-session group-based health education program delivered by trained CHWs.&lt;br&gt;&lt;br&gt;&lt;strong&gt;RESULTS:&lt;/strong&gt; From baseline to 12 weeks, knowledge increased significantly (p &lt;  .001). Systolic BP measures improved (p = .0008). More than half of participants lost weight; however, weight change did not reach significance (p = .1380). Most (87%) participants indicated having a medical home at baseline; at the end of the study the percentage increased to 92% (p = .0138).&lt;br&gt;&lt;br&gt;&lt;strong&gt;CONCLUSION:&lt;/strong&gt; A church-based intervention delivered by trained CHWs is feasible and may be a promising public health strategy to increase knowledge regarding hypertension and stroke prevention among African-Americans.&lt;br&gt;&lt;br&gt;© 2015 Wiley Periodicals, Inc.","author":[{"family":"Williams","given":"Lovoria B"},{"family":"Franklin","given":"Brandi"},{"family":"Evans","given":"Mary B"},{"family":"Jackson","given":"Chazeman"},{"family":"Hill","given":"Alethea"},{"family":"Minor","given":"Michael"}],"authorYearDisplayFormat":false,"citation-label":"5587733","container-title":"Public Health Nursing","container-title-short":"Public Health Nurs.","id":"5587733","invisible":false,"issue":"1","issued":{"date-parts":[["2016","2"]]},"journalAbbreviation":"Public Health Nurs.","page":"11-20","suppress-author":false,"title":"Turn the Beat Around: A Stroke Prevention Program for African-American Churches.","type":"article-journal","volume":"33"},{"DOI":"10.3390/healthcare6030071","First":false,"Last":false,"PMCID":"PMC6164969","PMID":"29941776","abstract":"Cardiovascular disease (CVD) is a major cause of death and disability, especially among people living in the rural, southern United States. Rural African Americans are often diagnosed with CVD earlier in life, and they bear a disproportionate burden of CVD risk factors, morbidity, and mortality. Health equity among historically underserved, rural populations can potentially be attained through culturally relevant interventions that teach people skills to stay well and avoid CVD-related risk and diagnoses. The purpose of this secondary analysis was to determine the effect of an evidence-based intervention on cardiovascular health knowledge and the stages of change toward the action and maintenance phases. The pre-test-post-test data were obtained during a cluster randomized trial involving twelve rural churches that were randomized to intervention (n = 6) and control (n = 6) groups. Participants (n = 115) in the intervention group received a cardiovascular health intervention, and those (n = 114) in the control group could receive the intervention following the study’s completion. The data were analyzed using a linear mixed model to compare group differences from pre-test to post-test. The cardiovascular health promotion intervention significantly improved cardiovascular health knowledge and was associated with advancements in the stages of change toward the action and maintenance phases.","author":[{"family":"Abbott","given":"Laurie S"},{"family":"Slate","given":"Elizabeth H"}],"authorYearDisplayFormat":false,"citation-label":"7237903","container-title":"Healthcare (Basel)","container-title-short":"Healthcare (Basel)","id":"7237903","invisible":false,"issue":"3","issued":{"date-parts":[["2018","6","25"]]},"journalAbbreviation":"Healthcare (Basel)","suppress-author":false,"title":"Improving Cardiovascular Disease Knowledge among Rural Participants: The Results of a Cluster Randomized Trial.","type":"article-journal","volume":"6"},{"DOI":"10.5888/pcd11.130250","First":false,"Last":false,"PMCID":"PMC3929339","PMID":"24524426","abstract":"&lt;strong&gt;INTRODUCTION:&lt;/strong&gt; Cardiovascular disease is the leading cause of death in the United States, and disparities in cardiovascular health exist among African Americans, American Indians, Hispanics, and Filipinos. The Community Health Worker Health Disparities Initiative of the National Heart, Lung, and Blood Institute (NHLBI) includes culturally tailored curricula taught by community health workers (CHWs) to improve knowledge and heart-healthy behaviors in these racial/ethnic groups.&lt;br&gt;&lt;br&gt;&lt;strong&gt;METHODS:&lt;/strong&gt; We used data from 1,004 community participants in a 10-session curriculum taught by CHWs at 15 sites to evaluate the NHLBI's health disparities initiative by using a 1-group pretest-posttest design. The curriculum addressed identification and management of cardiovascular disease risk factors. We used linear mixed effects and generalized linear mixed effects models to examine results.&lt;br&gt;&lt;br&gt;&lt;strong&gt;RESULTS:&lt;/strong&gt; Average participant age was 48; 75% were female, 50% were Hispanic, 35% were African American, 8% were Filipino, and 7% were American Indian. Twenty-three percent reported a history of diabetes, and 37% reported a family history of heart disease. Correct pretest to posttest knowledge scores increased from 48% to 74% for heart healthy knowledge. The percentage of participants at the action or maintenance stage of behavior change increased from 41% to 85%.&lt;br&gt;&lt;br&gt;&lt;strong&gt;CONCLUSION:&lt;/strong&gt; Using the CHW model to implement community education with culturally tailored curricula may improve heart health knowledge and behaviors among minorities. Further studies should examine the influence of such programs on clinical risk factors for cardiovascular disease.","author":[{"family":"Hurtado","given":"Margarita"},{"family":"Spinner","given":"Jovonni R"},{"family":"Yang","given":"Manshu"},{"family":"Evensen","given":"Christian"},{"family":"Windham","given":"Amy"},{"family":"Ortiz","given":"Gloria"},{"family":"Tracy","given":"Rachel"},{"family":"Ivy","given":"Edward Donnell"}],"authorYearDisplayFormat":false,"citation-label":"4735031","container-title":"Preventing Chronic Disease","container-title-short":"Prev. Chronic Dis.","id":"4735031","invisible":false,"issued":{"date-parts":[["2014","2","13"]]},"journalAbbreviation":"Prev. Chronic Dis.","page":"E22","suppress-author":false,"title":"Knowledge and behavioral effects in cardiovascular health: Community Health Worker Health Disparities Initiative, 2007-2010.","type":"article-journal","volume":"11"}]</w:instrText>
      </w:r>
      <w:r w:rsidR="00CD593A">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17,37,38</w:t>
      </w:r>
      <w:r w:rsidR="00CD593A">
        <w:rPr>
          <w:rFonts w:ascii="Arial" w:eastAsia="Times New Roman" w:hAnsi="Arial" w:cs="Arial"/>
          <w:color w:val="000000" w:themeColor="text1"/>
        </w:rPr>
        <w:fldChar w:fldCharType="end"/>
      </w:r>
      <w:r w:rsidR="00D53FE7">
        <w:rPr>
          <w:rFonts w:ascii="Arial" w:eastAsia="Times New Roman" w:hAnsi="Arial" w:cs="Arial"/>
          <w:color w:val="000000" w:themeColor="text1"/>
        </w:rPr>
        <w:t xml:space="preserve"> Although there are not currently studies validating the tool, it has been specifically developed to address cardiovascular health knowledge in rural populations and is used both for NHLBI programs and in a few studies of behavior change in this particular population and is therefore a useful assessment tool for this program.</w:t>
      </w:r>
      <w:r w:rsidR="00BC6E4B">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F1000_CSL_CITATION&lt;~#@#~&gt;[{"First":false,"Last":false,"URL":"https://www.nhlbi.nih.gov/health/educational/healthdisp/pdf/resources/CHWI_MyHealthHabits_Pre_FI.pdf","accessed":{"date-parts":[["2019","12","4"]]},"author":[{"family":"Community Health Worker Health Disparity Initiative"}],"authorYearDisplayFormat":false,"citation-label":"7890849","id":"7890849","invisible":false,"issued":{"date-parts":[["2012","7","20"]]},"suppress-author":false,"title":"My Health Knowledge Survey","type":"webpage"},{"DOI":"10.1093/her/cyy052","First":false,"Last":false,"PMCID":"PMC6736056","PMID":"30601979","abstract":"Cardiovascular disease (CVD) is a major cause of death among people living in the United States. Populations, especially minorities, living in the rural South are disproportionately affected by CVD and have greater CVD risk, morbidity and mortality. Culturally relevant cardiovascular health programs implemented in rural community settings can potentially reduce CVD risk and facilitate health behavior modification. The purpose of this study was to examine the effects of a cardiovascular health promotion intervention on the health habits of a group of rural African American adults. The study had a cluster randomized controlled trial design involving 12 rural churches that served as statistical clusters. From the churches (n = 6) randomized to the intervention group, 115 participants were enrolled, received the 6-week health program and completed pretest-posttest measures. The 114 participants from the control group churches (n = 6) did not receive the health program and completed the same pretest-posttest measures. The linear mixed model was used to compare group differences from pretest to posttest. The educational health intervention positively influenced select dietary and confidence factors that may contribute toward CVD risk reduction.&lt;br&gt;&lt;br&gt;ï¿½ The Author(s) 2019. Published by Oxford University Press. All rights reserved. For permissions, please email: journals.permissions@oup.com.","author":[{"family":"Abbott","given":"Laurie S"},{"family":"Slate","given":"Elizabeth H"},{"family":"Lemacks","given":"Jennifer L"}],"authorYearDisplayFormat":false,"citation-label":"6224309","container-title":"Health Education Research","container-title-short":"Health Educ. Res.","id":"6224309","invisible":false,"issue":"2","issued":{"date-parts":[["2019","4","1"]]},"journalAbbreviation":"Health Educ. Res.","page":"200-208","suppress-author":false,"title":"Influencing cardiovascular health habits in the rural, deep south: results of a cluster randomized trial.","type":"article-journal","volume":"34"},{"DOI":"10.5888/pcd11.130250","First":false,"Last":false,"PMCID":"PMC3929339","PMID":"24524426","abstract":"&lt;strong&gt;INTRODUCTION:&lt;/strong&gt; Cardiovascular disease is the leading cause of death in the United States, and disparities in cardiovascular health exist among African Americans, American Indians, Hispanics, and Filipinos. The Community Health Worker Health Disparities Initiative of the National Heart, Lung, and Blood Institute (NHLBI) includes culturally tailored curricula taught by community health workers (CHWs) to improve knowledge and heart-healthy behaviors in these racial/ethnic groups.&lt;br&gt;&lt;br&gt;&lt;strong&gt;METHODS:&lt;/strong&gt; We used data from 1,004 community participants in a 10-session curriculum taught by CHWs at 15 sites to evaluate the NHLBI's health disparities initiative by using a 1-group pretest-posttest design. The curriculum addressed identification and management of cardiovascular disease risk factors. We used linear mixed effects and generalized linear mixed effects models to examine results.&lt;br&gt;&lt;br&gt;&lt;strong&gt;RESULTS:&lt;/strong&gt; Average participant age was 48; 75% were female, 50% were Hispanic, 35% were African American, 8% were Filipino, and 7% were American Indian. Twenty-three percent reported a history of diabetes, and 37% reported a family history of heart disease. Correct pretest to posttest knowledge scores increased from 48% to 74% for heart healthy knowledge. The percentage of participants at the action or maintenance stage of behavior change increased from 41% to 85%.&lt;br&gt;&lt;br&gt;&lt;strong&gt;CONCLUSION:&lt;/strong&gt; Using the CHW model to implement community education with culturally tailored curricula may improve heart health knowledge and behaviors among minorities. Further studies should examine the influence of such programs on clinical risk factors for cardiovascular disease.","author":[{"family":"Hurtado","given":"Margarita"},{"family":"Spinner","given":"Jovonni R"},{"family":"Yang","given":"Manshu"},{"family":"Evensen","given":"Christian"},{"family":"Windham","given":"Amy"},{"family":"Ortiz","given":"Gloria"},{"family":"Tracy","given":"Rachel"},{"family":"Ivy","given":"Edward Donnell"}],"authorYearDisplayFormat":false,"citation-label":"4735031","container-title":"Preventing Chronic Disease","container-title-short":"Prev. Chronic Dis.","id":"4735031","invisible":false,"issued":{"date-parts":[["2014","2","13"]]},"journalAbbreviation":"Prev. Chronic Dis.","page":"E22","suppress-author":false,"title":"Knowledge and behavioral effects in cardiovascular health: Community Health Worker Health Disparities Initiative, 2007-2010.","type":"article-journal","volume":"11"},{"DOI":"10.1111/phn.12234","First":false,"Last":false,"PMID":"26404001","abstract":"&lt;strong&gt;OBJECTIVE:&lt;/strong&gt; The objective was to pilot a socioculturally tailored church-based stroke prevention program delivered by trained community health workers (CHWs) and to test its effects on participant knowledge scores.&lt;br&gt;&lt;br&gt;&lt;strong&gt;DESIGN AND SAMPLE:&lt;/strong&gt; A single-group, pre-post test pilot study was conducted with a convenience sample of 201 adult African-Americans recruited from nine churches in three Alabama counties. Measurements included participant weight, blood pressure (BP), physical activity level; knowledge related to hypertension, heart disease, and stroke; cigarette smoking; and access to care, as well as the Stages of Change constructs within the Transtheoretical Model. The intervention was a six-session group-based health education program delivered by trained CHWs.&lt;br&gt;&lt;br&gt;&lt;strong&gt;MEASURES:&lt;/strong&gt; Measurements included participant weight, blood pressure (BP), physical activity level; knowledge related to hypertension, heart disease, and stroke; cigarette smoking; and access to care, as well as the Stages of Change constructs within the Transtheoretical Model. The intervention was a six-session group-based health education program delivered by trained CHWs.&lt;br&gt;&lt;br&gt;&lt;strong&gt;RESULTS:&lt;/strong&gt; From baseline to 12 weeks, knowledge increased significantly (p &lt;  .001). Systolic BP measures improved (p = .0008). More than half of participants lost weight; however, weight change did not reach significance (p = .1380). Most (87%) participants indicated having a medical home at baseline; at the end of the study the percentage increased to 92% (p = .0138).&lt;br&gt;&lt;br&gt;&lt;strong&gt;CONCLUSION:&lt;/strong&gt; A church-based intervention delivered by trained CHWs is feasible and may be a promising public health strategy to increase knowledge regarding hypertension and stroke prevention among African-Americans.&lt;br&gt;&lt;br&gt;© 2015 Wiley Periodicals, Inc.","author":[{"family":"Williams","given":"Lovoria B"},{"family":"Franklin","given":"Brandi"},{"family":"Evans","given":"Mary B"},{"family":"Jackson","given":"Chazeman"},{"family":"Hill","given":"Alethea"},{"family":"Minor","given":"Michael"}],"authorYearDisplayFormat":false,"citation-label":"5587733","container-title":"Public Health Nursing","container-title-short":"Public Health Nurs.","id":"5587733","invisible":false,"issue":"1","issued":{"date-parts":[["2016","2"]]},"journalAbbreviation":"Public Health Nurs.","page":"11-20","suppress-author":false,"title":"Turn the Beat Around: A Stroke Prevention Program for African-American Churches.","type":"article-journal","volume":"33"}]</w:instrText>
      </w:r>
      <w:r w:rsidR="00BC6E4B">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17,38–40</w:t>
      </w:r>
      <w:r w:rsidR="00BC6E4B">
        <w:rPr>
          <w:rFonts w:ascii="Arial" w:eastAsia="Times New Roman" w:hAnsi="Arial" w:cs="Arial"/>
          <w:color w:val="000000" w:themeColor="text1"/>
        </w:rPr>
        <w:fldChar w:fldCharType="end"/>
      </w:r>
      <w:r w:rsidR="00BC6E4B">
        <w:rPr>
          <w:rFonts w:ascii="Arial" w:eastAsia="Times New Roman" w:hAnsi="Arial" w:cs="Arial"/>
          <w:color w:val="000000" w:themeColor="text1"/>
        </w:rPr>
        <w:t xml:space="preserve"> Studies report improvement in knowledge by 4-26% to be significant and </w:t>
      </w:r>
      <w:r w:rsidR="00B349CA">
        <w:rPr>
          <w:rFonts w:ascii="Arial" w:eastAsia="Times New Roman" w:hAnsi="Arial" w:cs="Arial"/>
          <w:color w:val="000000" w:themeColor="text1"/>
        </w:rPr>
        <w:t>correlated with changes in health behavior and BP.</w:t>
      </w:r>
      <w:r w:rsidR="00B349CA">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F1000_CSL_CITATION&lt;~#@#~&gt;[{"DOI":"10.5888/pcd11.130250","First":false,"Last":false,"PMCID":"PMC3929339","PMID":"24524426","abstract":"&lt;strong&gt;INTRODUCTION:&lt;/strong&gt; Cardiovascular disease is the leading cause of death in the United States, and disparities in cardiovascular health exist among African Americans, American Indians, Hispanics, and Filipinos. The Community Health Worker Health Disparities Initiative of the National Heart, Lung, and Blood Institute (NHLBI) includes culturally tailored curricula taught by community health workers (CHWs) to improve knowledge and heart-healthy behaviors in these racial/ethnic groups.&lt;br&gt;&lt;br&gt;&lt;strong&gt;METHODS:&lt;/strong&gt; We used data from 1,004 community participants in a 10-session curriculum taught by CHWs at 15 sites to evaluate the NHLBI's health disparities initiative by using a 1-group pretest-posttest design. The curriculum addressed identification and management of cardiovascular disease risk factors. We used linear mixed effects and generalized linear mixed effects models to examine results.&lt;br&gt;&lt;br&gt;&lt;strong&gt;RESULTS:&lt;/strong&gt; Average participant age was 48; 75% were female, 50% were Hispanic, 35% were African American, 8% were Filipino, and 7% were American Indian. Twenty-three percent reported a history of diabetes, and 37% reported a family history of heart disease. Correct pretest to posttest knowledge scores increased from 48% to 74% for heart healthy knowledge. The percentage of participants at the action or maintenance stage of behavior change increased from 41% to 85%.&lt;br&gt;&lt;br&gt;&lt;strong&gt;CONCLUSION:&lt;/strong&gt; Using the CHW model to implement community education with culturally tailored curricula may improve heart health knowledge and behaviors among minorities. Further studies should examine the influence of such programs on clinical risk factors for cardiovascular disease.","author":[{"family":"Hurtado","given":"Margarita"},{"family":"Spinner","given":"Jovonni R"},{"family":"Yang","given":"Manshu"},{"family":"Evensen","given":"Christian"},{"family":"Windham","given":"Amy"},{"family":"Ortiz","given":"Gloria"},{"family":"Tracy","given":"Rachel"},{"family":"Ivy","given":"Edward Donnell"}],"authorYearDisplayFormat":false,"citation-label":"4735031","container-title":"Preventing Chronic Disease","container-title-short":"Prev. Chronic Dis.","id":"4735031","invisible":false,"issued":{"date-parts":[["2014","2","13"]]},"journalAbbreviation":"Prev. Chronic Dis.","page":"E22","suppress-author":false,"title":"Knowledge and behavioral effects in cardiovascular health: Community Health Worker Health Disparities Initiative, 2007-2010.","type":"article-journal","volume":"11"},{"DOI":"10.3390/healthcare6030071","First":false,"Last":false,"PMCID":"PMC6164969","PMID":"29941776","abstract":"Cardiovascular disease (CVD) is a major cause of death and disability, especially among people living in the rural, southern United States. Rural African Americans are often diagnosed with CVD earlier in life, and they bear a disproportionate burden of CVD risk factors, morbidity, and mortality. Health equity among historically underserved, rural populations can potentially be attained through culturally relevant interventions that teach people skills to stay well and avoid CVD-related risk and diagnoses. The purpose of this secondary analysis was to determine the effect of an evidence-based intervention on cardiovascular health knowledge and the stages of change toward the action and maintenance phases. The pre-test-post-test data were obtained during a cluster randomized trial involving twelve rural churches that were randomized to intervention (n = 6) and control (n = 6) groups. Participants (n = 115) in the intervention group received a cardiovascular health intervention, and those (n = 114) in the control group could receive the intervention following the study’s completion. The data were analyzed using a linear mixed model to compare group differences from pre-test to post-test. The cardiovascular health promotion intervention significantly improved cardiovascular health knowledge and was associated with advancements in the stages of change toward the action and maintenance phases.","author":[{"family":"Abbott","given":"Laurie S"},{"family":"Slate","given":"Elizabeth H"}],"authorYearDisplayFormat":false,"citation-label":"7237903","container-title":"Healthcare (Basel)","container-title-short":"Healthcare (Basel)","id":"7237903","invisible":false,"issue":"3","issued":{"date-parts":[["2018","6","25"]]},"journalAbbreviation":"Healthcare (Basel)","suppress-author":false,"title":"Improving Cardiovascular Disease Knowledge among Rural Participants: The Results of a Cluster Randomized Trial.","type":"article-journal","volume":"6"},{"DOI":"10.1111/phn.12234","First":false,"Last":false,"PMID":"26404001","abstract":"&lt;strong&gt;OBJECTIVE:&lt;/strong&gt; The objective was to pilot a socioculturally tailored church-based stroke prevention program delivered by trained community health workers (CHWs) and to test its effects on participant knowledge scores.&lt;br&gt;&lt;br&gt;&lt;strong&gt;DESIGN AND SAMPLE:&lt;/strong&gt; A single-group, pre-post test pilot study was conducted with a convenience sample of 201 adult African-Americans recruited from nine churches in three Alabama counties. Measurements included participant weight, blood pressure (BP), physical activity level; knowledge related to hypertension, heart disease, and stroke; cigarette smoking; and access to care, as well as the Stages of Change constructs within the Transtheoretical Model. The intervention was a six-session group-based health education program delivered by trained CHWs.&lt;br&gt;&lt;br&gt;&lt;strong&gt;MEASURES:&lt;/strong&gt; Measurements included participant weight, blood pressure (BP), physical activity level; knowledge related to hypertension, heart disease, and stroke; cigarette smoking; and access to care, as well as the Stages of Change constructs within the Transtheoretical Model. The intervention was a six-session group-based health education program delivered by trained CHWs.&lt;br&gt;&lt;br&gt;&lt;strong&gt;RESULTS:&lt;/strong&gt; From baseline to 12 weeks, knowledge increased significantly (p &lt;  .001). Systolic BP measures improved (p = .0008). More than half of participants lost weight; however, weight change did not reach significance (p = .1380). Most (87%) participants indicated having a medical home at baseline; at the end of the study the percentage increased to 92% (p = .0138).&lt;br&gt;&lt;br&gt;&lt;strong&gt;CONCLUSION:&lt;/strong&gt; A church-based intervention delivered by trained CHWs is feasible and may be a promising public health strategy to increase knowledge regarding hypertension and stroke prevention among African-Americans.&lt;br&gt;&lt;br&gt;© 2015 Wiley Periodicals, Inc.","author":[{"family":"Williams","given":"Lovoria B"},{"family":"Franklin","given":"Brandi"},{"family":"Evans","given":"Mary B"},{"family":"Jackson","given":"Chazeman"},{"family":"Hill","given":"Alethea"},{"family":"Minor","given":"Michael"}],"authorYearDisplayFormat":false,"citation-label":"5587733","container-title":"Public Health Nursing","container-title-short":"Public Health Nurs.","id":"5587733","invisible":false,"issue":"1","issued":{"date-parts":[["2016","2"]]},"journalAbbreviation":"Public Health Nurs.","page":"11-20","suppress-author":false,"title":"Turn the Beat Around: A Stroke Prevention Program for African-American Churches.","type":"article-journal","volume":"33"}]</w:instrText>
      </w:r>
      <w:r w:rsidR="00B349CA">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17,37,38</w:t>
      </w:r>
      <w:r w:rsidR="00B349CA">
        <w:rPr>
          <w:rFonts w:ascii="Arial" w:eastAsia="Times New Roman" w:hAnsi="Arial" w:cs="Arial"/>
          <w:color w:val="000000" w:themeColor="text1"/>
        </w:rPr>
        <w:fldChar w:fldCharType="end"/>
      </w:r>
      <w:r w:rsidR="00B349CA">
        <w:rPr>
          <w:rFonts w:ascii="Arial" w:eastAsia="Times New Roman" w:hAnsi="Arial" w:cs="Arial"/>
          <w:color w:val="000000" w:themeColor="text1"/>
        </w:rPr>
        <w:t xml:space="preserve"> </w:t>
      </w:r>
    </w:p>
    <w:p w14:paraId="14B6B404" w14:textId="20940A7F" w:rsidR="0097493D" w:rsidRPr="002B3A17" w:rsidRDefault="0097493D" w:rsidP="0097493D">
      <w:pPr>
        <w:spacing w:line="480" w:lineRule="auto"/>
        <w:ind w:firstLine="720"/>
        <w:rPr>
          <w:rFonts w:ascii="Arial" w:hAnsi="Arial" w:cs="Arial"/>
          <w:color w:val="000000" w:themeColor="text1"/>
        </w:rPr>
      </w:pPr>
      <w:r w:rsidRPr="002B3A17">
        <w:rPr>
          <w:rFonts w:ascii="Arial" w:eastAsia="Times New Roman" w:hAnsi="Arial" w:cs="Arial"/>
          <w:color w:val="000000" w:themeColor="text1"/>
        </w:rPr>
        <w:t>Lastly, although not technically an outcome measure, vitals measurements of BP, smoking status and amount, participant height and weight (for BMI calculation), as well as record of PA are important to track both for patient quality of life and success of the progam.</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F1000_CSL_CITATION&lt;~#@#~&gt;[{"DOI":"10.2174/138161210792062920","First":false,"Last":false,"PMID":"20550499","abstract":"Cigarette smoking is a powerful cardiovascular risk factor and smoking cessation is the single most effective lifestyle measure for the prevention of a large number of cardiovascular diseases. Impairment of endothelial function, arterial stiffness, inflammation, lipid modification as well as an alteration of antithrombotic and prothrombotic factors are smoking-related major determinants of initiation, and acceleration of the atherothrombotic process, leading to cardiovascular events. Cigarette smoking acutely exerts an hypertensive effect, mainly through the stimulation of the sympathetic nervous system. As concern the impact of chronic smoking on blood pressure, available data do not put clearly in evidence a direct causal relationship between these two cardiovascular risk factors, a concept supported by the evidence that no lower blood pressure values have been observed after chronic smoking cessation. Nevertheless, smoking, affecting arterial stiffness and wave reflection might have greater detrimental effect on central blood pressure, which is more closely related to target organ damage than brachial blood pressure. Hypertensive smokers are more likely to develop severe forms of hypertension, including malignant and renovascular hypertension, an effect likely due to an accelerated atherosclerosis.","author":[{"family":"Virdis","given":"A"},{"family":"Giannarelli","given":"C"},{"family":"Neves","given":"M Fritsch"},{"family":"Taddei","given":"S"},{"family":"Ghiadoni","given":"L"}],"authorYearDisplayFormat":false,"citation-label":"4348086","container-title":"Current Pharmaceutical Design","container-title-short":"Curr. Pharm. Des.","id":"4348086","invisible":false,"issue":"23","issued":{"date-parts":[["2010"]]},"journalAbbreviation":"Curr. Pharm. Des.","page":"2518-2525","suppress-author":false,"title":"Cigarette smoking and hypertension.","type":"article-journal","volume":"16"},{"DOI":"10.1016/j.jad.2019.09.049","First":false,"Last":false,"PMID":"31539696","abstract":"&lt;strong&gt;INTRODUCTION:&lt;/strong&gt; Depression is associated with increased risk of incident and recurrent cardiovascular disease, while the association between depression and cardiovascular health (CVH) remains unknown. Because the natural course of depression varies widely, different patterns of depression, as well as co-occurring factors such as cigarette smoking, may influence this relationship. We examined potential interactions between longitudinal patterns of depression and smoking with CVH.&lt;br&gt;&lt;br&gt;&lt;strong&gt;METHODS:&lt;/strong&gt; Using data from the Coronary Artery Risk Development in Young Adults (CARDIA) study, we modeled trajectories of depression (Center for Epidemiologic Studies Depression scale scores; Years 5, 10, 15, 20) and smoking (cigarettes/day; Years 0, 2, 5, 7, 10, 15, 20). We calculated a modified American Heart Association (AHA) CVH Score (weight, blood glucose, cholesterol, blood pressure, physical activity, and diet; Year 20); higher scores indicate better CVH. Generalized linear models evaluated associations between depression trajectories, smoking trajectories, and their interaction with CVH Score.&lt;br&gt;&lt;br&gt;&lt;strong&gt;RESULTS:&lt;/strong&gt; The depression trajectory x smoking trajectory interaction was not associated with CVH Score, but main effects of depression trajectory (p &lt;  .001) and smoking trajectory (p &lt;  .001) were observed. Participants with patterns of subthreshold depression (β = -0.26, SE=0.08), increasing depression (β = -0.51 SE = 0.14), and high depression (β = -0.65, SE = 0.32) had lower CVH Scores than those without depression. Compared to never smokers, participants who quit smoking had higher CVH Scores (β = 0.38, SE = 0.11), while participants with the greatest smoking exposure had lower CVH Scores (β = -0.49, SE = 0.22).&lt;br&gt;&lt;br&gt;&lt;strong&gt;LIMITATIONS:&lt;/strong&gt; CVH Scores were adapted from the AHA guidelines based on the available CARDIA data.&lt;br&gt;&lt;br&gt;&lt;strong&gt;CONCLUSIONS:&lt;/strong&gt; Deleterious depression and smoking trajectories are independently but not synergistically associated with worse CVH.&lt;br&gt;&lt;br&gt;Copyright © 2019 Elsevier B.V. All rights reserved.","author":[{"family":"Carroll","given":"Allison J"},{"family":"Huffman","given":"Mark D"},{"family":"Zhao","given":"Lihui"},{"family":"Jacobs","given":"David R"},{"family":"Stewart","given":"Jesse C"},{"family":"Kiefe","given":"Catarina I"},{"family":"Brunner","given":"Wendy"},{"family":"Liu","given":"Kiang"},{"family":"Hitsman","given":"Brian"}],"authorYearDisplayFormat":false,"citation-label":"7789889","container-title":"Journal of Affective Disorders","container-title-short":"J. Affect. Disord.","id":"7789889","invisible":false,"issued":{"date-parts":[["2020","1","1"]]},"journalAbbreviation":"J. Affect. Disord.","page":"583-591","suppress-author":false,"title":"Associations between depressive symptoms, cigarette smoking, and cardiovascular health: Longitudinal results from CARDIA.","type":"article-journal","volume":"260"},{"DOI":"10.1016/j.jand.2013.09.018","First":false,"Last":false,"PMCID":"PMC3915355","PMID":"24290836","author":[{"family":"Sylvia","given":"Louisa G"},{"family":"Bernstein","given":"Emily E"},{"family":"Hubbard","given":"Jane L"},{"family":"Keating","given":"Leigh"},{"family":"Anderson","given":"Ellen J"}],"authorYearDisplayFormat":false,"citation-label":"3611960","container-title":"Journal of the Academy of Nutrition and Dietetics","container-title-short":"J. Acad. Nutr. Diet.","id":"3611960","invisible":false,"issue":"2","issued":{"date-parts":[["2014","2"]]},"journalAbbreviation":"J. Acad. Nutr. Diet.","page":"199-208","suppress-author":false,"title":"Practical guide to measuring physical activity.","type":"article-journal","volume":"114"},{"First":false,"Last":false,"PMID":"8622248","abstract":"&lt;strong&gt;OBJECTIVE:&lt;/strong&gt; - To examine the prevalence, incidence, predisposing factors for hypertension, its hazards as an ingredient of the cardiovascular risk profile, and the implications of this information for prevention and treatment.&lt;br&gt;&lt;br&gt;&lt;strong&gt;METHODS:&lt;/strong&gt; - Prospective longitudinal analysis of 36-year follow-up data from the Framingham Study of the relation of antecedent blood pressure to occurrence of subsequent cardiovascular morbidity and mortality depending on the metabolically linked burden of associated risk factors.&lt;br&gt;&lt;br&gt;&lt;strong&gt;RESULTS:&lt;/strong&gt; - Hypertension is one of the most prevalent and powerful contributors to cardiovascular diseases, the leading cause of death in the United States. There is, on average, a 20 mm Hg systolic and 10 mm Hg diastolic increment increase in blood pressure from age 30 to 65 years. Isolated systolic hypertension is the dominant variety. There is no evidence of a decline in the prevalence of hypertension over 4 decades despite improvements in its detection and treatment. Hypertension contributes to all of the major atherosclerotic cardiovascular disease outcomes increasing risk, on average, 2- to 3-fold. Coronary disease, the most lethal and common sequela, deserves highest priority. Hypertension clusters with dyslipidemia, insulin resistance, glucose intolerance, and obesity, occurring in isolation in less than 20%. The hazard depends on the number of these associated metabolically linked risk factors present. Coexistent overt cardiovascular disease also influences the hazard and choice of therapy.&lt;br&gt;&lt;br&gt;&lt;strong&gt;CONCLUSION:&lt;/strong&gt; - The absence of a decline in the prevalence of hypertension indicates an urgent need for primary prevention by weight control, exercise, and reduced salt and alcohol intake. The urgency and choice of therapy of existing hypertension should be based on the multivariate cardiovascular risk profile that more appropriately targets hypertensive persons for treatment and prevention of cardiovascular sequelae.","author":[{"family":"Kannel","given":"W B"}],"authorYearDisplayFormat":false,"citation-label":"7774128","container-title":"The Journal of the American Medical Association","container-title-short":"JAMA","id":"7774128","invisible":false,"issue":"20","issued":{"date-parts":[["1996","5","29"]]},"journalAbbreviation":"JAMA","page":"1571-1576","suppress-author":false,"title":"Blood pressure as a cardiovascular risk factor: prevention and treatment.","type":"article-journal","volume":"275"},{"DOI":"10.1016/S0895-7061(99)00252-6","First":false,"Last":false,"author":[{"family":"Kannel","given":"W"}],"authorYearDisplayFormat":false,"citation-label":"7774133","container-title":"American Journal of Hypertension","container-title-short":"Am. J. Hypertens.","id":"7774133","invisible":false,"issue":"1","issued":{"date-parts":[["2000","1"]]},"journalAbbreviation":"Am. J. Hypertens.","page":"S3-S10","suppress-author":false,"title":"Risk stratification in hypertension: new insights from the Framingham study*1","type":"article-journal","volume":"13"},{"DOI":"10.1136/bmj.39548.738368.BE","First":false,"Last":false,"PMCID":"PMC2386598","PMID":"18480116","abstract":"&lt;strong&gt;OBJECTIVE:&lt;/strong&gt; To quantify the relative risk reductions achieved with different regimens to lower blood pressure in younger and older adults.&lt;br&gt;&lt;br&gt;&lt;strong&gt;DESIGN:&lt;/strong&gt; Meta-analyses and meta-regression analyses used to compare the effects on the primary outcome between two age groups (&lt; 65 v &gt; or =65 years). Evidence for an interaction between age and the effects of treatment sought by fitting age as a continuous variable and estimating overall effects across trials.&lt;br&gt;&lt;br&gt;&lt;strong&gt;MAIN OUTCOME MEASURES:&lt;/strong&gt; &lt;br&gt;&lt;br&gt;&lt;strong&gt;PRIMARY OUTCOME:&lt;/strong&gt; total major cardiovascular events.&lt;br&gt;&lt;br&gt;&lt;strong&gt;RESULTS:&lt;/strong&gt; 31 trials, with 190 606 participants, were included. The meta-analyses showed no clear difference between age groups in the effects of lowering blood pressure or any difference between the effects of the drug classes on major cardiovascular events (all P&gt; or =0.24). Neither was there any significant interaction between age and treatment when age was fitted as a continuous variable (all P&gt;0.09). The meta-regressions also showed no difference in effects between the two age groups for the outcome of major cardiovascular events (&lt; 65 v &gt; or =65; P=0.38).&lt;br&gt;&lt;br&gt;&lt;strong&gt;CONCLUSIONS:&lt;/strong&gt; Reduction of blood pressure produces benefits in younger (&lt; 65 years) and older (&gt; or =65 years) adults, with no strong evidence that protection against major vascular events afforded by different drug classes varies substantially with age.","author":[{"family":"Blood Pressure Lowering Treatment Trialists' Collaboration"},{"family":"Turnbull","given":"F"},{"family":"Neal","given":"B"},{"family":"Ninomiya","given":"T"},{"family":"Algert","given":"C"},{"family":"Arima","given":"H"},{"family":"Barzi","given":"F"},{"family":"Bulpitt","given":"C"},{"family":"Chalmers","given":"J"},{"family":"Fagard","given":"R"},{"family":"Gleason","given":"A"},{"family":"Heritier","given":"S"},{"family":"Li","given":"N"},{"family":"Perkovic","given":"V"},{"family":"Woodward","given":"M"},{"family":"MacMahon","given":"S"}],"authorYearDisplayFormat":false,"citation-label":"3267961","container-title":"BMJ (Clinical Research Ed.)","container-title-short":"BMJ","id":"3267961","invisible":false,"issue":"7653","issued":{"date-parts":[["2008","5","17"]]},"journalAbbreviation":"BMJ","page":"1121-1123","suppress-author":false,"title":"Effects of different regimens to lower blood pressure on major cardiovascular events in older and younger adults: meta-analysis of randomised trials.","type":"article-journal","volume":"336"},{"DOI":"10.1016/0140-6736(90)90878-9","First":false,"Last":false,"PMID":"1969518","abstract":"The associations of diastolic blood pressure (DBP) with stroke and with coronary heart disease (CHD) were investigated in nine major prospective observational studies: total 420,000 individuals, 843 strokes, and 4856 CHD events, 6-25 (mean 10) years of follow-up. The combined results demonstrate positive, continuous, and apparently independent associations, with no significant heterogeneity of effect among different studies. Within the range of DBP studied (about 70-110 mm Hg), there was no evidence of any \"threshold\" below which lower levels of DBP were not associated with lower risks of stroke and of CHD. Previous analyses have described the uncorrected associations of DBP measured just at \"baseline\" with subsequent disease rates. But, because of the diluting effects of random fluctuations in DBP, these substantially underestimate the true associations of the usual DBP (ie, an individual's long-term average DBP) with disease. After correction for this \"regression dilution\" bias, prolonged differences in usual DBP of 5, 7.5, and 10 mm Hg were respectively associated with at least 34%, 46%, and 56% less stroke and at least 21%, 29%, and 37% less CHD. These associations are about 60% greater than in previous uncorrected analyses. (This regression dilution bias is quite general, so analogous corrections to the relations of cholesterol to CHD or of various other risk factors to CHD or to other diseases would likewise increase their estimated strengths.) The DBP results suggest that for the large majority of individuals, whether conventionally \"hypertensive\" or \"normotensive\", a lower blood pressure should eventually confer a lower risk of vascular disease.","author":[{"family":"MacMahon","given":"S"},{"family":"Peto","given":"R"},{"family":"Cutler","given":"J"},{"family":"Collins","given":"R"},{"family":"Sorlie","given":"P"},{"family":"Neaton","given":"J"},{"family":"Abbott","given":"R"},{"family":"Godwin","given":"J"},{"family":"Dyer","given":"A"},{"family":"Stamler","given":"J"}],"authorYearDisplayFormat":false,"citation-label":"1486866","container-title":"The Lancet","container-title-short":"Lancet","id":"1486866","invisible":false,"issue":"8692","issued":{"date-parts":[["1990","3","31"]]},"journalAbbreviation":"Lancet","page":"765-774","suppress-author":false,"title":"Blood pressure, stroke, and coronary heart disease. Part 1, Prolonged differences in blood pressure: prospective observational studies corrected for the regression dilution bias.","type":"article-journal","volume":"335"}]</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5,6,14,15,41–43</w:t>
      </w:r>
      <w:r w:rsidRPr="002B3A17">
        <w:rPr>
          <w:rFonts w:ascii="Arial" w:eastAsia="Times New Roman" w:hAnsi="Arial" w:cs="Arial"/>
          <w:color w:val="000000" w:themeColor="text1"/>
        </w:rPr>
        <w:fldChar w:fldCharType="end"/>
      </w:r>
      <w:r w:rsidRPr="002B3A17">
        <w:rPr>
          <w:rFonts w:ascii="Arial" w:eastAsia="Times New Roman" w:hAnsi="Arial" w:cs="Arial"/>
          <w:color w:val="000000" w:themeColor="text1"/>
        </w:rPr>
        <w:t xml:space="preserve"> As stated above, changes in BP can indicate significant reductions in risk of adverse health outcomes, making it a meaningful piece of information to track for evaluation of program effectiveness.</w:t>
      </w:r>
      <w:r w:rsidRPr="002B3A17">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F1000_CSL_CITATION&lt;~#@#~&gt;[{"First":false,"Last":false,"PMID":"8622248","abstract":"&lt;strong&gt;OBJECTIVE:&lt;/strong&gt; - To examine the prevalence, incidence, predisposing factors for hypertension, its hazards as an ingredient of the cardiovascular risk profile, and the implications of this information for prevention and treatment.&lt;br&gt;&lt;br&gt;&lt;strong&gt;METHODS:&lt;/strong&gt; - Prospective longitudinal analysis of 36-year follow-up data from the Framingham Study of the relation of antecedent blood pressure to occurrence of subsequent cardiovascular morbidity and mortality depending on the metabolically linked burden of associated risk factors.&lt;br&gt;&lt;br&gt;&lt;strong&gt;RESULTS:&lt;/strong&gt; - Hypertension is one of the most prevalent and powerful contributors to cardiovascular diseases, the leading cause of death in the United States. There is, on average, a 20 mm Hg systolic and 10 mm Hg diastolic increment increase in blood pressure from age 30 to 65 years. Isolated systolic hypertension is the dominant variety. There is no evidence of a decline in the prevalence of hypertension over 4 decades despite improvements in its detection and treatment. Hypertension contributes to all of the major atherosclerotic cardiovascular disease outcomes increasing risk, on average, 2- to 3-fold. Coronary disease, the most lethal and common sequela, deserves highest priority. Hypertension clusters with dyslipidemia, insulin resistance, glucose intolerance, and obesity, occurring in isolation in less than 20%. The hazard depends on the number of these associated metabolically linked risk factors present. Coexistent overt cardiovascular disease also influences the hazard and choice of therapy.&lt;br&gt;&lt;br&gt;&lt;strong&gt;CONCLUSION:&lt;/strong&gt; - The absence of a decline in the prevalence of hypertension indicates an urgent need for primary prevention by weight control, exercise, and reduced salt and alcohol intake. The urgency and choice of therapy of existing hypertension should be based on the multivariate cardiovascular risk profile that more appropriately targets hypertensive persons for treatment and prevention of cardiovascular sequelae.","author":[{"family":"Kannel","given":"W B"}],"authorYearDisplayFormat":false,"citation-label":"7774128","container-title":"The Journal of the American Medical Association","container-title-short":"JAMA","id":"7774128","invisible":false,"issue":"20","issued":{"date-parts":[["1996","5","29"]]},"journalAbbreviation":"JAMA","page":"1571-1576","suppress-author":false,"title":"Blood pressure as a cardiovascular risk factor: prevention and treatment.","type":"article-journal","volume":"275"},{"DOI":"10.1016/S0895-7061(99)00252-6","First":false,"Last":false,"author":[{"family":"Kannel","given":"W"}],"authorYearDisplayFormat":false,"citation-label":"7774133","container-title":"American Journal of Hypertension","container-title-short":"Am. J. Hypertens.","id":"7774133","invisible":false,"issue":"1","issued":{"date-parts":[["2000","1"]]},"journalAbbreviation":"Am. J. Hypertens.","page":"S3-S10","suppress-author":false,"title":"Risk stratification in hypertension: new insights from the Framingham study*1","type":"article-journal","volume":"13"},{"DOI":"10.1136/bmj.39548.738368.BE","First":false,"Last":false,"PMCID":"PMC2386598","PMID":"18480116","abstract":"&lt;strong&gt;OBJECTIVE:&lt;/strong&gt; To quantify the relative risk reductions achieved with different regimens to lower blood pressure in younger and older adults.&lt;br&gt;&lt;br&gt;&lt;strong&gt;DESIGN:&lt;/strong&gt; Meta-analyses and meta-regression analyses used to compare the effects on the primary outcome between two age groups (&lt; 65 v &gt; or =65 years). Evidence for an interaction between age and the effects of treatment sought by fitting age as a continuous variable and estimating overall effects across trials.&lt;br&gt;&lt;br&gt;&lt;strong&gt;MAIN OUTCOME MEASURES:&lt;/strong&gt; &lt;br&gt;&lt;br&gt;&lt;strong&gt;PRIMARY OUTCOME:&lt;/strong&gt; total major cardiovascular events.&lt;br&gt;&lt;br&gt;&lt;strong&gt;RESULTS:&lt;/strong&gt; 31 trials, with 190 606 participants, were included. The meta-analyses showed no clear difference between age groups in the effects of lowering blood pressure or any difference between the effects of the drug classes on major cardiovascular events (all P&gt; or =0.24). Neither was there any significant interaction between age and treatment when age was fitted as a continuous variable (all P&gt;0.09). The meta-regressions also showed no difference in effects between the two age groups for the outcome of major cardiovascular events (&lt; 65 v &gt; or =65; P=0.38).&lt;br&gt;&lt;br&gt;&lt;strong&gt;CONCLUSIONS:&lt;/strong&gt; Reduction of blood pressure produces benefits in younger (&lt; 65 years) and older (&gt; or =65 years) adults, with no strong evidence that protection against major vascular events afforded by different drug classes varies substantially with age.","author":[{"family":"Blood Pressure Lowering Treatment Trialists' Collaboration"},{"family":"Turnbull","given":"F"},{"family":"Neal","given":"B"},{"family":"Ninomiya","given":"T"},{"family":"Algert","given":"C"},{"family":"Arima","given":"H"},{"family":"Barzi","given":"F"},{"family":"Bulpitt","given":"C"},{"family":"Chalmers","given":"J"},{"family":"Fagard","given":"R"},{"family":"Gleason","given":"A"},{"family":"Heritier","given":"S"},{"family":"Li","given":"N"},{"family":"Perkovic","given":"V"},{"family":"Woodward","given":"M"},{"family":"MacMahon","given":"S"}],"authorYearDisplayFormat":false,"citation-label":"3267961","container-title":"BMJ (Clinical Research Ed.)","container-title-short":"BMJ","id":"3267961","invisible":false,"issue":"7653","issued":{"date-parts":[["2008","5","17"]]},"journalAbbreviation":"BMJ","page":"1121-1123","suppress-author":false,"title":"Effects of different regimens to lower blood pressure on major cardiovascular events in older and younger adults: meta-analysis of randomised trials.","type":"article-journal","volume":"336"},{"DOI":"10.1016/0140-6736(90)90878-9","First":false,"Last":false,"PMID":"1969518","abstract":"The associations of diastolic blood pressure (DBP) with stroke and with coronary heart disease (CHD) were investigated in nine major prospective observational studies: total 420,000 individuals, 843 strokes, and 4856 CHD events, 6-25 (mean 10) years of follow-up. The combined results demonstrate positive, continuous, and apparently independent associations, with no significant heterogeneity of effect among different studies. Within the range of DBP studied (about 70-110 mm Hg), there was no evidence of any \"threshold\" below which lower levels of DBP were not associated with lower risks of stroke and of CHD. Previous analyses have described the uncorrected associations of DBP measured just at \"baseline\" with subsequent disease rates. But, because of the diluting effects of random fluctuations in DBP, these substantially underestimate the true associations of the usual DBP (ie, an individual's long-term average DBP) with disease. After correction for this \"regression dilution\" bias, prolonged differences in usual DBP of 5, 7.5, and 10 mm Hg were respectively associated with at least 34%, 46%, and 56% less stroke and at least 21%, 29%, and 37% less CHD. These associations are about 60% greater than in previous uncorrected analyses. (This regression dilution bias is quite general, so analogous corrections to the relations of cholesterol to CHD or of various other risk factors to CHD or to other diseases would likewise increase their estimated strengths.) The DBP results suggest that for the large majority of individuals, whether conventionally \"hypertensive\" or \"normotensive\", a lower blood pressure should eventually confer a lower risk of vascular disease.","author":[{"family":"MacMahon","given":"S"},{"family":"Peto","given":"R"},{"family":"Cutler","given":"J"},{"family":"Collins","given":"R"},{"family":"Sorlie","given":"P"},{"family":"Neaton","given":"J"},{"family":"Abbott","given":"R"},{"family":"Godwin","given":"J"},{"family":"Dyer","given":"A"},{"family":"Stamler","given":"J"}],"authorYearDisplayFormat":false,"citation-label":"1486866","container-title":"The Lancet","container-title-short":"Lancet","id":"1486866","invisible":false,"issue":"8692","issued":{"date-parts":[["1990","3","31"]]},"journalAbbreviation":"Lancet","page":"765-774","suppress-author":false,"title":"Blood pressure, stroke, and coronary heart disease. Part 1, Prolonged differences in blood pressure: prospective observational studies corrected for the regression dilution bias.","type":"article-journal","volume":"335"}]</w:instrText>
      </w:r>
      <w:r w:rsidRPr="002B3A17">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5,6,14,15</w:t>
      </w:r>
      <w:r w:rsidRPr="002B3A17">
        <w:rPr>
          <w:rFonts w:ascii="Arial" w:eastAsia="Times New Roman" w:hAnsi="Arial" w:cs="Arial"/>
          <w:color w:val="000000" w:themeColor="text1"/>
        </w:rPr>
        <w:fldChar w:fldCharType="end"/>
      </w:r>
      <w:r w:rsidRPr="002B3A17">
        <w:rPr>
          <w:rFonts w:ascii="Arial" w:eastAsia="Times New Roman" w:hAnsi="Arial" w:cs="Arial"/>
          <w:color w:val="000000" w:themeColor="text1"/>
        </w:rPr>
        <w:t xml:space="preserve"> Additionally, to track actual behavior change, a daily log of PA</w:t>
      </w:r>
      <w:r w:rsidRPr="002B3A17">
        <w:rPr>
          <w:rFonts w:ascii="Arial" w:hAnsi="Arial" w:cs="Arial"/>
          <w:color w:val="000000" w:themeColor="text1"/>
        </w:rPr>
        <w:t xml:space="preserve"> enables comparisons to national guidelines and is the most feasible.</w:t>
      </w:r>
      <w:r w:rsidRPr="002B3A17">
        <w:rPr>
          <w:rFonts w:ascii="Arial" w:hAnsi="Arial" w:cs="Arial"/>
          <w:color w:val="000000" w:themeColor="text1"/>
        </w:rPr>
        <w:fldChar w:fldCharType="begin"/>
      </w:r>
      <w:r w:rsidR="007E173F">
        <w:rPr>
          <w:rFonts w:ascii="Arial" w:hAnsi="Arial" w:cs="Arial"/>
          <w:color w:val="000000" w:themeColor="text1"/>
        </w:rPr>
        <w:instrText>ADDIN F1000_CSL_CITATION&lt;~#@#~&gt;[{"DOI":"10.1016/j.jand.2013.09.018","First":false,"Last":false,"PMCID":"PMC3915355","PMID":"24290836","author":[{"family":"Sylvia","given":"Louisa G"},{"family":"Bernstein","given":"Emily E"},{"family":"Hubbard","given":"Jane L"},{"family":"Keating","given":"Leigh"},{"family":"Anderson","given":"Ellen J"}],"authorYearDisplayFormat":false,"citation-label":"3611960","container-title":"Journal of the Academy of Nutrition and Dietetics","container-title-short":"J. Acad. Nutr. Diet.","id":"3611960","invisible":false,"issue":"2","issued":{"date-parts":[["2014","2"]]},"journalAbbreviation":"J. Acad. Nutr. Diet.","page":"199-208","suppress-author":false,"title":"Practical guide to measuring physical activity.","type":"article-journal","volume":"114"},{"First":false,"Last":false,"URL":"https://www.physio-pedia.com/Physical_Activity_and_Outcome_Measures","accessed":{"date-parts":[["2019","11","19"]]},"authorYearDisplayFormat":false,"citation-label":"7789920","id":"7789920","invisible":false,"issued":{"date-parts":[[]]},"suppress-author":false,"title":"Physical Activity and Outcome Measures - Physiopedia","type":"webpage"}]</w:instrText>
      </w:r>
      <w:r w:rsidRPr="002B3A17">
        <w:rPr>
          <w:rFonts w:ascii="Arial" w:hAnsi="Arial" w:cs="Arial"/>
          <w:color w:val="000000" w:themeColor="text1"/>
        </w:rPr>
        <w:fldChar w:fldCharType="separate"/>
      </w:r>
      <w:r w:rsidR="007E173F" w:rsidRPr="007E173F">
        <w:rPr>
          <w:rFonts w:ascii="Arial" w:hAnsi="Arial" w:cs="Arial"/>
          <w:noProof/>
          <w:color w:val="000000" w:themeColor="text1"/>
          <w:vertAlign w:val="superscript"/>
        </w:rPr>
        <w:t>43,44</w:t>
      </w:r>
      <w:r w:rsidRPr="002B3A17">
        <w:rPr>
          <w:rFonts w:ascii="Arial" w:hAnsi="Arial" w:cs="Arial"/>
          <w:color w:val="000000" w:themeColor="text1"/>
        </w:rPr>
        <w:fldChar w:fldCharType="end"/>
      </w:r>
      <w:r w:rsidRPr="002B3A17">
        <w:rPr>
          <w:rFonts w:ascii="Arial" w:hAnsi="Arial" w:cs="Arial"/>
          <w:color w:val="000000" w:themeColor="text1"/>
        </w:rPr>
        <w:t xml:space="preserve"> However, use of technology such as pedometers or use of apps, depending on accessibility, has been shown to be more reliable and less prone to bias, making fitness trackers the ideal solution if financially feasible.</w:t>
      </w:r>
      <w:r w:rsidRPr="002B3A17">
        <w:rPr>
          <w:rFonts w:ascii="Arial" w:hAnsi="Arial" w:cs="Arial"/>
          <w:color w:val="000000" w:themeColor="text1"/>
        </w:rPr>
        <w:fldChar w:fldCharType="begin"/>
      </w:r>
      <w:r w:rsidR="007E173F">
        <w:rPr>
          <w:rFonts w:ascii="Arial" w:hAnsi="Arial" w:cs="Arial"/>
          <w:color w:val="000000" w:themeColor="text1"/>
        </w:rPr>
        <w:instrText>ADDIN F1000_CSL_CITATION&lt;~#@#~&gt;[{"DOI":"10.1016/j.jand.2013.09.018","First":false,"Last":false,"PMCID":"PMC3915355","PMID":"24290836","author":[{"family":"Sylvia","given":"Louisa G"},{"family":"Bernstein","given":"Emily E"},{"family":"Hubbard","given":"Jane L"},{"family":"Keating","given":"Leigh"},{"family":"Anderson","given":"Ellen J"}],"authorYearDisplayFormat":false,"citation-label":"3611960","container-title":"Journal of the Academy of Nutrition and Dietetics","container-title-short":"J. Acad. Nutr. Diet.","id":"3611960","invisible":false,"issue":"2","issued":{"date-parts":[["2014","2"]]},"journalAbbreviation":"J. Acad. Nutr. Diet.","page":"199-208","suppress-author":false,"title":"Practical guide to measuring physical activity.","type":"article-journal","volume":"114"},{"First":false,"Last":false,"URL":"https://www.physio-pedia.com/Physical_Activity_and_Outcome_Measures","accessed":{"date-parts":[["2019","11","19"]]},"authorYearDisplayFormat":false,"citation-label":"7789920","id":"7789920","invisible":false,"issued":{"date-parts":[[]]},"suppress-author":false,"title":"Physical Activity and Outcome Measures - Physiopedia","type":"webpage"},{"DOI":"10.1001/jama.298.19.2296","First":false,"Last":false,"PMID":"18029834","abstract":"&lt;strong&gt;CONTEXT:&lt;/strong&gt; Without detailed evidence of their effectiveness, pedometers have recently become popular as a tool for motivating physical activity.&lt;br&gt;&lt;br&gt;&lt;strong&gt;OBJECTIVE:&lt;/strong&gt; To evaluate the association of pedometer use with physical activity and health outcomes among outpatient adults.&lt;br&gt;&lt;br&gt;&lt;strong&gt;DATA SOURCES:&lt;/strong&gt; English-language articles from MEDLINE, EMBASE, Sport Discus, PsychINFO, Cochrane Library, Thompson Scientific (formerly known as Thompson ISI), and ERIC (1966-2007); bibliographies of retrieved articles; and conference proceedings.&lt;br&gt;&lt;br&gt;&lt;strong&gt;STUDY SELECTION:&lt;/strong&gt; Studies were eligible for inclusion if they reported an assessment of pedometer use among adult outpatients, reported a change in steps per day, and included more than 5 participants.&lt;br&gt;&lt;br&gt;&lt;strong&gt;DATA EXTRACTION AND DATA SYNTHESIS:&lt;/strong&gt; Two investigators independently abstracted data about the intervention; participants; number of steps per day; and presence or absence of obesity, diabetes, hypertension, or hyperlipidemia. Data were pooled using random-effects calculations, and meta-regression was performed.&lt;br&gt;&lt;br&gt;&lt;strong&gt;RESULTS:&lt;/strong&gt; Our searches identified 2246 citations; 26 studies with a total of 2767 participants met inclusion criteria (8 randomized controlled trials [RCTs] and 18 observational studies). The participants' mean (SD) age was 49 (9) years and 85% were women. The mean intervention duration was 18 weeks. In the RCTs, pedometer users significantly increased their physical activity by 2491 steps per day more than control participants (95% confidence interval [CI], 1098-3885 steps per day, P &lt;  .001). Among the observational studies, pedometer users significantly increased their physical activity by 2183 steps per day over baseline (95% CI, 1571-2796 steps per day, P &lt;  .0001). Overall, pedometer users increased their physical activity by 26.9% over baseline. An important predictor of increased physical activity was having a step goal such as 10,000 steps per day (P = .001). When data from all studies were combined, pedometer users significantly decreased their body mass index by 0.38 (95% CI, 0.05-0.72; P = .03). This decrease was associated with older age (P = .001) and having a step goal (P = .04). Intervention participants significantly decreased their systolic blood pressure by 3.8 mm Hg (95% CI, 1.7-5.9 mm Hg, P &lt;  .001). This decrease was associated with greater baseline systolic blood pressure (P = .009) and change in steps per day (P = .08).&lt;br&gt;&lt;br&gt;&lt;strong&gt;CONCLUSIONS:&lt;/strong&gt; The results suggest that the use of a pedometer is associated with significant increases in physical activity and significant decreases in body mass index and blood pressure. Whether these changes are durable over the long term is undetermined.","author":[{"family":"Bravata","given":"Dena M"},{"family":"Smith-Spangler","given":"Crystal"},{"family":"Sundaram","given":"Vandana"},{"family":"Gienger","given":"Allison L"},{"family":"Lin","given":"Nancy"},{"family":"Lewis","given":"Robyn"},{"family":"Stave","given":"Christopher D"},{"family":"Olkin","given":"Ingram"},{"family":"Sirard","given":"John R"}],"authorYearDisplayFormat":false,"citation-label":"496552","container-title":"The Journal of the American Medical Association","container-title-short":"JAMA","id":"496552","invisible":false,"issue":"19","issued":{"date-parts":[["2007","11","21"]]},"journalAbbreviation":"JAMA","page":"2296-2304","suppress-author":false,"title":"Using pedometers to increase physical activity and improve health: a systematic review.","type":"article-journal","volume":"298"},{"DOI":"10.1007/s13340-017-0333-z","First":false,"Last":false,"PMCID":"PMC6224870","PMID":"30603352","abstract":"&lt;strong&gt;Background:&lt;/strong&gt; High blood pressure (BP) and diabetes have been suggested to be non-communicable diseases (NCDs), and they are components in the definition of metabolic syndrome. Further, several studies have reported that the risk of developing NCDs can be reduced by increased physical activity. In addition, a daily target of 10,000 steps has been generally suggested to increase physical activity in sedentary lifestyles. Therefore, the purpose of this study was to determine the effect of an accumulation of 10,000 steps daily on BP and blood glucose in overweight participants.&lt;br&gt;&lt;br&gt;&lt;strong&gt;Methods:&lt;/strong&gt; Participants were recruited from males and females, aged 35-59 years, with sedentary lifestyles. A longitudinal quasi-experimental study was designed with 35 participants who had body mass indices ≥25 kg/m2. These volunteers were assigned to the 12-week pedometer-based walking program (an accumulation of at least 10,000 steps daily). Blood glucose and BP were measured before and after the intervention.&lt;br&gt;&lt;br&gt;&lt;strong&gt;Results:&lt;/strong&gt; Systolic blood pressure (SBP) was significantly lower in 30 individuals who accumulated 10,000 steps daily (-13.74 mmHg). In addition, the reduction of blood glucose levels (-14.89 mg/dl) in the intervention participants was statistically significant (p &lt;  0.001).&lt;br&gt;&lt;br&gt;&lt;strong&gt;Conclusion:&lt;/strong&gt; The accumulation of at least 10,000 steps daily resulted in decreased SBP and blood glucose in overweight Thai subjects. It could also reduce the risk of cardiovascular disease (e.g., hypertension and diabetes).","author":[{"family":"Yuenyongchaiwat","given":"Kornanong"},{"family":"Pipatsitipong","given":"Duangnate"},{"family":"Sangprasert","given":"Panthip"}],"authorYearDisplayFormat":false,"citation-label":"7772341","container-title":"Diabetology International","container-title-short":"Diabetol. Int.","id":"7772341","invisible":false,"issue":"1","issued":{"date-parts":[["2018","2"]]},"journalAbbreviation":"Diabetol. Int.","page":"75-79","suppress-author":false,"title":"Increasing walking steps daily can reduce blood pressure and diabetes in overweight participants.","type":"article-journal","volume":"9"}]</w:instrText>
      </w:r>
      <w:r w:rsidRPr="002B3A17">
        <w:rPr>
          <w:rFonts w:ascii="Arial" w:hAnsi="Arial" w:cs="Arial"/>
          <w:color w:val="000000" w:themeColor="text1"/>
        </w:rPr>
        <w:fldChar w:fldCharType="separate"/>
      </w:r>
      <w:r w:rsidR="007E173F" w:rsidRPr="007E173F">
        <w:rPr>
          <w:rFonts w:ascii="Arial" w:hAnsi="Arial" w:cs="Arial"/>
          <w:noProof/>
          <w:color w:val="000000" w:themeColor="text1"/>
          <w:vertAlign w:val="superscript"/>
        </w:rPr>
        <w:t>11,43–45</w:t>
      </w:r>
      <w:r w:rsidRPr="002B3A17">
        <w:rPr>
          <w:rFonts w:ascii="Arial" w:hAnsi="Arial" w:cs="Arial"/>
          <w:color w:val="000000" w:themeColor="text1"/>
        </w:rPr>
        <w:fldChar w:fldCharType="end"/>
      </w:r>
      <w:r w:rsidRPr="002B3A17">
        <w:rPr>
          <w:rFonts w:ascii="Arial" w:hAnsi="Arial" w:cs="Arial"/>
          <w:color w:val="000000" w:themeColor="text1"/>
        </w:rPr>
        <w:t xml:space="preserve"> </w:t>
      </w:r>
    </w:p>
    <w:p w14:paraId="5C705770" w14:textId="4CE05508" w:rsidR="0097493D" w:rsidRPr="007B6EBA" w:rsidRDefault="0097493D" w:rsidP="0043403F">
      <w:pPr>
        <w:pStyle w:val="Heading1"/>
        <w:rPr>
          <w:b w:val="0"/>
          <w:color w:val="000000" w:themeColor="text1"/>
        </w:rPr>
      </w:pPr>
      <w:r w:rsidRPr="00D95401">
        <w:lastRenderedPageBreak/>
        <w:t>Program Goals</w:t>
      </w:r>
      <w:r w:rsidR="0043403F" w:rsidRPr="00D95401">
        <w:t xml:space="preserve"> </w:t>
      </w:r>
    </w:p>
    <w:p w14:paraId="34B2CF37" w14:textId="3415B339" w:rsidR="00CF23AF" w:rsidRPr="00AA32CC" w:rsidRDefault="002809AE" w:rsidP="00AA32CC">
      <w:pPr>
        <w:spacing w:line="480" w:lineRule="auto"/>
        <w:rPr>
          <w:rFonts w:ascii="Arial" w:hAnsi="Arial" w:cs="Arial"/>
        </w:rPr>
      </w:pPr>
      <w:r>
        <w:rPr>
          <w:rFonts w:ascii="Arial" w:hAnsi="Arial" w:cs="Arial"/>
        </w:rPr>
        <w:tab/>
      </w:r>
      <w:r w:rsidR="00DC4BB2" w:rsidRPr="00B45CAB">
        <w:rPr>
          <w:rFonts w:ascii="Arial" w:hAnsi="Arial" w:cs="Arial"/>
          <w:color w:val="000000" w:themeColor="text1"/>
        </w:rPr>
        <w:t xml:space="preserve">A Change of Heart is a program designed to address </w:t>
      </w:r>
      <w:r w:rsidR="00DC4BB2">
        <w:rPr>
          <w:rFonts w:ascii="Arial" w:hAnsi="Arial" w:cs="Arial"/>
          <w:color w:val="000000" w:themeColor="text1"/>
        </w:rPr>
        <w:t xml:space="preserve">and </w:t>
      </w:r>
      <w:r w:rsidR="00DC4BB2" w:rsidRPr="00B45CAB">
        <w:rPr>
          <w:rFonts w:ascii="Arial" w:hAnsi="Arial" w:cs="Arial"/>
          <w:color w:val="000000" w:themeColor="text1"/>
        </w:rPr>
        <w:t xml:space="preserve">cardiovascular risk factors in rural adults through the use of specifically trained community health ambassadors </w:t>
      </w:r>
      <w:r w:rsidR="00301330">
        <w:rPr>
          <w:rFonts w:ascii="Arial" w:hAnsi="Arial" w:cs="Arial"/>
          <w:color w:val="000000" w:themeColor="text1"/>
        </w:rPr>
        <w:t xml:space="preserve">(CHA) </w:t>
      </w:r>
      <w:r w:rsidR="00DC4BB2" w:rsidRPr="00B45CAB">
        <w:rPr>
          <w:rFonts w:ascii="Arial" w:hAnsi="Arial" w:cs="Arial"/>
          <w:color w:val="000000" w:themeColor="text1"/>
        </w:rPr>
        <w:t>as they lead group-based walking and educational sessions.</w:t>
      </w:r>
      <w:r w:rsidR="00DC4BB2">
        <w:rPr>
          <w:rFonts w:ascii="Arial" w:hAnsi="Arial" w:cs="Arial"/>
          <w:color w:val="000000" w:themeColor="text1"/>
        </w:rPr>
        <w:t xml:space="preserve"> </w:t>
      </w:r>
      <w:r w:rsidR="00964752">
        <w:rPr>
          <w:rFonts w:ascii="Arial" w:hAnsi="Arial" w:cs="Arial"/>
        </w:rPr>
        <w:t xml:space="preserve">These sessions, outlined in </w:t>
      </w:r>
      <w:r w:rsidR="007B6EBA">
        <w:rPr>
          <w:rFonts w:ascii="Arial" w:hAnsi="Arial" w:cs="Arial"/>
        </w:rPr>
        <w:t xml:space="preserve">the </w:t>
      </w:r>
      <w:r w:rsidR="00964752">
        <w:rPr>
          <w:rFonts w:ascii="Arial" w:hAnsi="Arial" w:cs="Arial"/>
        </w:rPr>
        <w:t>sample schedule below,</w:t>
      </w:r>
      <w:r w:rsidR="00D66474" w:rsidRPr="00AA32CC">
        <w:rPr>
          <w:rFonts w:ascii="Arial" w:hAnsi="Arial" w:cs="Arial"/>
        </w:rPr>
        <w:t xml:space="preserve"> </w:t>
      </w:r>
      <w:r w:rsidR="00964752">
        <w:rPr>
          <w:rFonts w:ascii="Arial" w:hAnsi="Arial" w:cs="Arial"/>
        </w:rPr>
        <w:t xml:space="preserve">aim to </w:t>
      </w:r>
      <w:r w:rsidR="00D66474" w:rsidRPr="00AA32CC">
        <w:rPr>
          <w:rFonts w:ascii="Arial" w:hAnsi="Arial" w:cs="Arial"/>
        </w:rPr>
        <w:t xml:space="preserve">increase participant </w:t>
      </w:r>
      <w:r w:rsidR="00AA32CC" w:rsidRPr="00AA32CC">
        <w:rPr>
          <w:rFonts w:ascii="Arial" w:hAnsi="Arial" w:cs="Arial"/>
        </w:rPr>
        <w:t>health</w:t>
      </w:r>
      <w:r w:rsidR="007E6EBC" w:rsidRPr="00AA32CC">
        <w:rPr>
          <w:rFonts w:ascii="Arial" w:hAnsi="Arial" w:cs="Arial"/>
        </w:rPr>
        <w:t xml:space="preserve">-related </w:t>
      </w:r>
      <w:r w:rsidR="00D66474" w:rsidRPr="00AA32CC">
        <w:rPr>
          <w:rFonts w:ascii="Arial" w:hAnsi="Arial" w:cs="Arial"/>
        </w:rPr>
        <w:t xml:space="preserve">knowledge, </w:t>
      </w:r>
      <w:r w:rsidR="007E6EBC" w:rsidRPr="00AA32CC">
        <w:rPr>
          <w:rFonts w:ascii="Arial" w:hAnsi="Arial" w:cs="Arial"/>
        </w:rPr>
        <w:t xml:space="preserve">overall </w:t>
      </w:r>
      <w:r w:rsidR="00954898" w:rsidRPr="00AA32CC">
        <w:rPr>
          <w:rFonts w:ascii="Arial" w:hAnsi="Arial" w:cs="Arial"/>
        </w:rPr>
        <w:t xml:space="preserve">physical activity, and </w:t>
      </w:r>
      <w:r w:rsidR="00D66474" w:rsidRPr="00AA32CC">
        <w:rPr>
          <w:rFonts w:ascii="Arial" w:hAnsi="Arial" w:cs="Arial"/>
        </w:rPr>
        <w:t>awareness of their blood pressure</w:t>
      </w:r>
      <w:r w:rsidR="00CF23AF" w:rsidRPr="00AA32CC">
        <w:rPr>
          <w:rFonts w:ascii="Arial" w:hAnsi="Arial" w:cs="Arial"/>
        </w:rPr>
        <w:t>.</w:t>
      </w:r>
    </w:p>
    <w:p w14:paraId="54DA117E" w14:textId="0F60BAD5" w:rsidR="00BB52A7" w:rsidRPr="00AA32CC" w:rsidRDefault="00572430" w:rsidP="00AA32CC">
      <w:pPr>
        <w:pStyle w:val="ListParagraph"/>
        <w:numPr>
          <w:ilvl w:val="0"/>
          <w:numId w:val="2"/>
        </w:numPr>
        <w:spacing w:line="480" w:lineRule="auto"/>
        <w:rPr>
          <w:rFonts w:ascii="Arial" w:hAnsi="Arial" w:cs="Arial"/>
        </w:rPr>
      </w:pPr>
      <w:r w:rsidRPr="00AA32CC">
        <w:rPr>
          <w:rFonts w:ascii="Arial" w:hAnsi="Arial" w:cs="Arial"/>
        </w:rPr>
        <w:t>By week 16, p</w:t>
      </w:r>
      <w:r w:rsidR="00F16B0D" w:rsidRPr="00AA32CC">
        <w:rPr>
          <w:rFonts w:ascii="Arial" w:hAnsi="Arial" w:cs="Arial"/>
        </w:rPr>
        <w:t xml:space="preserve">articipants will </w:t>
      </w:r>
      <w:r w:rsidR="00425CD4" w:rsidRPr="00AA32CC">
        <w:rPr>
          <w:rFonts w:ascii="Arial" w:hAnsi="Arial" w:cs="Arial"/>
        </w:rPr>
        <w:t>improve their 6MWT</w:t>
      </w:r>
      <w:r w:rsidR="0003265A" w:rsidRPr="00AA32CC">
        <w:rPr>
          <w:rFonts w:ascii="Arial" w:hAnsi="Arial" w:cs="Arial"/>
        </w:rPr>
        <w:t xml:space="preserve"> by 30 meters or to 100% of distance </w:t>
      </w:r>
      <w:r w:rsidRPr="00AA32CC">
        <w:rPr>
          <w:rFonts w:ascii="Arial" w:hAnsi="Arial" w:cs="Arial"/>
        </w:rPr>
        <w:t xml:space="preserve">determined by prediction </w:t>
      </w:r>
      <w:r w:rsidR="0003265A" w:rsidRPr="00AA32CC">
        <w:rPr>
          <w:rFonts w:ascii="Arial" w:hAnsi="Arial" w:cs="Arial"/>
        </w:rPr>
        <w:t xml:space="preserve">equations </w:t>
      </w:r>
      <w:r w:rsidR="008D7CCC" w:rsidRPr="00AA32CC">
        <w:rPr>
          <w:rFonts w:ascii="Arial" w:hAnsi="Arial" w:cs="Arial"/>
        </w:rPr>
        <w:t>in order to demonstrate improved aerobic capacity and endurance through attainment of minimally clinically important difference or their “normal” distance.</w:t>
      </w:r>
      <w:r w:rsidR="008D7CCC" w:rsidRPr="00AA32CC">
        <w:rPr>
          <w:rFonts w:ascii="Arial" w:hAnsi="Arial" w:cs="Arial"/>
        </w:rPr>
        <w:fldChar w:fldCharType="begin"/>
      </w:r>
      <w:r w:rsidR="007E173F">
        <w:rPr>
          <w:rFonts w:ascii="Arial" w:hAnsi="Arial" w:cs="Arial"/>
        </w:rPr>
        <w:instrText>ADDIN F1000_CSL_CITATION&lt;~#@#~&gt;[{"DOI":"10.1111/jep.12629","First":false,"Last":false,"PMID":"27592691","abstract":"&lt;strong&gt;RATIONALE, AIMS, AND OBJECTIVES:&lt;/strong&gt; The 6-minute walk test (6MWT) is widely used as a test of functional exercise capacity. Several studies have reported the minimal clinically important difference (MCID) for the 6MWT; however, the findings of the studies have not been examined in the context of one another. In this review, we aimed to summarize available information on the MCID for the 6MWT performed by patients with pathology.&lt;br&gt;&lt;br&gt;&lt;strong&gt;METHODS:&lt;/strong&gt; Relevant literature was identified by searches of 3 electronic databases (PubMed, Scopus, and Cumulative Index of Nursing and Allied Health), examination of article reference lists, and consultation with an expert. Inclusion necessitated that articles (1) be original, full length, and peer reviewed, (2) report an MCID for the 6MWT, and (3) focus on adults with medical issues. Articles were excluded if the MCID was determined by a procedure other than receiver operating characteristic curve analysis. Articles were abstracted for information on participants, interventions, 6MWT distance, and the determination of MCID. Quality was assessed using a hybrid 9-item (0- to 18-point) instrument.&lt;br&gt;&lt;br&gt;&lt;strong&gt;RESULTS:&lt;/strong&gt; Six articles were selected based on the inclusion and exclusion criteria. The populations studied included people with chronic obstructive pulmonary disease, lung cancer, coronary artery disease, diffuse parenchymal lung disease, and non-cystic fibrosis bronchiectasis and adults with fear of falling. Mean baseline 6MWT distances ranged from 295 to 551 m. The MCIDs for which the area under the receiver operating characteristic curve was at least 0.70 ranged from 14.0 to 30.5 m.&lt;br&gt;&lt;br&gt;&lt;strong&gt;CONCLUSIONS:&lt;/strong&gt; Based on our findings, a change of 14.0 to 30.5 m may be clinically important across multiple patient groups.&lt;br&gt;&lt;br&gt;© 2016 John Wiley &amp; Sons, Ltd.","author":[{"family":"Bohannon","given":"Richard W"},{"family":"Crouch","given":"Rebecca"}],"authorYearDisplayFormat":false,"citation-label":"5889985","container-title":"Journal of Evaluation in Clinical Practice","container-title-short":"J. Eval. Clin. Pract.","id":"5889985","invisible":false,"issue":"2","issued":{"date-parts":[["2017","4"]]},"journalAbbreviation":"J. Eval. Clin. Pract.","page":"377-381","suppress-author":false,"title":"Minimal clinically important difference for change in 6-minute walk test distance of adults with pathology: a systematic review.","type":"article-journal","volume":"23"},{"DOI":"10.1164/ajrccm.158.5.9710086","First":false,"Last":false,"PMID":"9817683","abstract":"In order to establish reference equations for prediction of the total distance walked during six minutes (6MWD) for healthy adults, we administered the standardized 6-min walk test to 117 healthy men and 173 healthy women, aged 40 to 80 yr. Oxygen saturation (SaO2), pulse rate, and the degree of dyspnea (Borg scale) were determined before and at the end of the walk. The median distance walked was 576 m for men and 494 m for women. The 6MWD was significantly less for men and women who were older and heavier, and for shorter men. The resulting gender-specific regression equations explained about 40% of the variance in the distance walked for healthy adults: for men, 6MWD = (7.57 x heightcm) - (5.02 x age) - (1.76 x weightkg) - 309 m, and for women, 6MWD = (2.11 x heightcm) - (2.29 x weightkg) - (5.78 x age) + 667 m. These reference equations may be used to compute the percent predicted 6MWD for individual adult patients performing the test for the first time, when using the standardized protocol.","author":[{"family":"Enright","given":"P L"},{"family":"Sherrill","given":"D L"}],"authorYearDisplayFormat":false,"citation-label":"2043830","container-title":"American Journal of Respiratory and Critical Care Medicine","container-title-short":"Am. J. Respir. Crit. Care Med.","id":"2043830","invisible":false,"issue":"5 Pt 1","issued":{"date-parts":[["1998","11"]]},"journalAbbreviation":"Am. J. Respir. Crit. Care Med.","page":"1384-1387","suppress-author":false,"title":"Reference equations for the six-minute walk in healthy adults.","type":"article-journal","volume":"158"}]</w:instrText>
      </w:r>
      <w:r w:rsidR="008D7CCC" w:rsidRPr="00AA32CC">
        <w:rPr>
          <w:rFonts w:ascii="Arial" w:hAnsi="Arial" w:cs="Arial"/>
        </w:rPr>
        <w:fldChar w:fldCharType="separate"/>
      </w:r>
      <w:r w:rsidR="007E173F" w:rsidRPr="007E173F">
        <w:rPr>
          <w:rFonts w:ascii="Arial" w:hAnsi="Arial" w:cs="Arial"/>
          <w:noProof/>
          <w:vertAlign w:val="superscript"/>
        </w:rPr>
        <w:t>46,47</w:t>
      </w:r>
      <w:r w:rsidR="008D7CCC" w:rsidRPr="00AA32CC">
        <w:rPr>
          <w:rFonts w:ascii="Arial" w:hAnsi="Arial" w:cs="Arial"/>
        </w:rPr>
        <w:fldChar w:fldCharType="end"/>
      </w:r>
    </w:p>
    <w:p w14:paraId="33124C17" w14:textId="77777777" w:rsidR="008D7CCC" w:rsidRPr="00AA32CC" w:rsidRDefault="008D7CCC" w:rsidP="00AA32CC">
      <w:pPr>
        <w:pStyle w:val="ListParagraph"/>
        <w:numPr>
          <w:ilvl w:val="0"/>
          <w:numId w:val="3"/>
        </w:numPr>
        <w:spacing w:line="480" w:lineRule="auto"/>
        <w:ind w:left="1440"/>
        <w:rPr>
          <w:rFonts w:ascii="Arial" w:eastAsia="Times New Roman" w:hAnsi="Arial" w:cs="Arial"/>
        </w:rPr>
      </w:pPr>
      <w:r w:rsidRPr="00AA32CC">
        <w:rPr>
          <w:rFonts w:ascii="Arial" w:hAnsi="Arial" w:cs="Arial"/>
        </w:rPr>
        <w:t xml:space="preserve">Men: </w:t>
      </w:r>
      <w:r w:rsidRPr="00AA32CC">
        <w:rPr>
          <w:rFonts w:ascii="Arial" w:eastAsia="Times New Roman" w:hAnsi="Arial" w:cs="Arial"/>
          <w:color w:val="000000"/>
          <w:shd w:val="clear" w:color="auto" w:fill="FFFFFF"/>
        </w:rPr>
        <w:t xml:space="preserve">6MWD = (7.57 x </w:t>
      </w:r>
      <w:proofErr w:type="spellStart"/>
      <w:r w:rsidRPr="00AA32CC">
        <w:rPr>
          <w:rFonts w:ascii="Arial" w:eastAsia="Times New Roman" w:hAnsi="Arial" w:cs="Arial"/>
          <w:color w:val="000000"/>
          <w:shd w:val="clear" w:color="auto" w:fill="FFFFFF"/>
        </w:rPr>
        <w:t>heightcm</w:t>
      </w:r>
      <w:proofErr w:type="spellEnd"/>
      <w:r w:rsidRPr="00AA32CC">
        <w:rPr>
          <w:rFonts w:ascii="Arial" w:eastAsia="Times New Roman" w:hAnsi="Arial" w:cs="Arial"/>
          <w:color w:val="000000"/>
          <w:shd w:val="clear" w:color="auto" w:fill="FFFFFF"/>
        </w:rPr>
        <w:t xml:space="preserve">) - (5.02 x age) - (1.76 x </w:t>
      </w:r>
      <w:proofErr w:type="spellStart"/>
      <w:r w:rsidRPr="00AA32CC">
        <w:rPr>
          <w:rFonts w:ascii="Arial" w:eastAsia="Times New Roman" w:hAnsi="Arial" w:cs="Arial"/>
          <w:color w:val="000000"/>
          <w:shd w:val="clear" w:color="auto" w:fill="FFFFFF"/>
        </w:rPr>
        <w:t>weightkg</w:t>
      </w:r>
      <w:proofErr w:type="spellEnd"/>
      <w:r w:rsidRPr="00AA32CC">
        <w:rPr>
          <w:rFonts w:ascii="Arial" w:eastAsia="Times New Roman" w:hAnsi="Arial" w:cs="Arial"/>
          <w:color w:val="000000"/>
          <w:shd w:val="clear" w:color="auto" w:fill="FFFFFF"/>
        </w:rPr>
        <w:t>) - 309 m</w:t>
      </w:r>
    </w:p>
    <w:p w14:paraId="5D8710C6" w14:textId="24CB3E8A" w:rsidR="000F4804" w:rsidRPr="00AA32CC" w:rsidRDefault="008D7CCC" w:rsidP="00AA32CC">
      <w:pPr>
        <w:pStyle w:val="ListParagraph"/>
        <w:numPr>
          <w:ilvl w:val="0"/>
          <w:numId w:val="3"/>
        </w:numPr>
        <w:spacing w:line="480" w:lineRule="auto"/>
        <w:ind w:left="1440"/>
        <w:rPr>
          <w:rFonts w:ascii="Arial" w:eastAsia="Times New Roman" w:hAnsi="Arial" w:cs="Arial"/>
        </w:rPr>
      </w:pPr>
      <w:r w:rsidRPr="00AA32CC">
        <w:rPr>
          <w:rFonts w:ascii="Arial" w:eastAsia="Times New Roman" w:hAnsi="Arial" w:cs="Arial"/>
          <w:color w:val="000000"/>
          <w:shd w:val="clear" w:color="auto" w:fill="FFFFFF"/>
        </w:rPr>
        <w:t xml:space="preserve">Women: 6MWD = (2.11 x </w:t>
      </w:r>
      <w:proofErr w:type="spellStart"/>
      <w:r w:rsidRPr="00AA32CC">
        <w:rPr>
          <w:rFonts w:ascii="Arial" w:eastAsia="Times New Roman" w:hAnsi="Arial" w:cs="Arial"/>
          <w:color w:val="000000"/>
          <w:shd w:val="clear" w:color="auto" w:fill="FFFFFF"/>
        </w:rPr>
        <w:t>heightcm</w:t>
      </w:r>
      <w:proofErr w:type="spellEnd"/>
      <w:r w:rsidRPr="00AA32CC">
        <w:rPr>
          <w:rFonts w:ascii="Arial" w:eastAsia="Times New Roman" w:hAnsi="Arial" w:cs="Arial"/>
          <w:color w:val="000000"/>
          <w:shd w:val="clear" w:color="auto" w:fill="FFFFFF"/>
        </w:rPr>
        <w:t xml:space="preserve">) - (2.29 x </w:t>
      </w:r>
      <w:proofErr w:type="spellStart"/>
      <w:r w:rsidRPr="00AA32CC">
        <w:rPr>
          <w:rFonts w:ascii="Arial" w:eastAsia="Times New Roman" w:hAnsi="Arial" w:cs="Arial"/>
          <w:color w:val="000000"/>
          <w:shd w:val="clear" w:color="auto" w:fill="FFFFFF"/>
        </w:rPr>
        <w:t>weightkg</w:t>
      </w:r>
      <w:proofErr w:type="spellEnd"/>
      <w:r w:rsidRPr="00AA32CC">
        <w:rPr>
          <w:rFonts w:ascii="Arial" w:eastAsia="Times New Roman" w:hAnsi="Arial" w:cs="Arial"/>
          <w:color w:val="000000"/>
          <w:shd w:val="clear" w:color="auto" w:fill="FFFFFF"/>
        </w:rPr>
        <w:t>) - (5.78 x age) + 667 m</w:t>
      </w:r>
    </w:p>
    <w:p w14:paraId="2A0A6C9B" w14:textId="5B4FEAC9" w:rsidR="008D7CCC" w:rsidRPr="00AA32CC" w:rsidRDefault="00572430" w:rsidP="00AA32CC">
      <w:pPr>
        <w:pStyle w:val="ListParagraph"/>
        <w:numPr>
          <w:ilvl w:val="0"/>
          <w:numId w:val="2"/>
        </w:numPr>
        <w:spacing w:line="480" w:lineRule="auto"/>
        <w:rPr>
          <w:rFonts w:ascii="Arial" w:eastAsia="Times New Roman" w:hAnsi="Arial" w:cs="Arial"/>
        </w:rPr>
      </w:pPr>
      <w:r w:rsidRPr="00AA32CC">
        <w:rPr>
          <w:rFonts w:ascii="Arial" w:eastAsia="Times New Roman" w:hAnsi="Arial" w:cs="Arial"/>
        </w:rPr>
        <w:t>By week 16, p</w:t>
      </w:r>
      <w:r w:rsidR="008D7CCC" w:rsidRPr="00AA32CC">
        <w:rPr>
          <w:rFonts w:ascii="Arial" w:eastAsia="Times New Roman" w:hAnsi="Arial" w:cs="Arial"/>
        </w:rPr>
        <w:t xml:space="preserve">articipants will </w:t>
      </w:r>
      <w:r w:rsidRPr="00AA32CC">
        <w:rPr>
          <w:rFonts w:ascii="Arial" w:eastAsia="Times New Roman" w:hAnsi="Arial" w:cs="Arial"/>
        </w:rPr>
        <w:t xml:space="preserve">demonstrate </w:t>
      </w:r>
      <w:r w:rsidR="000F4804" w:rsidRPr="00AA32CC">
        <w:rPr>
          <w:rFonts w:ascii="Arial" w:eastAsia="Times New Roman" w:hAnsi="Arial" w:cs="Arial"/>
        </w:rPr>
        <w:t xml:space="preserve">improved overall maintenance of blood pressure through </w:t>
      </w:r>
      <w:r w:rsidR="000F4804" w:rsidRPr="00AA32CC">
        <w:rPr>
          <w:rFonts w:ascii="Cambria Math" w:eastAsia="Arial Unicode MS" w:hAnsi="Cambria Math" w:cs="Cambria Math"/>
        </w:rPr>
        <w:t>≧</w:t>
      </w:r>
      <w:r w:rsidR="000F4804" w:rsidRPr="00AA32CC">
        <w:rPr>
          <w:rFonts w:ascii="Arial" w:eastAsia="Times New Roman" w:hAnsi="Arial" w:cs="Arial"/>
        </w:rPr>
        <w:t xml:space="preserve"> 90% </w:t>
      </w:r>
      <w:r w:rsidRPr="00AA32CC">
        <w:rPr>
          <w:rFonts w:ascii="Arial" w:eastAsia="Times New Roman" w:hAnsi="Arial" w:cs="Arial"/>
        </w:rPr>
        <w:t xml:space="preserve">compliance with weekly BP logs and </w:t>
      </w:r>
      <w:r w:rsidR="000F4804" w:rsidRPr="00AA32CC">
        <w:rPr>
          <w:rFonts w:ascii="Arial" w:eastAsia="Times New Roman" w:hAnsi="Arial" w:cs="Arial"/>
        </w:rPr>
        <w:t xml:space="preserve">reduced SBP by </w:t>
      </w:r>
      <w:r w:rsidR="000F4804" w:rsidRPr="00AA32CC">
        <w:rPr>
          <w:rFonts w:ascii="Arial" w:eastAsia="Times New Roman" w:hAnsi="Arial" w:cs="Arial"/>
          <w:color w:val="000000" w:themeColor="text1"/>
        </w:rPr>
        <w:t>4-11 mmHg and DBP by 2-5 mmHg as these have been shown to significantly reduce risks of disease and mortality by as much as 43%.</w:t>
      </w:r>
      <w:r w:rsidR="00F143B9" w:rsidRPr="00AA32CC">
        <w:rPr>
          <w:rFonts w:ascii="Arial" w:eastAsia="Times New Roman" w:hAnsi="Arial" w:cs="Arial"/>
          <w:color w:val="000000" w:themeColor="text1"/>
        </w:rPr>
        <w:fldChar w:fldCharType="begin"/>
      </w:r>
      <w:r w:rsidR="007E173F">
        <w:rPr>
          <w:rFonts w:ascii="Arial" w:eastAsia="Times New Roman" w:hAnsi="Arial" w:cs="Arial"/>
          <w:color w:val="000000" w:themeColor="text1"/>
        </w:rPr>
        <w:instrText>ADDIN F1000_CSL_CITATION&lt;~#@#~&gt;[{"DOI":"10.1097/HJH.0000000000000378","First":false,"Last":false,"PMID":"25255397","abstract":"&lt;strong&gt;BACKGROUND:&lt;/strong&gt; Antihypertensive treatment is based on randomized controlled trials (RCTs) started since 1966. Meta-analyses comprehensive of all RCTs but limited to RCTs investigating blood pressure (BP) lowering in hypertensive patients are lacking.&lt;br&gt;&lt;br&gt;&lt;strong&gt;OBJECTIVES:&lt;/strong&gt; Two clinical questions were investigated: the extent of different outcome reductions by BP lowering in hypertensive patients, and the proportionality of outcome reductions to SBP, DBP, and pulse pressure (PP) reductions.&lt;br&gt;&lt;br&gt;&lt;strong&gt;METHODS:&lt;/strong&gt; PubMed between 1966 and December 2013 (any language), Cochrane Collaboration Library and previous overviews were used as data sources for identifying and selecting all RCTs comparing the antihypertensive drugs with placebo or less intense BP lowering (intentional BP-lowering RCTs); comparing BP-lowering drugs with placebo without BP-lowering intention, but with BP difference (nonintentional BP-lowering RCTs); and enrolling at least 40% hypertensive patients. RCTs on acute myocardial infarction, heart failure, acute stroke, and dialysis were excluded. RCT quality was assessed by scoring. Risk ratios and 95% confidence interval (CI), standardized to 10/5 mmHg SBP/DBP reduction, of seven fatal and nonfatal outcomes were calculated (random-effects model). The relationships of different outcome reductions to SBP, DBP, and PP reductions were investigated by meta-regressions.&lt;br&gt;&lt;br&gt;&lt;strong&gt;RESULTS:&lt;/strong&gt; A total of 68 RCTs (245,885 individuals) were eligible, of which 47 (153,825 individuals) were 'intentional' RCTs. All outcomes were reduced (P &lt;  0.001) by BP lowering, stroke [-36% (-29, -42)], and heart failure [-43% (-28, -54)] to a greater extent, with smaller reductions for coronary events [coronary heart disease (CHD): -16% (-10, -21)], cardiovascular [-18% (-11, -24)], and all-cause mortality [-11% (-5, -16)]. Absolute risk reductions were 17 (14, 20) strokes, 28 (19, 35) cardiovascular events, and 8 (4, 12) deaths prevented every 1000 patients treated for 5 years. Logarithmic risk ratios were related to SBP, DBP, and PP reductions (P = 0.001-0.003) for stroke and composite cardiovascular events, but not for CHD.&lt;br&gt;&lt;br&gt;&lt;strong&gt;CONCLUSION:&lt;/strong&gt; Meta-analyses of all BP-lowering RCTs involving hypertensive patients provide precise estimates of benefits (larger for stroke and heart failure, but also significant for CHD and mortality). Absolute risk reductions are substantial. Relationships of logarithmic risk ratios with BP reductions imply risk reduction increases progressively to a smaller extent the larger the BP reduction.","author":[{"family":"Thomopoulos","given":"Costas"},{"family":"Parati","given":"Gianfranco"},{"family":"Zanchetti","given":"Alberto"}],"authorYearDisplayFormat":false,"citation-label":"4916229","container-title":"Journal of Hypertension","container-title-short":"J. Hypertens.","id":"4916229","invisible":false,"issue":"12","issued":{"date-parts":[["2014","12"]]},"journalAbbreviation":"J. Hypertens.","page":"2285-2295","suppress-author":false,"title":"Effects of blood pressure lowering on outcome incidence in hypertension. 1. Overview, meta-analyses, and meta-regression analyses of randomized trials.","type":"article-journal","volume":"32"},{"DOI":"10.1111/phn.12234","First":false,"Last":false,"PMID":"26404001","abstract":"&lt;strong&gt;OBJECTIVE:&lt;/strong&gt; The objective was to pilot a socioculturally tailored church-based stroke prevention program delivered by trained community health workers (CHWs) and to test its effects on participant knowledge scores.&lt;br&gt;&lt;br&gt;&lt;strong&gt;DESIGN AND SAMPLE:&lt;/strong&gt; A single-group, pre-post test pilot study was conducted with a convenience sample of 201 adult African-Americans recruited from nine churches in three Alabama counties. Measurements included participant weight, blood pressure (BP), physical activity level; knowledge related to hypertension, heart disease, and stroke; cigarette smoking; and access to care, as well as the Stages of Change constructs within the Transtheoretical Model. The intervention was a six-session group-based health education program delivered by trained CHWs.&lt;br&gt;&lt;br&gt;&lt;strong&gt;MEASURES:&lt;/strong&gt; Measurements included participant weight, blood pressure (BP), physical activity level; knowledge related to hypertension, heart disease, and stroke; cigarette smoking; and access to care, as well as the Stages of Change constructs within the Transtheoretical Model. The intervention was a six-session group-based health education program delivered by trained CHWs.&lt;br&gt;&lt;br&gt;&lt;strong&gt;RESULTS:&lt;/strong&gt; From baseline to 12 weeks, knowledge increased significantly (p &lt;  .001). Systolic BP measures improved (p = .0008). More than half of participants lost weight; however, weight change did not reach significance (p = .1380). Most (87%) participants indicated having a medical home at baseline; at the end of the study the percentage increased to 92% (p = .0138).&lt;br&gt;&lt;br&gt;&lt;strong&gt;CONCLUSION:&lt;/strong&gt; A church-based intervention delivered by trained CHWs is feasible and may be a promising public health strategy to increase knowledge regarding hypertension and stroke prevention among African-Americans.&lt;br&gt;&lt;br&gt;© 2015 Wiley Periodicals, Inc.","author":[{"family":"Williams","given":"Lovoria B"},{"family":"Franklin","given":"Brandi"},{"family":"Evans","given":"Mary B"},{"family":"Jackson","given":"Chazeman"},{"family":"Hill","given":"Alethea"},{"family":"Minor","given":"Michael"}],"authorYearDisplayFormat":false,"citation-label":"5587733","container-title":"Public Health Nursing","container-title-short":"Public Health Nurs.","id":"5587733","invisible":false,"issue":"1","issued":{"date-parts":[["2016","2"]]},"journalAbbreviation":"Public Health Nurs.","page":"11-20","suppress-author":false,"title":"Turn the Beat Around: A Stroke Prevention Program for African-American Churches.","type":"article-journal","volume":"33"}]</w:instrText>
      </w:r>
      <w:r w:rsidR="00F143B9" w:rsidRPr="00AA32CC">
        <w:rPr>
          <w:rFonts w:ascii="Arial" w:eastAsia="Times New Roman" w:hAnsi="Arial" w:cs="Arial"/>
          <w:color w:val="000000" w:themeColor="text1"/>
        </w:rPr>
        <w:fldChar w:fldCharType="separate"/>
      </w:r>
      <w:r w:rsidR="007E173F" w:rsidRPr="007E173F">
        <w:rPr>
          <w:rFonts w:ascii="Arial" w:eastAsia="Times New Roman" w:hAnsi="Arial" w:cs="Arial"/>
          <w:noProof/>
          <w:color w:val="000000" w:themeColor="text1"/>
          <w:vertAlign w:val="superscript"/>
        </w:rPr>
        <w:t>8,17</w:t>
      </w:r>
      <w:r w:rsidR="00F143B9" w:rsidRPr="00AA32CC">
        <w:rPr>
          <w:rFonts w:ascii="Arial" w:eastAsia="Times New Roman" w:hAnsi="Arial" w:cs="Arial"/>
          <w:color w:val="000000" w:themeColor="text1"/>
        </w:rPr>
        <w:fldChar w:fldCharType="end"/>
      </w:r>
    </w:p>
    <w:p w14:paraId="45BE8103" w14:textId="51D05A91" w:rsidR="000F4804" w:rsidRPr="007B6EBA" w:rsidRDefault="00105240" w:rsidP="00AA32CC">
      <w:pPr>
        <w:pStyle w:val="ListParagraph"/>
        <w:numPr>
          <w:ilvl w:val="1"/>
          <w:numId w:val="2"/>
        </w:numPr>
        <w:spacing w:line="480" w:lineRule="auto"/>
        <w:rPr>
          <w:rFonts w:ascii="Arial" w:eastAsia="Times New Roman" w:hAnsi="Arial" w:cs="Arial"/>
        </w:rPr>
      </w:pPr>
      <w:r w:rsidRPr="007B6EBA">
        <w:rPr>
          <w:rFonts w:ascii="Arial" w:eastAsia="Times New Roman" w:hAnsi="Arial" w:cs="Arial"/>
        </w:rPr>
        <w:t xml:space="preserve">Example </w:t>
      </w:r>
      <w:r w:rsidR="000F4804" w:rsidRPr="007B6EBA">
        <w:rPr>
          <w:rFonts w:ascii="Arial" w:eastAsia="Times New Roman" w:hAnsi="Arial" w:cs="Arial"/>
        </w:rPr>
        <w:t xml:space="preserve">BP Log </w:t>
      </w:r>
      <w:r w:rsidRPr="007B6EBA">
        <w:rPr>
          <w:rFonts w:ascii="Arial" w:eastAsia="Times New Roman" w:hAnsi="Arial" w:cs="Arial"/>
        </w:rPr>
        <w:t xml:space="preserve">can be found in Appendix </w:t>
      </w:r>
      <w:r w:rsidR="00770169" w:rsidRPr="007B6EBA">
        <w:rPr>
          <w:rFonts w:ascii="Arial" w:eastAsia="Times New Roman" w:hAnsi="Arial" w:cs="Arial"/>
        </w:rPr>
        <w:t>A</w:t>
      </w:r>
    </w:p>
    <w:p w14:paraId="416AD994" w14:textId="067674E8" w:rsidR="00105240" w:rsidRPr="00AA32CC" w:rsidRDefault="000F4804" w:rsidP="00AA32CC">
      <w:pPr>
        <w:pStyle w:val="ListParagraph"/>
        <w:numPr>
          <w:ilvl w:val="0"/>
          <w:numId w:val="2"/>
        </w:numPr>
        <w:spacing w:line="480" w:lineRule="auto"/>
        <w:rPr>
          <w:rFonts w:ascii="Arial" w:eastAsia="Times New Roman" w:hAnsi="Arial" w:cs="Arial"/>
        </w:rPr>
      </w:pPr>
      <w:r w:rsidRPr="00AA32CC">
        <w:rPr>
          <w:rFonts w:ascii="Arial" w:eastAsia="Times New Roman" w:hAnsi="Arial" w:cs="Arial"/>
        </w:rPr>
        <w:t xml:space="preserve">By week 16, participants will </w:t>
      </w:r>
      <w:r w:rsidR="004E1E87" w:rsidRPr="00AA32CC">
        <w:rPr>
          <w:rFonts w:ascii="Arial" w:eastAsia="Times New Roman" w:hAnsi="Arial" w:cs="Arial"/>
        </w:rPr>
        <w:t>indicate increase in weekly physical activity through improving GPPAQ index score to either “active” or “moderately active” as these are not only more aligned with the national activity recommendations, but are shown to reduce risk of all-cause mortality by up to 32%.</w:t>
      </w:r>
      <w:r w:rsidR="004E1E87" w:rsidRPr="00AA32CC">
        <w:rPr>
          <w:rFonts w:ascii="Arial" w:eastAsia="Times New Roman" w:hAnsi="Arial" w:cs="Arial"/>
        </w:rPr>
        <w:fldChar w:fldCharType="begin"/>
      </w:r>
      <w:r w:rsidR="007E173F">
        <w:rPr>
          <w:rFonts w:ascii="Arial" w:eastAsia="Times New Roman" w:hAnsi="Arial" w:cs="Arial"/>
        </w:rPr>
        <w:instrText>ADDIN F1000_CSL_CITATION&lt;~#@#~&gt;[{"DOI":"10.1093/ije/dyl079","First":false,"Last":false,"PMID":"16709620","abstract":"&lt;strong&gt;BACKGROUND:&lt;/strong&gt; The health benefits of physical activity are well established, but the overall amount of physical activity associated with cardiovascular and other health outcomes, and whether the relationships are similar in men and women and at different ages is still debated. This may be partly related to different methods for assessing physical activity. Most studies have focused on leisure time physical activity.&lt;br&gt;&lt;br&gt;&lt;strong&gt;METHODS:&lt;/strong&gt; We examined the prospective relationship between usual physical activity, taking into account both leisure and work activity, using a simple, pragmatic, four-point rating scale validated against heart rate monitoring, and cardiovascular disease incidence and total mortality after an average 8 years follow-up in 22,191 community living men and women aged 45-79 years with no known cardiovascular disease or cancer at baseline.&lt;br&gt;&lt;br&gt;&lt;strong&gt;RESULTS:&lt;/strong&gt; The relative risks (95% confidence interval) for all-cause mortality (1,553 deaths) for men and women who were moderately inactive, moderately active, and active compared with those who were inactive were 0.83 (0.73-0.95), 0.68 (0.58-0.80), and 0.68 (0.57-0.81), respectively, after adjusting for age, sex, systolic blood pressure, blood cholesterol, cigarette smoking, alcohol intake, diabetes, body mass index, and social class. The relationships were also consistent for cardiovascular disease incidence (3,079 events), in subgroups stratified by age, sex, body mass index, smoking status and social class, and after excluding deaths in the first 2 years. The combined scale was more consistently associated with mortality than the individual work and leisure time components separately.&lt;br&gt;&lt;br&gt;&lt;strong&gt;CONCLUSIONS:&lt;/strong&gt; When both work and leisure time physical activity patterns are taken into account, using a simple, pragmatic, validated questionnaire feasible for use in clinical and public health practice, even very moderate levels of usual physical activity are associated with significantly reduced risk of mortality and cardiovascular disease in men and women in the general population and potential population attributable impact of 14% for inactive compared with active levels. These findings may encourage efforts to increase physical activity levels not only in leisure time but also in usual daily working life.","author":[{"family":"Khaw","given":"Kay-Tee"},{"family":"Jakes","given":"Rupert"},{"family":"Bingham","given":"Sheila"},{"family":"Welch","given":"Ailsa"},{"family":"Luben","given":"Robert"},{"family":"Day","given":"Nicholas"},{"family":"Wareham","given":"Nicholas"}],"authorYearDisplayFormat":false,"citation-label":"7789857","container-title":"International Journal of Epidemiology","container-title-short":"Int. J. Epidemiol.","id":"7789857","invisible":false,"issue":"4","issued":{"date-parts":[["2006","8"]]},"journalAbbreviation":"Int. J. Epidemiol.","page":"1034-1043","suppress-author":false,"title":"Work and leisure time physical activity assessed using a simple, pragmatic, validated questionnaire and incident cardiovascular disease and all-cause mortality in men and women: The European Prospective Investigation into Cancer in Norfolk prospective population study.","type":"article-journal","volume":"35"},{"First":false,"Last":false,"URL":"https://www.ncbi.nlm.nih.gov/books/NBK51962/#appendixes.app10.s14","accessed":{"date-parts":[["2019","11","18"]]},"authorYearDisplayFormat":false,"citation-label":"7789340","id":"7789340","invisible":false,"issued":{"date-parts":[[]]},"suppress-author":false,"title":"The General Practice Physical Activity Questionnaire (GPPAQ) - Irritable Bowel Syndrome in Adults - NCBI Bookshelf","type":"webpage"}]</w:instrText>
      </w:r>
      <w:r w:rsidR="004E1E87" w:rsidRPr="00AA32CC">
        <w:rPr>
          <w:rFonts w:ascii="Arial" w:eastAsia="Times New Roman" w:hAnsi="Arial" w:cs="Arial"/>
        </w:rPr>
        <w:fldChar w:fldCharType="separate"/>
      </w:r>
      <w:r w:rsidR="007E173F" w:rsidRPr="007E173F">
        <w:rPr>
          <w:rFonts w:ascii="Arial" w:eastAsia="Times New Roman" w:hAnsi="Arial" w:cs="Arial"/>
          <w:noProof/>
          <w:vertAlign w:val="superscript"/>
        </w:rPr>
        <w:t>32,36</w:t>
      </w:r>
      <w:r w:rsidR="004E1E87" w:rsidRPr="00AA32CC">
        <w:rPr>
          <w:rFonts w:ascii="Arial" w:eastAsia="Times New Roman" w:hAnsi="Arial" w:cs="Arial"/>
        </w:rPr>
        <w:fldChar w:fldCharType="end"/>
      </w:r>
    </w:p>
    <w:p w14:paraId="5A53387E" w14:textId="5523564D" w:rsidR="00105240" w:rsidRPr="007B6EBA" w:rsidRDefault="00105240" w:rsidP="00AA32CC">
      <w:pPr>
        <w:pStyle w:val="ListParagraph"/>
        <w:numPr>
          <w:ilvl w:val="1"/>
          <w:numId w:val="2"/>
        </w:numPr>
        <w:spacing w:line="480" w:lineRule="auto"/>
        <w:rPr>
          <w:rFonts w:ascii="Arial" w:eastAsia="Times New Roman" w:hAnsi="Arial" w:cs="Arial"/>
        </w:rPr>
      </w:pPr>
      <w:r w:rsidRPr="007B6EBA">
        <w:rPr>
          <w:rFonts w:ascii="Arial" w:eastAsia="Times New Roman" w:hAnsi="Arial" w:cs="Arial"/>
        </w:rPr>
        <w:t>GPPAQ can be found in Appendix</w:t>
      </w:r>
      <w:r w:rsidR="00D33D18" w:rsidRPr="007B6EBA">
        <w:rPr>
          <w:rFonts w:ascii="Arial" w:eastAsia="Times New Roman" w:hAnsi="Arial" w:cs="Arial"/>
        </w:rPr>
        <w:t xml:space="preserve"> B</w:t>
      </w:r>
    </w:p>
    <w:p w14:paraId="523D7F9E" w14:textId="6A0DE08E" w:rsidR="008D7CCC" w:rsidRPr="00AA32CC" w:rsidRDefault="004E1E87" w:rsidP="00AA32CC">
      <w:pPr>
        <w:pStyle w:val="ListParagraph"/>
        <w:numPr>
          <w:ilvl w:val="0"/>
          <w:numId w:val="2"/>
        </w:numPr>
        <w:spacing w:line="480" w:lineRule="auto"/>
        <w:rPr>
          <w:rFonts w:ascii="Arial" w:eastAsia="Times New Roman" w:hAnsi="Arial" w:cs="Arial"/>
        </w:rPr>
      </w:pPr>
      <w:r w:rsidRPr="00AA32CC">
        <w:rPr>
          <w:rFonts w:ascii="Arial" w:eastAsia="Times New Roman" w:hAnsi="Arial" w:cs="Arial"/>
        </w:rPr>
        <w:lastRenderedPageBreak/>
        <w:t>By week 16</w:t>
      </w:r>
      <w:r w:rsidR="00E8651A" w:rsidRPr="00AA32CC">
        <w:rPr>
          <w:rFonts w:ascii="Arial" w:eastAsia="Times New Roman" w:hAnsi="Arial" w:cs="Arial"/>
        </w:rPr>
        <w:t xml:space="preserve">, participants will demonstrate improvement in prevention and heart health-related knowledge by improvement </w:t>
      </w:r>
      <w:r w:rsidR="0004310B">
        <w:rPr>
          <w:rFonts w:ascii="Arial" w:eastAsia="Times New Roman" w:hAnsi="Arial" w:cs="Arial"/>
        </w:rPr>
        <w:t>of</w:t>
      </w:r>
      <w:r w:rsidR="00E8651A" w:rsidRPr="00AA32CC">
        <w:rPr>
          <w:rFonts w:ascii="Arial" w:eastAsia="Times New Roman" w:hAnsi="Arial" w:cs="Arial"/>
        </w:rPr>
        <w:t xml:space="preserve"> at least 4 points </w:t>
      </w:r>
      <w:r w:rsidR="0004310B">
        <w:rPr>
          <w:rFonts w:ascii="Arial" w:eastAsia="Times New Roman" w:hAnsi="Arial" w:cs="Arial"/>
        </w:rPr>
        <w:t>on</w:t>
      </w:r>
      <w:r w:rsidR="00E8651A" w:rsidRPr="00AA32CC">
        <w:rPr>
          <w:rFonts w:ascii="Arial" w:eastAsia="Times New Roman" w:hAnsi="Arial" w:cs="Arial"/>
        </w:rPr>
        <w:t xml:space="preserve"> NHLBI “My Health Knowledge” Survey compared to their pre-intervention scores.</w:t>
      </w:r>
      <w:r w:rsidR="00AA32CC">
        <w:rPr>
          <w:rFonts w:ascii="Arial" w:eastAsia="Times New Roman" w:hAnsi="Arial" w:cs="Arial"/>
        </w:rPr>
        <w:fldChar w:fldCharType="begin"/>
      </w:r>
      <w:r w:rsidR="007E173F">
        <w:rPr>
          <w:rFonts w:ascii="Arial" w:eastAsia="Times New Roman" w:hAnsi="Arial" w:cs="Arial"/>
        </w:rPr>
        <w:instrText>ADDIN F1000_CSL_CITATION&lt;~#@#~&gt;[{"DOI":"10.1111/phn.12234","First":false,"Last":false,"PMID":"26404001","abstract":"&lt;strong&gt;OBJECTIVE:&lt;/strong&gt; The objective was to pilot a socioculturally tailored church-based stroke prevention program delivered by trained community health workers (CHWs) and to test its effects on participant knowledge scores.&lt;br&gt;&lt;br&gt;&lt;strong&gt;DESIGN AND SAMPLE:&lt;/strong&gt; A single-group, pre-post test pilot study was conducted with a convenience sample of 201 adult African-Americans recruited from nine churches in three Alabama counties. Measurements included participant weight, blood pressure (BP), physical activity level; knowledge related to hypertension, heart disease, and stroke; cigarette smoking; and access to care, as well as the Stages of Change constructs within the Transtheoretical Model. The intervention was a six-session group-based health education program delivered by trained CHWs.&lt;br&gt;&lt;br&gt;&lt;strong&gt;MEASURES:&lt;/strong&gt; Measurements included participant weight, blood pressure (BP), physical activity level; knowledge related to hypertension, heart disease, and stroke; cigarette smoking; and access to care, as well as the Stages of Change constructs within the Transtheoretical Model. The intervention was a six-session group-based health education program delivered by trained CHWs.&lt;br&gt;&lt;br&gt;&lt;strong&gt;RESULTS:&lt;/strong&gt; From baseline to 12 weeks, knowledge increased significantly (p &lt;  .001). Systolic BP measures improved (p = .0008). More than half of participants lost weight; however, weight change did not reach significance (p = .1380). Most (87%) participants indicated having a medical home at baseline; at the end of the study the percentage increased to 92% (p = .0138).&lt;br&gt;&lt;br&gt;&lt;strong&gt;CONCLUSION:&lt;/strong&gt; A church-based intervention delivered by trained CHWs is feasible and may be a promising public health strategy to increase knowledge regarding hypertension and stroke prevention among African-Americans.&lt;br&gt;&lt;br&gt;© 2015 Wiley Periodicals, Inc.","author":[{"family":"Williams","given":"Lovoria B"},{"family":"Franklin","given":"Brandi"},{"family":"Evans","given":"Mary B"},{"family":"Jackson","given":"Chazeman"},{"family":"Hill","given":"Alethea"},{"family":"Minor","given":"Michael"}],"authorYearDisplayFormat":false,"citation-label":"5587733","container-title":"Public Health Nursing","container-title-short":"Public Health Nurs.","id":"5587733","invisible":false,"issue":"1","issued":{"date-parts":[["2016","2"]]},"journalAbbreviation":"Public Health Nurs.","page":"11-20","suppress-author":false,"title":"Turn the Beat Around: A Stroke Prevention Program for African-American Churches.","type":"article-journal","volume":"33"},{"First":false,"Last":false,"URL":"https://www.nhlbi.nih.gov/health/educational/healthdisp/pdf/resources/CHWI_MyHealthHabits_Pre_FI.pdf","accessed":{"date-parts":[["2019","12","4"]]},"author":[{"family":"Community Health Worker Health Disparity Initiative"}],"authorYearDisplayFormat":false,"citation-label":"7890849","id":"7890849","invisible":false,"issued":{"date-parts":[["2012","7","20"]]},"suppress-author":false,"title":"My Health Knowledge Survey","type":"webpage"}]</w:instrText>
      </w:r>
      <w:r w:rsidR="00AA32CC">
        <w:rPr>
          <w:rFonts w:ascii="Arial" w:eastAsia="Times New Roman" w:hAnsi="Arial" w:cs="Arial"/>
        </w:rPr>
        <w:fldChar w:fldCharType="separate"/>
      </w:r>
      <w:r w:rsidR="007E173F" w:rsidRPr="007E173F">
        <w:rPr>
          <w:rFonts w:ascii="Arial" w:eastAsia="Times New Roman" w:hAnsi="Arial" w:cs="Arial"/>
          <w:noProof/>
          <w:vertAlign w:val="superscript"/>
        </w:rPr>
        <w:t>17,39</w:t>
      </w:r>
      <w:r w:rsidR="00AA32CC">
        <w:rPr>
          <w:rFonts w:ascii="Arial" w:eastAsia="Times New Roman" w:hAnsi="Arial" w:cs="Arial"/>
        </w:rPr>
        <w:fldChar w:fldCharType="end"/>
      </w:r>
    </w:p>
    <w:p w14:paraId="3DF9EEC9" w14:textId="2B3C1AAE" w:rsidR="00105240" w:rsidRPr="007B6EBA" w:rsidRDefault="00105240" w:rsidP="00AA32CC">
      <w:pPr>
        <w:pStyle w:val="ListParagraph"/>
        <w:numPr>
          <w:ilvl w:val="1"/>
          <w:numId w:val="2"/>
        </w:numPr>
        <w:spacing w:line="480" w:lineRule="auto"/>
        <w:rPr>
          <w:rFonts w:ascii="Arial" w:eastAsia="Times New Roman" w:hAnsi="Arial" w:cs="Arial"/>
        </w:rPr>
      </w:pPr>
      <w:r w:rsidRPr="007B6EBA">
        <w:rPr>
          <w:rFonts w:ascii="Arial" w:eastAsia="Times New Roman" w:hAnsi="Arial" w:cs="Arial"/>
        </w:rPr>
        <w:t xml:space="preserve">My Health Knowledge Survey can be found in Appendix </w:t>
      </w:r>
      <w:r w:rsidR="00BB7E89" w:rsidRPr="007B6EBA">
        <w:rPr>
          <w:rFonts w:ascii="Arial" w:eastAsia="Times New Roman" w:hAnsi="Arial" w:cs="Arial"/>
        </w:rPr>
        <w:t>C</w:t>
      </w:r>
    </w:p>
    <w:p w14:paraId="7BFDA7EC" w14:textId="398205D1" w:rsidR="003C508A" w:rsidRPr="0051493E" w:rsidRDefault="0097493D" w:rsidP="00E96E07">
      <w:pPr>
        <w:pStyle w:val="Heading1"/>
        <w:rPr>
          <w:color w:val="000000" w:themeColor="text1"/>
        </w:rPr>
      </w:pPr>
      <w:r w:rsidRPr="00D95401">
        <w:t>Methods</w:t>
      </w:r>
      <w:r w:rsidR="0043403F">
        <w:rPr>
          <w:color w:val="000000" w:themeColor="text1"/>
        </w:rPr>
        <w:t xml:space="preserve"> </w:t>
      </w:r>
    </w:p>
    <w:p w14:paraId="4619A11A" w14:textId="14B43138" w:rsidR="003D53D8" w:rsidRPr="003D53D8" w:rsidRDefault="00647BF2" w:rsidP="00434188">
      <w:pPr>
        <w:pStyle w:val="ListParagraph"/>
        <w:numPr>
          <w:ilvl w:val="0"/>
          <w:numId w:val="5"/>
        </w:numPr>
        <w:spacing w:line="480" w:lineRule="auto"/>
        <w:ind w:left="540"/>
        <w:rPr>
          <w:rFonts w:ascii="Arial" w:hAnsi="Arial" w:cs="Arial"/>
          <w:b/>
          <w:color w:val="000000" w:themeColor="text1"/>
        </w:rPr>
      </w:pPr>
      <w:r>
        <w:rPr>
          <w:rFonts w:ascii="Arial" w:hAnsi="Arial" w:cs="Arial"/>
          <w:b/>
          <w:color w:val="000000" w:themeColor="text1"/>
        </w:rPr>
        <w:t>Leadership and Instruction</w:t>
      </w:r>
    </w:p>
    <w:p w14:paraId="006FDCA8" w14:textId="320580B1" w:rsidR="008F418E" w:rsidRDefault="003C508A" w:rsidP="00434188">
      <w:pPr>
        <w:spacing w:line="480" w:lineRule="auto"/>
        <w:rPr>
          <w:rFonts w:ascii="Arial" w:hAnsi="Arial" w:cs="Arial"/>
          <w:color w:val="000000" w:themeColor="text1"/>
        </w:rPr>
      </w:pPr>
      <w:r w:rsidRPr="00B45CAB">
        <w:rPr>
          <w:rFonts w:ascii="Arial" w:hAnsi="Arial" w:cs="Arial"/>
          <w:color w:val="000000" w:themeColor="text1"/>
        </w:rPr>
        <w:tab/>
        <w:t xml:space="preserve">The use of </w:t>
      </w:r>
      <w:r w:rsidR="00301330">
        <w:rPr>
          <w:rFonts w:ascii="Arial" w:hAnsi="Arial" w:cs="Arial"/>
          <w:color w:val="000000" w:themeColor="text1"/>
        </w:rPr>
        <w:t>Community Health Ambassadors (</w:t>
      </w:r>
      <w:r w:rsidR="00D75784">
        <w:rPr>
          <w:rFonts w:ascii="Arial" w:hAnsi="Arial" w:cs="Arial"/>
          <w:color w:val="000000" w:themeColor="text1"/>
        </w:rPr>
        <w:t>CHAs</w:t>
      </w:r>
      <w:r w:rsidR="00301330">
        <w:rPr>
          <w:rFonts w:ascii="Arial" w:hAnsi="Arial" w:cs="Arial"/>
          <w:color w:val="000000" w:themeColor="text1"/>
        </w:rPr>
        <w:t>)</w:t>
      </w:r>
      <w:r w:rsidRPr="00B45CAB">
        <w:rPr>
          <w:rFonts w:ascii="Arial" w:hAnsi="Arial" w:cs="Arial"/>
          <w:color w:val="000000" w:themeColor="text1"/>
        </w:rPr>
        <w:t xml:space="preserve"> is multifold. First of all, this technique has been used commonly and successfully in programs targeting behavior change in rural populations.</w:t>
      </w:r>
      <w:r w:rsidR="00336229" w:rsidRPr="00B45CAB">
        <w:rPr>
          <w:rFonts w:ascii="Arial" w:hAnsi="Arial" w:cs="Arial"/>
          <w:color w:val="000000" w:themeColor="text1"/>
        </w:rPr>
        <w:fldChar w:fldCharType="begin"/>
      </w:r>
      <w:r w:rsidR="007E173F">
        <w:rPr>
          <w:rFonts w:ascii="Arial" w:hAnsi="Arial" w:cs="Arial"/>
          <w:color w:val="000000" w:themeColor="text1"/>
        </w:rPr>
        <w:instrText>ADDIN F1000_CSL_CITATION&lt;~#@#~&gt;[{"DOI":"10.1377/hlthaff.2011.1009","First":false,"Last":false,"PMID":"22232096","abstract":"We conducted a systematic review and meta-analysis of twenty-eight US-based studies applying the findings of the Diabetes Prevention Program, a clinical trial that tested the effects of a lifestyle intervention for people at high risk for diabetes, in real-world settings. The average weight change at twelve months after the intervention was a loss of about 4 percent from participants' baseline weight. Change in weight was similar regardless of whether the intervention was delivered by clinically trained professionals or lay educators. Additional analyses limited to seventeen studies with a nine-month or greater follow-up assessment showed similar weight change. With every additional lifestyle session attended, weight loss increased by 0.26 percentage point. We conclude that costs associated with diabetes prevention can be lowered without sacrificing effectiveness, using nonmedical personnel and motivating higher attendance at program sessions.","author":[{"family":"Ali","given":"Mohammed K"},{"family":"Echouffo-Tcheugui","given":"Justin"},{"family":"Williamson","given":"David F"}],"authorYearDisplayFormat":false,"citation-label":"5958728","container-title":"Health Affairs (Project Hope)","container-title-short":"Health Aff (Millwood)","id":"5958728","invisible":false,"issue":"1","issued":{"date-parts":[["2012","1"]]},"journalAbbreviation":"Health Aff (Millwood)","page":"67-75","suppress-author":false,"title":"How effective were lifestyle interventions in real-world settings that were modeled on the Diabetes Prevention Program?","type":"article-journal","volume":"31"},{"DOI":"10.1111/phn.12234","First":false,"Last":false,"PMID":"26404001","abstract":"&lt;strong&gt;OBJECTIVE:&lt;/strong&gt; The objective was to pilot a socioculturally tailored church-based stroke prevention program delivered by trained community health workers (CHWs) and to test its effects on participant knowledge scores.&lt;br&gt;&lt;br&gt;&lt;strong&gt;DESIGN AND SAMPLE:&lt;/strong&gt; A single-group, pre-post test pilot study was conducted with a convenience sample of 201 adult African-Americans recruited from nine churches in three Alabama counties. Measurements included participant weight, blood pressure (BP), physical activity level; knowledge related to hypertension, heart disease, and stroke; cigarette smoking; and access to care, as well as the Stages of Change constructs within the Transtheoretical Model. The intervention was a six-session group-based health education program delivered by trained CHWs.&lt;br&gt;&lt;br&gt;&lt;strong&gt;MEASURES:&lt;/strong&gt; Measurements included participant weight, blood pressure (BP), physical activity level; knowledge related to hypertension, heart disease, and stroke; cigarette smoking; and access to care, as well as the Stages of Change constructs within the Transtheoretical Model. The intervention was a six-session group-based health education program delivered by trained CHWs.&lt;br&gt;&lt;br&gt;&lt;strong&gt;RESULTS:&lt;/strong&gt; From baseline to 12 weeks, knowledge increased significantly (p &lt;  .001). Systolic BP measures improved (p = .0008). More than half of participants lost weight; however, weight change did not reach significance (p = .1380). Most (87%) participants indicated having a medical home at baseline; at the end of the study the percentage increased to 92% (p = .0138).&lt;br&gt;&lt;br&gt;&lt;strong&gt;CONCLUSION:&lt;/strong&gt; A church-based intervention delivered by trained CHWs is feasible and may be a promising public health strategy to increase knowledge regarding hypertension and stroke prevention among African-Americans.&lt;br&gt;&lt;br&gt;© 2015 Wiley Periodicals, Inc.","author":[{"family":"Williams","given":"Lovoria B"},{"family":"Franklin","given":"Brandi"},{"family":"Evans","given":"Mary B"},{"family":"Jackson","given":"Chazeman"},{"family":"Hill","given":"Alethea"},{"family":"Minor","given":"Michael"}],"authorYearDisplayFormat":false,"citation-label":"5587733","container-title":"Public Health Nursing","container-title-short":"Public Health Nurs.","id":"5587733","invisible":false,"issue":"1","issued":{"date-parts":[["2016","2"]]},"journalAbbreviation":"Public Health Nurs.","page":"11-20","suppress-author":false,"title":"Turn the Beat Around: A Stroke Prevention Program for African-American Churches.","type":"article-journal","volume":"33"},{"DOI":"10.5888/pcd15.170479","First":false,"Last":false,"PMCID":"PMC6093267","PMID":"30073949","abstract":"&lt;strong&gt;INTRODUCTION:&lt;/strong&gt; Obesity is a top public health priority in the United States. This article reports on the Fit For Life (FFL) health education program designed to address the determinants of obesity in rural settings and help participants lose weight.&lt;br&gt;&lt;br&gt;&lt;strong&gt;PURPOSE AND OBJECTIVES:&lt;/strong&gt; We evaluated the implementation of the original FFL program, a replication program, and a diabetes-focused program.&lt;br&gt;&lt;br&gt;&lt;strong&gt;INTERVENTION APPROACH:&lt;/strong&gt; The original FFL program (2006 to 2012) was a 12-week session of classes meeting once weekly. Lecture topics included stress management, nutrition, healthy eating, reading food labels, fitness, disease prevention, and healthy aging. The replication program, conducted in 4 locations from 2012 to 2015, helped determine if the FFL program could be implemented on a larger scale, with outcomes similar to the original program. The longer, more-intensive FFL diabetes prevention program, conducted in 2016 and 2017, sought to reduce the number of rural adults at risk for diabetes.&lt;br&gt;&lt;br&gt;&lt;strong&gt;EVALUATION METHODS:&lt;/strong&gt; We evaluated FFL participation and outcome data from 2009 through first quarter 2017. We calculated rates of course participation and completion and measured changes in several health indicators. We constructed a linear regression model to examine the impact of health behaviors on weight loss and calculated program cost-effectiveness.&lt;br&gt;&lt;br&gt;&lt;strong&gt;RESULTS:&lt;/strong&gt; From 2009 to 2017, FFL was delivered to over 1,200 people; 82% of participants completed the program. Completing participants lost an average of 2.7 kg or 3% of their total weight. Overall, 68% of participants said they exercised more per week at the end of the program than at the beginning. Estimated cost per kilogram lost for replication sites was between $73 and $101 for original FFL, in line with other programs. The more resource-intensive diabetes prevention program cost per kilogram lost was $151 to $171.&lt;br&gt;&lt;br&gt;&lt;strong&gt;IMPLICATIONS FOR PUBLIC HEALTH PRACTICE:&lt;/strong&gt; Weight loss and lifestyle management are major ways to counteract obesity. Improving program options, especially in rural locales, should be a key policy priority. These programs should be considered for population-based expansion, perhaps by health departments or public-private health care consortiums.","author":[{"family":"McKnight","given":"Timothy"},{"family":"Demuth","given":"Jennifer R"},{"family":"Wilson","given":"Natalie"},{"family":"Leider","given":"Jonathon P"},{"family":"Knudson","given":"Alana"}],"authorYearDisplayFormat":false,"citation-label":"7511163","container-title":"Preventing Chronic Disease","container-title-short":"Prev. Chronic Dis.","id":"7511163","invisible":false,"issued":{"date-parts":[["2018","8","2"]]},"journalAbbreviation":"Prev. Chronic Dis.","page":"E98","suppress-author":false,"title":"Assessing Effectiveness and Cost-Benefit of the Trinity Hospital Twin City Fit For Life Program for Weight Loss and Diabetes Prevention in a Rural Midwestern Town.","type":"article-journal","volume":"15"}]</w:instrText>
      </w:r>
      <w:r w:rsidR="00336229" w:rsidRPr="00B45CAB">
        <w:rPr>
          <w:rFonts w:ascii="Arial" w:hAnsi="Arial" w:cs="Arial"/>
          <w:color w:val="000000" w:themeColor="text1"/>
        </w:rPr>
        <w:fldChar w:fldCharType="separate"/>
      </w:r>
      <w:r w:rsidR="007E173F" w:rsidRPr="007E173F">
        <w:rPr>
          <w:rFonts w:ascii="Arial" w:hAnsi="Arial" w:cs="Arial"/>
          <w:noProof/>
          <w:color w:val="000000" w:themeColor="text1"/>
          <w:vertAlign w:val="superscript"/>
        </w:rPr>
        <w:t>17,48,49</w:t>
      </w:r>
      <w:r w:rsidR="00336229" w:rsidRPr="00B45CAB">
        <w:rPr>
          <w:rFonts w:ascii="Arial" w:hAnsi="Arial" w:cs="Arial"/>
          <w:color w:val="000000" w:themeColor="text1"/>
        </w:rPr>
        <w:fldChar w:fldCharType="end"/>
      </w:r>
      <w:r w:rsidR="00D40947" w:rsidRPr="00B45CAB">
        <w:rPr>
          <w:rFonts w:ascii="Arial" w:hAnsi="Arial" w:cs="Arial"/>
          <w:color w:val="000000" w:themeColor="text1"/>
        </w:rPr>
        <w:t xml:space="preserve"> These CHA </w:t>
      </w:r>
      <w:r w:rsidR="0042657C" w:rsidRPr="00B45CAB">
        <w:rPr>
          <w:rFonts w:ascii="Arial" w:hAnsi="Arial" w:cs="Arial"/>
          <w:color w:val="000000" w:themeColor="text1"/>
        </w:rPr>
        <w:t>will</w:t>
      </w:r>
      <w:r w:rsidR="00D40947" w:rsidRPr="00B45CAB">
        <w:rPr>
          <w:rFonts w:ascii="Arial" w:hAnsi="Arial" w:cs="Arial"/>
          <w:color w:val="000000" w:themeColor="text1"/>
        </w:rPr>
        <w:t xml:space="preserve"> be recruited from significant local social or cultural groups </w:t>
      </w:r>
      <w:r w:rsidR="0042657C" w:rsidRPr="00B45CAB">
        <w:rPr>
          <w:rFonts w:ascii="Arial" w:hAnsi="Arial" w:cs="Arial"/>
          <w:color w:val="000000" w:themeColor="text1"/>
        </w:rPr>
        <w:t>as this has been shown to increase participation and interest in the program.</w:t>
      </w:r>
      <w:r w:rsidR="0042657C" w:rsidRPr="00B45CAB">
        <w:rPr>
          <w:rFonts w:ascii="Arial" w:hAnsi="Arial" w:cs="Arial"/>
          <w:color w:val="000000" w:themeColor="text1"/>
        </w:rPr>
        <w:fldChar w:fldCharType="begin"/>
      </w:r>
      <w:r w:rsidR="007E173F">
        <w:rPr>
          <w:rFonts w:ascii="Arial" w:hAnsi="Arial" w:cs="Arial"/>
          <w:color w:val="000000" w:themeColor="text1"/>
        </w:rPr>
        <w:instrText>ADDIN F1000_CSL_CITATION&lt;~#@#~&gt;[{"DOI":"10.1111/phn.12234","First":false,"Last":false,"PMID":"26404001","abstract":"&lt;strong&gt;OBJECTIVE:&lt;/strong&gt; The objective was to pilot a socioculturally tailored church-based stroke prevention program delivered by trained community health workers (CHWs) and to test its effects on participant knowledge scores.&lt;br&gt;&lt;br&gt;&lt;strong&gt;DESIGN AND SAMPLE:&lt;/strong&gt; A single-group, pre-post test pilot study was conducted with a convenience sample of 201 adult African-Americans recruited from nine churches in three Alabama counties. Measurements included participant weight, blood pressure (BP), physical activity level; knowledge related to hypertension, heart disease, and stroke; cigarette smoking; and access to care, as well as the Stages of Change constructs within the Transtheoretical Model. The intervention was a six-session group-based health education program delivered by trained CHWs.&lt;br&gt;&lt;br&gt;&lt;strong&gt;MEASURES:&lt;/strong&gt; Measurements included participant weight, blood pressure (BP), physical activity level; knowledge related to hypertension, heart disease, and stroke; cigarette smoking; and access to care, as well as the Stages of Change constructs within the Transtheoretical Model. The intervention was a six-session group-based health education program delivered by trained CHWs.&lt;br&gt;&lt;br&gt;&lt;strong&gt;RESULTS:&lt;/strong&gt; From baseline to 12 weeks, knowledge increased significantly (p &lt;  .001). Systolic BP measures improved (p = .0008). More than half of participants lost weight; however, weight change did not reach significance (p = .1380). Most (87%) participants indicated having a medical home at baseline; at the end of the study the percentage increased to 92% (p = .0138).&lt;br&gt;&lt;br&gt;&lt;strong&gt;CONCLUSION:&lt;/strong&gt; A church-based intervention delivered by trained CHWs is feasible and may be a promising public health strategy to increase knowledge regarding hypertension and stroke prevention among African-Americans.&lt;br&gt;&lt;br&gt;© 2015 Wiley Periodicals, Inc.","author":[{"family":"Williams","given":"Lovoria B"},{"family":"Franklin","given":"Brandi"},{"family":"Evans","given":"Mary B"},{"family":"Jackson","given":"Chazeman"},{"family":"Hill","given":"Alethea"},{"family":"Minor","given":"Michael"}],"authorYearDisplayFormat":false,"citation-label":"5587733","container-title":"Public Health Nursing","container-title-short":"Public Health Nurs.","id":"5587733","invisible":false,"issue":"1","issued":{"date-parts":[["2016","2"]]},"journalAbbreviation":"Public Health Nurs.","page":"11-20","suppress-author":false,"title":"Turn the Beat Around: A Stroke Prevention Program for African-American Churches.","type":"article-journal","volume":"33"}]</w:instrText>
      </w:r>
      <w:r w:rsidR="0042657C" w:rsidRPr="00B45CAB">
        <w:rPr>
          <w:rFonts w:ascii="Arial" w:hAnsi="Arial" w:cs="Arial"/>
          <w:color w:val="000000" w:themeColor="text1"/>
        </w:rPr>
        <w:fldChar w:fldCharType="separate"/>
      </w:r>
      <w:r w:rsidR="007E173F" w:rsidRPr="007E173F">
        <w:rPr>
          <w:rFonts w:ascii="Arial" w:hAnsi="Arial" w:cs="Arial"/>
          <w:noProof/>
          <w:color w:val="000000" w:themeColor="text1"/>
          <w:vertAlign w:val="superscript"/>
        </w:rPr>
        <w:t>17</w:t>
      </w:r>
      <w:r w:rsidR="0042657C" w:rsidRPr="00B45CAB">
        <w:rPr>
          <w:rFonts w:ascii="Arial" w:hAnsi="Arial" w:cs="Arial"/>
          <w:color w:val="000000" w:themeColor="text1"/>
        </w:rPr>
        <w:fldChar w:fldCharType="end"/>
      </w:r>
      <w:r w:rsidR="0042657C" w:rsidRPr="00B45CAB">
        <w:rPr>
          <w:rFonts w:ascii="Arial" w:hAnsi="Arial" w:cs="Arial"/>
          <w:color w:val="000000" w:themeColor="text1"/>
        </w:rPr>
        <w:t xml:space="preserve"> </w:t>
      </w:r>
      <w:r w:rsidR="00C10E78">
        <w:rPr>
          <w:rFonts w:ascii="Arial" w:hAnsi="Arial" w:cs="Arial"/>
          <w:color w:val="000000" w:themeColor="text1"/>
        </w:rPr>
        <w:t xml:space="preserve">For example, this could be a local religious leader, school principal, or a long-time local business owner and resident of the area. </w:t>
      </w:r>
      <w:r w:rsidR="0042657C" w:rsidRPr="00B45CAB">
        <w:rPr>
          <w:rFonts w:ascii="Arial" w:hAnsi="Arial" w:cs="Arial"/>
          <w:color w:val="000000" w:themeColor="text1"/>
        </w:rPr>
        <w:t>Furthermore, use of local, social influencers</w:t>
      </w:r>
      <w:r w:rsidR="00246705">
        <w:rPr>
          <w:rFonts w:ascii="Arial" w:hAnsi="Arial" w:cs="Arial"/>
          <w:color w:val="000000" w:themeColor="text1"/>
        </w:rPr>
        <w:t xml:space="preserve">, people who already have </w:t>
      </w:r>
      <w:r w:rsidR="00E71623">
        <w:rPr>
          <w:rFonts w:ascii="Arial" w:hAnsi="Arial" w:cs="Arial"/>
          <w:color w:val="000000" w:themeColor="text1"/>
        </w:rPr>
        <w:t>strong social networks in a community,</w:t>
      </w:r>
      <w:r w:rsidR="0042657C" w:rsidRPr="00B45CAB">
        <w:rPr>
          <w:rFonts w:ascii="Arial" w:hAnsi="Arial" w:cs="Arial"/>
          <w:color w:val="000000" w:themeColor="text1"/>
        </w:rPr>
        <w:t xml:space="preserve"> will utilize multiple levels of the SEM to the program’s advantage as these familiar faces rely on the strong intrapersonal relationships already established in the community and the current social and cultural institutions.</w:t>
      </w:r>
      <w:r w:rsidR="006136D2" w:rsidRPr="00B45CAB">
        <w:rPr>
          <w:rFonts w:ascii="Arial" w:hAnsi="Arial" w:cs="Arial"/>
          <w:color w:val="000000" w:themeColor="text1"/>
        </w:rPr>
        <w:fldChar w:fldCharType="begin"/>
      </w:r>
      <w:r w:rsidR="007E173F">
        <w:rPr>
          <w:rFonts w:ascii="Arial" w:hAnsi="Arial" w:cs="Arial"/>
          <w:color w:val="000000" w:themeColor="text1"/>
        </w:rPr>
        <w:instrText>ADDIN F1000_CSL_CITATION&lt;~#@#~&gt;[{"DOI":"10.1146/annurev-publhealth-031210-101218","First":false,"Last":false,"PMID":"21091195","abstract":"In the United States, awareness is increasing that medical care alone cannot adequately improve health overall or reduce health disparities without also addressing where and how people live. A critical mass of relevant knowledge has accumulated, documenting associations, exploring pathways and biological mechanisms, and providing a previously unavailable scientific foundation for appreciating the role of social factors in health. We review current knowledge about health effects of social (including economic) factors, knowledge gaps, and research priorities, focusing on upstream social determinants-including economic resources, education, and racial discrimination-that fundamentally shape the downstream determinants, such as behaviors, targeted by most interventions. Research priorities include measuring social factors better, monitoring social factors and health relative to policies, examining health effects of social factors across lifetimes and generations, incrementally elucidating pathways through knowledge linkage, testing multidimensional interventions, and addressing political will as a key barrier to translating knowledge into action.","author":[{"family":"Braveman","given":"Paula"},{"family":"Egerter","given":"Susan"},{"family":"Williams","given":"David R"}],"authorYearDisplayFormat":false,"citation-label":"2037695","container-title":"Annual review of public health","container-title-short":"Annu. Rev. Public Health","id":"2037695","invisible":false,"issued":{"date-parts":[["2011"]]},"journalAbbreviation":"Annu. Rev. Public Health","page":"381-398","suppress-author":false,"title":"The social determinants of health: coming of age.","type":"article-journal","volume":"32"},{"DOI":"10.1177/109019818801500401","First":false,"Last":false,"author":[{"family":"McLeroy","given":"K R"},{"family":"Bibeau","given":"D"},{"family":"Steckler","given":"A"},{"family":"Glanz","given":"K"}],"authorYearDisplayFormat":false,"citation-label":"876475","container-title":"Health Education &amp; Behavior","container-title-short":"Health Education &amp; Behavior","id":"876475","invisible":false,"issue":"4","issued":{"date-parts":[["1988","1","1"]]},"journalAbbreviation":"Health Education &amp; Behavior","page":"351-377","suppress-author":false,"title":"An Ecological Perspective on Health Promotion Programs","type":"article-journal","volume":"15"}]</w:instrText>
      </w:r>
      <w:r w:rsidR="006136D2" w:rsidRPr="00B45CAB">
        <w:rPr>
          <w:rFonts w:ascii="Arial" w:hAnsi="Arial" w:cs="Arial"/>
          <w:color w:val="000000" w:themeColor="text1"/>
        </w:rPr>
        <w:fldChar w:fldCharType="separate"/>
      </w:r>
      <w:r w:rsidR="007E173F" w:rsidRPr="007E173F">
        <w:rPr>
          <w:rFonts w:ascii="Arial" w:hAnsi="Arial" w:cs="Arial"/>
          <w:noProof/>
          <w:color w:val="000000" w:themeColor="text1"/>
          <w:vertAlign w:val="superscript"/>
        </w:rPr>
        <w:t>18,19</w:t>
      </w:r>
      <w:r w:rsidR="006136D2" w:rsidRPr="00B45CAB">
        <w:rPr>
          <w:rFonts w:ascii="Arial" w:hAnsi="Arial" w:cs="Arial"/>
          <w:color w:val="000000" w:themeColor="text1"/>
        </w:rPr>
        <w:fldChar w:fldCharType="end"/>
      </w:r>
      <w:r w:rsidR="0042657C" w:rsidRPr="00B45CAB">
        <w:rPr>
          <w:rFonts w:ascii="Arial" w:hAnsi="Arial" w:cs="Arial"/>
          <w:color w:val="000000" w:themeColor="text1"/>
        </w:rPr>
        <w:t xml:space="preserve"> The use of these leaders and established groups </w:t>
      </w:r>
      <w:r w:rsidR="006136D2" w:rsidRPr="00B45CAB">
        <w:rPr>
          <w:rFonts w:ascii="Arial" w:hAnsi="Arial" w:cs="Arial"/>
          <w:color w:val="000000" w:themeColor="text1"/>
        </w:rPr>
        <w:t xml:space="preserve">will therefore </w:t>
      </w:r>
      <w:r w:rsidR="0042657C" w:rsidRPr="00B45CAB">
        <w:rPr>
          <w:rFonts w:ascii="Arial" w:hAnsi="Arial" w:cs="Arial"/>
          <w:color w:val="000000" w:themeColor="text1"/>
        </w:rPr>
        <w:t xml:space="preserve">engrain the program into the established community more seamlessly than </w:t>
      </w:r>
      <w:r w:rsidR="006136D2" w:rsidRPr="00B45CAB">
        <w:rPr>
          <w:rFonts w:ascii="Arial" w:hAnsi="Arial" w:cs="Arial"/>
          <w:color w:val="000000" w:themeColor="text1"/>
        </w:rPr>
        <w:t>if started by outsiders to the community.</w:t>
      </w:r>
      <w:r w:rsidR="006136D2" w:rsidRPr="00B45CAB">
        <w:rPr>
          <w:rFonts w:ascii="Arial" w:hAnsi="Arial" w:cs="Arial"/>
          <w:color w:val="000000" w:themeColor="text1"/>
        </w:rPr>
        <w:fldChar w:fldCharType="begin"/>
      </w:r>
      <w:r w:rsidR="007E173F">
        <w:rPr>
          <w:rFonts w:ascii="Arial" w:hAnsi="Arial" w:cs="Arial"/>
          <w:color w:val="000000" w:themeColor="text1"/>
        </w:rPr>
        <w:instrText>ADDIN F1000_CSL_CITATION&lt;~#@#~&gt;[{"DOI":"10.1177/109019818801500401","First":false,"Last":false,"author":[{"family":"McLeroy","given":"K R"},{"family":"Bibeau","given":"D"},{"family":"Steckler","given":"A"},{"family":"Glanz","given":"K"}],"authorYearDisplayFormat":false,"citation-label":"876475","container-title":"Health Education &amp; Behavior","container-title-short":"Health Education &amp; Behavior","id":"876475","invisible":false,"issue":"4","issued":{"date-parts":[["1988","1","1"]]},"journalAbbreviation":"Health Education &amp; Behavior","page":"351-377","suppress-author":false,"title":"An Ecological Perspective on Health Promotion Programs","type":"article-journal","volume":"15"},{"DOI":"10.1146/annurev-publhealth-031210-101218","First":false,"Last":false,"PMID":"21091195","abstract":"In the United States, awareness is increasing that medical care alone cannot adequately improve health overall or reduce health disparities without also addressing where and how people live. A critical mass of relevant knowledge has accumulated, documenting associations, exploring pathways and biological mechanisms, and providing a previously unavailable scientific foundation for appreciating the role of social factors in health. We review current knowledge about health effects of social (including economic) factors, knowledge gaps, and research priorities, focusing on upstream social determinants-including economic resources, education, and racial discrimination-that fundamentally shape the downstream determinants, such as behaviors, targeted by most interventions. Research priorities include measuring social factors better, monitoring social factors and health relative to policies, examining health effects of social factors across lifetimes and generations, incrementally elucidating pathways through knowledge linkage, testing multidimensional interventions, and addressing political will as a key barrier to translating knowledge into action.","author":[{"family":"Braveman","given":"Paula"},{"family":"Egerter","given":"Susan"},{"family":"Williams","given":"David R"}],"authorYearDisplayFormat":false,"citation-label":"2037695","container-title":"Annual review of public health","container-title-short":"Annu. Rev. Public Health","id":"2037695","invisible":false,"issued":{"date-parts":[["2011"]]},"journalAbbreviation":"Annu. Rev. Public Health","page":"381-398","suppress-author":false,"title":"The social determinants of health: coming of age.","type":"article-journal","volume":"32"}]</w:instrText>
      </w:r>
      <w:r w:rsidR="006136D2" w:rsidRPr="00B45CAB">
        <w:rPr>
          <w:rFonts w:ascii="Arial" w:hAnsi="Arial" w:cs="Arial"/>
          <w:color w:val="000000" w:themeColor="text1"/>
        </w:rPr>
        <w:fldChar w:fldCharType="separate"/>
      </w:r>
      <w:r w:rsidR="007E173F" w:rsidRPr="007E173F">
        <w:rPr>
          <w:rFonts w:ascii="Arial" w:hAnsi="Arial" w:cs="Arial"/>
          <w:noProof/>
          <w:color w:val="000000" w:themeColor="text1"/>
          <w:vertAlign w:val="superscript"/>
        </w:rPr>
        <w:t>18,19</w:t>
      </w:r>
      <w:r w:rsidR="006136D2" w:rsidRPr="00B45CAB">
        <w:rPr>
          <w:rFonts w:ascii="Arial" w:hAnsi="Arial" w:cs="Arial"/>
          <w:color w:val="000000" w:themeColor="text1"/>
        </w:rPr>
        <w:fldChar w:fldCharType="end"/>
      </w:r>
      <w:r w:rsidR="006136D2" w:rsidRPr="00B45CAB">
        <w:rPr>
          <w:rFonts w:ascii="Arial" w:hAnsi="Arial" w:cs="Arial"/>
          <w:color w:val="000000" w:themeColor="text1"/>
        </w:rPr>
        <w:t xml:space="preserve"> Secondly, the use of CHAs to supplement the involvement of healthcare providers reduces costs, is more sustainable, and increases feasibility of growing the program.</w:t>
      </w:r>
      <w:r w:rsidR="00140F05">
        <w:rPr>
          <w:rFonts w:ascii="Arial" w:hAnsi="Arial" w:cs="Arial"/>
          <w:color w:val="000000" w:themeColor="text1"/>
        </w:rPr>
        <w:fldChar w:fldCharType="begin"/>
      </w:r>
      <w:r w:rsidR="007E173F">
        <w:rPr>
          <w:rFonts w:ascii="Arial" w:hAnsi="Arial" w:cs="Arial"/>
          <w:color w:val="000000" w:themeColor="text1"/>
        </w:rPr>
        <w:instrText>ADDIN F1000_CSL_CITATION&lt;~#@#~&gt;[{"DOI":"10.5888/pcd15.170479","First":false,"Last":false,"PMCID":"PMC6093267","PMID":"30073949","abstract":"&lt;strong&gt;INTRODUCTION:&lt;/strong&gt; Obesity is a top public health priority in the United States. This article reports on the Fit For Life (FFL) health education program designed to address the determinants of obesity in rural settings and help participants lose weight.&lt;br&gt;&lt;br&gt;&lt;strong&gt;PURPOSE AND OBJECTIVES:&lt;/strong&gt; We evaluated the implementation of the original FFL program, a replication program, and a diabetes-focused program.&lt;br&gt;&lt;br&gt;&lt;strong&gt;INTERVENTION APPROACH:&lt;/strong&gt; The original FFL program (2006 to 2012) was a 12-week session of classes meeting once weekly. Lecture topics included stress management, nutrition, healthy eating, reading food labels, fitness, disease prevention, and healthy aging. The replication program, conducted in 4 locations from 2012 to 2015, helped determine if the FFL program could be implemented on a larger scale, with outcomes similar to the original program. The longer, more-intensive FFL diabetes prevention program, conducted in 2016 and 2017, sought to reduce the number of rural adults at risk for diabetes.&lt;br&gt;&lt;br&gt;&lt;strong&gt;EVALUATION METHODS:&lt;/strong&gt; We evaluated FFL participation and outcome data from 2009 through first quarter 2017. We calculated rates of course participation and completion and measured changes in several health indicators. We constructed a linear regression model to examine the impact of health behaviors on weight loss and calculated program cost-effectiveness.&lt;br&gt;&lt;br&gt;&lt;strong&gt;RESULTS:&lt;/strong&gt; From 2009 to 2017, FFL was delivered to over 1,200 people; 82% of participants completed the program. Completing participants lost an average of 2.7 kg or 3% of their total weight. Overall, 68% of participants said they exercised more per week at the end of the program than at the beginning. Estimated cost per kilogram lost for replication sites was between $73 and $101 for original FFL, in line with other programs. The more resource-intensive diabetes prevention program cost per kilogram lost was $151 to $171.&lt;br&gt;&lt;br&gt;&lt;strong&gt;IMPLICATIONS FOR PUBLIC HEALTH PRACTICE:&lt;/strong&gt; Weight loss and lifestyle management are major ways to counteract obesity. Improving program options, especially in rural locales, should be a key policy priority. These programs should be considered for population-based expansion, perhaps by health departments or public-private health care consortiums.","author":[{"family":"McKnight","given":"Timothy"},{"family":"Demuth","given":"Jennifer R"},{"family":"Wilson","given":"Natalie"},{"family":"Leider","given":"Jonathon P"},{"family":"Knudson","given":"Alana"}],"authorYearDisplayFormat":false,"citation-label":"7511163","container-title":"Preventing Chronic Disease","container-title-short":"Prev. Chronic Dis.","id":"7511163","invisible":false,"issued":{"date-parts":[["2018","8","2"]]},"journalAbbreviation":"Prev. Chronic Dis.","page":"E98","suppress-author":false,"title":"Assessing Effectiveness and Cost-Benefit of the Trinity Hospital Twin City Fit For Life Program for Weight Loss and Diabetes Prevention in a Rural Midwestern Town.","type":"article-journal","volume":"15"},{"DOI":"10.1161/STR.0000000000000098","First":false,"Last":false,"PMID":"27145936","abstract":"&lt;strong&gt;PURPOSE:&lt;/strong&gt; The aim of this guideline is to provide a synopsis of best clinical practices in the rehabilitative care of adults recovering from stroke.&lt;br&gt;&lt;br&gt;&lt;strong&gt;METHODS:&lt;/strong&gt; Writing group members were nominated by the committee chair on the basis of their previous work in relevant topic areas and were approved by the American Heart Association (AHA) Stroke Council's Scientific Statement Oversight Committee and the AHA's Manuscript Oversight Committee. The panel reviewed relevant articles on adults using computerized searches of the medical literature through 2014. The evidence is organized within the context of the AHA framework and is classified according to the joint AHA/American College of Cardiology and supplementary AHA methods of classifying the level of certainty and the class and level of evidence. The document underwent extensive AHA internal and external peer review, Stroke Council Leadership review, and Scientific Statements Oversight Committee review before consideration and approval by the AHA Science Advisory and Coordinating Committee.&lt;br&gt;&lt;br&gt;&lt;strong&gt;RESULTS:&lt;/strong&gt; Stroke rehabilitation requires a sustained and coordinated effort from a large team, including the patient and his or her goals, family and friends, other caregivers (eg, personal care attendants), physicians, nurses, physical and occupational therapists, speech-language pathologists, recreation therapists, psychologists, nutritionists, social workers, and others. Communication and coordination among these team members are paramount in maximizing the effectiveness and efficiency of rehabilitation and underlie this entire guideline. Without communication and coordination, isolated efforts to rehabilitate the stroke survivor are unlikely to achieve their full potential.&lt;br&gt;&lt;br&gt;&lt;strong&gt;CONCLUSIONS:&lt;/strong&gt; As systems of care evolve in response to healthcare reform efforts, postacute care and rehabilitation are often considered a costly area of care to be trimmed but without recognition of their clinical impact and ability to reduce the risk of downstream medical morbidity resulting from immobility, depression, loss of autonomy, and reduced functional independence. The provision of comprehensive rehabilitation programs with adequate resources, dose, and duration is an essential aspect of stroke care and should be a priority in these redesign efforts. (Stroke.2016;47:e98-e169. DOI: 10.1161/STR.0000000000000098.).&lt;br&gt;&lt;br&gt;© 2016 American Heart Association, Inc.","author":[{"family":"Winstein","given":"Carolee J"},{"family":"Stein","given":"Joel"},{"family":"Arena","given":"Ross"},{"family":"Bates","given":"Barbara"},{"family":"Cherney","given":"Leora R"},{"family":"Cramer","given":"Steven C"},{"family":"Deruyter","given":"Frank"},{"family":"Eng","given":"Janice J"},{"family":"Fisher","given":"Beth"},{"family":"Harvey","given":"Richard L"},{"family":"Lang","given":"Catherine E"},{"family":"MacKay-Lyons","given":"Marilyn"},{"family":"Ottenbacher","given":"Kenneth J"},{"family":"Pugh","given":"Sue"},{"family":"Reeves","given":"Mathew J"},{"family":"Richards","given":"Lorie G"},{"family":"Stiers","given":"William"},{"family":"Zorowitz","given":"Richard D"},{"family":"American Heart Association Stroke Council, Council on Cardiovascular and Stroke Nursing, Council on Clinical Cardiology, and Council on Quality of Care and Outcomes Research"}],"authorYearDisplayFormat":false,"citation-label":"2006108","container-title":"Stroke","container-title-short":"Stroke","id":"2006108","invisible":false,"issue":"6","issued":{"date-parts":[["2016","6"]]},"journalAbbreviation":"Stroke","page":"e98-e169","suppress-author":false,"title":"Guidelines for adult stroke rehabilitation and recovery: A guideline for healthcare professionals from the american heart association/american stroke association.","type":"article-journal","volume":"47"}]</w:instrText>
      </w:r>
      <w:r w:rsidR="00140F05">
        <w:rPr>
          <w:rFonts w:ascii="Arial" w:hAnsi="Arial" w:cs="Arial"/>
          <w:color w:val="000000" w:themeColor="text1"/>
        </w:rPr>
        <w:fldChar w:fldCharType="separate"/>
      </w:r>
      <w:r w:rsidR="007E173F" w:rsidRPr="007E173F">
        <w:rPr>
          <w:rFonts w:ascii="Arial" w:hAnsi="Arial" w:cs="Arial"/>
          <w:noProof/>
          <w:color w:val="000000" w:themeColor="text1"/>
          <w:vertAlign w:val="superscript"/>
        </w:rPr>
        <w:t>49,50</w:t>
      </w:r>
      <w:r w:rsidR="00140F05">
        <w:rPr>
          <w:rFonts w:ascii="Arial" w:hAnsi="Arial" w:cs="Arial"/>
          <w:color w:val="000000" w:themeColor="text1"/>
        </w:rPr>
        <w:fldChar w:fldCharType="end"/>
      </w:r>
      <w:r w:rsidR="006136D2" w:rsidRPr="00B45CAB">
        <w:rPr>
          <w:rFonts w:ascii="Arial" w:hAnsi="Arial" w:cs="Arial"/>
          <w:color w:val="000000" w:themeColor="text1"/>
        </w:rPr>
        <w:t xml:space="preserve"> </w:t>
      </w:r>
      <w:r w:rsidR="00B45CAB">
        <w:rPr>
          <w:rFonts w:ascii="Arial" w:hAnsi="Arial" w:cs="Arial"/>
          <w:color w:val="000000" w:themeColor="text1"/>
        </w:rPr>
        <w:t xml:space="preserve">These individuals will be chosen </w:t>
      </w:r>
      <w:r w:rsidR="00150FAE">
        <w:rPr>
          <w:rFonts w:ascii="Arial" w:hAnsi="Arial" w:cs="Arial"/>
          <w:color w:val="000000" w:themeColor="text1"/>
        </w:rPr>
        <w:t>prior to the initiation of the program, and will be provided with all materials and trained by healthcare professionals to ensure sufficient understanding of program goals, materials, and information.</w:t>
      </w:r>
      <w:r w:rsidR="00140F05">
        <w:rPr>
          <w:rFonts w:ascii="Arial" w:hAnsi="Arial" w:cs="Arial"/>
          <w:color w:val="000000" w:themeColor="text1"/>
        </w:rPr>
        <w:fldChar w:fldCharType="begin"/>
      </w:r>
      <w:r w:rsidR="007E173F">
        <w:rPr>
          <w:rFonts w:ascii="Arial" w:hAnsi="Arial" w:cs="Arial"/>
          <w:color w:val="000000" w:themeColor="text1"/>
        </w:rPr>
        <w:instrText>ADDIN F1000_CSL_CITATION&lt;~#@#~&gt;[{"DOI":"10.5888/pcd15.170479","First":false,"Last":false,"PMCID":"PMC6093267","PMID":"30073949","abstract":"&lt;strong&gt;INTRODUCTION:&lt;/strong&gt; Obesity is a top public health priority in the United States. This article reports on the Fit For Life (FFL) health education program designed to address the determinants of obesity in rural settings and help participants lose weight.&lt;br&gt;&lt;br&gt;&lt;strong&gt;PURPOSE AND OBJECTIVES:&lt;/strong&gt; We evaluated the implementation of the original FFL program, a replication program, and a diabetes-focused program.&lt;br&gt;&lt;br&gt;&lt;strong&gt;INTERVENTION APPROACH:&lt;/strong&gt; The original FFL program (2006 to 2012) was a 12-week session of classes meeting once weekly. Lecture topics included stress management, nutrition, healthy eating, reading food labels, fitness, disease prevention, and healthy aging. The replication program, conducted in 4 locations from 2012 to 2015, helped determine if the FFL program could be implemented on a larger scale, with outcomes similar to the original program. The longer, more-intensive FFL diabetes prevention program, conducted in 2016 and 2017, sought to reduce the number of rural adults at risk for diabetes.&lt;br&gt;&lt;br&gt;&lt;strong&gt;EVALUATION METHODS:&lt;/strong&gt; We evaluated FFL participation and outcome data from 2009 through first quarter 2017. We calculated rates of course participation and completion and measured changes in several health indicators. We constructed a linear regression model to examine the impact of health behaviors on weight loss and calculated program cost-effectiveness.&lt;br&gt;&lt;br&gt;&lt;strong&gt;RESULTS:&lt;/strong&gt; From 2009 to 2017, FFL was delivered to over 1,200 people; 82% of participants completed the program. Completing participants lost an average of 2.7 kg or 3% of their total weight. Overall, 68% of participants said they exercised more per week at the end of the program than at the beginning. Estimated cost per kilogram lost for replication sites was between $73 and $101 for original FFL, in line with other programs. The more resource-intensive diabetes prevention program cost per kilogram lost was $151 to $171.&lt;br&gt;&lt;br&gt;&lt;strong&gt;IMPLICATIONS FOR PUBLIC HEALTH PRACTICE:&lt;/strong&gt; Weight loss and lifestyle management are major ways to counteract obesity. Improving program options, especially in rural locales, should be a key policy priority. These programs should be considered for population-based expansion, perhaps by health departments or public-private health care consortiums.","author":[{"family":"McKnight","given":"Timothy"},{"family":"Demuth","given":"Jennifer R"},{"family":"Wilson","given":"Natalie"},{"family":"Leider","given":"Jonathon P"},{"family":"Knudson","given":"Alana"}],"authorYearDisplayFormat":false,"citation-label":"7511163","container-title":"Preventing Chronic Disease","container-title-short":"Prev. Chronic Dis.","id":"7511163","invisible":false,"issued":{"date-parts":[["2018","8","2"]]},"journalAbbreviation":"Prev. Chronic Dis.","page":"E98","suppress-author":false,"title":"Assessing Effectiveness and Cost-Benefit of the Trinity Hospital Twin City Fit For Life Program for Weight Loss and Diabetes Prevention in a Rural Midwestern Town.","type":"article-journal","volume":"15"},{"DOI":"10.1111/phn.12234","First":false,"Last":false,"PMID":"26404001","abstract":"&lt;strong&gt;OBJECTIVE:&lt;/strong&gt; The objective was to pilot a socioculturally tailored church-based stroke prevention program delivered by trained community health workers (CHWs) and to test its effects on participant knowledge scores.&lt;br&gt;&lt;br&gt;&lt;strong&gt;DESIGN AND SAMPLE:&lt;/strong&gt; A single-group, pre-post test pilot study was conducted with a convenience sample of 201 adult African-Americans recruited from nine churches in three Alabama counties. Measurements included participant weight, blood pressure (BP), physical activity level; knowledge related to hypertension, heart disease, and stroke; cigarette smoking; and access to care, as well as the Stages of Change constructs within the Transtheoretical Model. The intervention was a six-session group-based health education program delivered by trained CHWs.&lt;br&gt;&lt;br&gt;&lt;strong&gt;MEASURES:&lt;/strong&gt; Measurements included participant weight, blood pressure (BP), physical activity level; knowledge related to hypertension, heart disease, and stroke; cigarette smoking; and access to care, as well as the Stages of Change constructs within the Transtheoretical Model. The intervention was a six-session group-based health education program delivered by trained CHWs.&lt;br&gt;&lt;br&gt;&lt;strong&gt;RESULTS:&lt;/strong&gt; From baseline to 12 weeks, knowledge increased significantly (p &lt;  .001). Systolic BP measures improved (p = .0008). More than half of participants lost weight; however, weight change did not reach significance (p = .1380). Most (87%) participants indicated having a medical home at baseline; at the end of the study the percentage increased to 92% (p = .0138).&lt;br&gt;&lt;br&gt;&lt;strong&gt;CONCLUSION:&lt;/strong&gt; A church-based intervention delivered by trained CHWs is feasible and may be a promising public health strategy to increase knowledge regarding hypertension and stroke prevention among African-Americans.&lt;br&gt;&lt;br&gt;© 2015 Wiley Periodicals, Inc.","author":[{"family":"Williams","given":"Lovoria B"},{"family":"Franklin","given":"Brandi"},{"family":"Evans","given":"Mary B"},{"family":"Jackson","given":"Chazeman"},{"family":"Hill","given":"Alethea"},{"family":"Minor","given":"Michael"}],"authorYearDisplayFormat":false,"citation-label":"5587733","container-title":"Public Health Nursing","container-title-short":"Public Health Nurs.","id":"5587733","invisible":false,"issue":"1","issued":{"date-parts":[["2016","2"]]},"journalAbbreviation":"Public Health Nurs.","page":"11-20","suppress-author":false,"title":"Turn the Beat Around: A Stroke Prevention Program for African-American Churches.","type":"article-journal","volume":"33"},{"DOI":"10.1093/her/cyy052","First":false,"Last":false,"PMCID":"PMC6736056","PMID":"30601979","abstract":"Cardiovascular disease (CVD) is a major cause of death among people living in the United States. Populations, especially minorities, living in the rural South are disproportionately affected by CVD and have greater CVD risk, morbidity and mortality. Culturally relevant cardiovascular health programs implemented in rural community settings can potentially reduce CVD risk and facilitate health behavior modification. The purpose of this study was to examine the effects of a cardiovascular health promotion intervention on the health habits of a group of rural African American adults. The study had a cluster randomized controlled trial design involving 12 rural churches that served as statistical clusters. From the churches (n = 6) randomized to the intervention group, 115 participants were enrolled, received the 6-week health program and completed pretest-posttest measures. The 114 participants from the control group churches (n = 6) did not receive the health program and completed the same pretest-posttest measures. The linear mixed model was used to compare group differences from pretest to posttest. The educational health intervention positively influenced select dietary and confidence factors that may contribute toward CVD risk reduction.&lt;br&gt;&lt;br&gt;ï¿½ The Author(s) 2019. Published by Oxford University Press. All rights reserved. For permissions, please email: journals.permissions@oup.com.","author":[{"family":"Abbott","given":"Laurie S"},{"family":"Slate","given":"Elizabeth H"},{"family":"Lemacks","given":"Jennifer L"}],"authorYearDisplayFormat":false,"citation-label":"6224309","container-title":"Health Education Research","container-title-short":"Health Educ. Res.","id":"6224309","invisible":false,"issue":"2","issued":{"date-parts":[["2019","4","1"]]},"journalAbbreviation":"Health Educ. Res.","page":"200-208","suppress-author":false,"title":"Influencing cardiovascular health habits in the rural, deep south: results of a cluster randomized trial.","type":"article-journal","volume":"34"}]</w:instrText>
      </w:r>
      <w:r w:rsidR="00140F05">
        <w:rPr>
          <w:rFonts w:ascii="Arial" w:hAnsi="Arial" w:cs="Arial"/>
          <w:color w:val="000000" w:themeColor="text1"/>
        </w:rPr>
        <w:fldChar w:fldCharType="separate"/>
      </w:r>
      <w:r w:rsidR="007E173F" w:rsidRPr="007E173F">
        <w:rPr>
          <w:rFonts w:ascii="Arial" w:hAnsi="Arial" w:cs="Arial"/>
          <w:noProof/>
          <w:color w:val="000000" w:themeColor="text1"/>
          <w:vertAlign w:val="superscript"/>
        </w:rPr>
        <w:t>17,40,49</w:t>
      </w:r>
      <w:r w:rsidR="00140F05">
        <w:rPr>
          <w:rFonts w:ascii="Arial" w:hAnsi="Arial" w:cs="Arial"/>
          <w:color w:val="000000" w:themeColor="text1"/>
        </w:rPr>
        <w:fldChar w:fldCharType="end"/>
      </w:r>
      <w:r w:rsidR="00150FAE">
        <w:rPr>
          <w:rFonts w:ascii="Arial" w:hAnsi="Arial" w:cs="Arial"/>
          <w:color w:val="000000" w:themeColor="text1"/>
        </w:rPr>
        <w:t xml:space="preserve"> </w:t>
      </w:r>
      <w:r w:rsidR="00711FE1">
        <w:rPr>
          <w:rFonts w:ascii="Arial" w:hAnsi="Arial" w:cs="Arial"/>
          <w:color w:val="000000" w:themeColor="text1"/>
        </w:rPr>
        <w:t xml:space="preserve">These individuals will then be responsible for </w:t>
      </w:r>
      <w:r w:rsidR="00711FE1">
        <w:rPr>
          <w:rFonts w:ascii="Arial" w:hAnsi="Arial" w:cs="Arial"/>
          <w:color w:val="000000" w:themeColor="text1"/>
        </w:rPr>
        <w:lastRenderedPageBreak/>
        <w:t>leading the weekly education sessions (with provided materials) and accompanying participants on walk</w:t>
      </w:r>
      <w:r w:rsidR="00A379E8">
        <w:rPr>
          <w:rFonts w:ascii="Arial" w:hAnsi="Arial" w:cs="Arial"/>
          <w:color w:val="000000" w:themeColor="text1"/>
        </w:rPr>
        <w:t xml:space="preserve">s to continue facilitation of conversation about weekly topics as well as increase comradery of group members. </w:t>
      </w:r>
      <w:r w:rsidR="00242239">
        <w:rPr>
          <w:rFonts w:ascii="Arial" w:hAnsi="Arial" w:cs="Arial"/>
          <w:color w:val="000000" w:themeColor="text1"/>
        </w:rPr>
        <w:t xml:space="preserve">Their role is crucial as not only are they the vessel of all program information, but they will also role model that health-related knowledge </w:t>
      </w:r>
      <w:r w:rsidR="00CA6018">
        <w:rPr>
          <w:rFonts w:ascii="Arial" w:hAnsi="Arial" w:cs="Arial"/>
          <w:color w:val="000000" w:themeColor="text1"/>
        </w:rPr>
        <w:t>as an attainable goal</w:t>
      </w:r>
      <w:r w:rsidR="00F70618">
        <w:rPr>
          <w:rFonts w:ascii="Arial" w:hAnsi="Arial" w:cs="Arial"/>
          <w:color w:val="000000" w:themeColor="text1"/>
        </w:rPr>
        <w:t xml:space="preserve"> for all </w:t>
      </w:r>
      <w:r w:rsidR="00CA6018">
        <w:rPr>
          <w:rFonts w:ascii="Arial" w:hAnsi="Arial" w:cs="Arial"/>
          <w:color w:val="000000" w:themeColor="text1"/>
        </w:rPr>
        <w:t>community members</w:t>
      </w:r>
      <w:r w:rsidR="00F70618">
        <w:rPr>
          <w:rFonts w:ascii="Arial" w:hAnsi="Arial" w:cs="Arial"/>
          <w:color w:val="000000" w:themeColor="text1"/>
        </w:rPr>
        <w:t xml:space="preserve"> regardless of educational or financial barriers.</w:t>
      </w:r>
      <w:r w:rsidR="00F70618">
        <w:rPr>
          <w:rFonts w:ascii="Arial" w:hAnsi="Arial" w:cs="Arial"/>
          <w:color w:val="000000" w:themeColor="text1"/>
        </w:rPr>
        <w:fldChar w:fldCharType="begin"/>
      </w:r>
      <w:r w:rsidR="007E173F">
        <w:rPr>
          <w:rFonts w:ascii="Arial" w:hAnsi="Arial" w:cs="Arial"/>
          <w:color w:val="000000" w:themeColor="text1"/>
        </w:rPr>
        <w:instrText>ADDIN F1000_CSL_CITATION&lt;~#@#~&gt;[{"DOI":"10.1146/annurev-publhealth-031210-101218","First":false,"Last":false,"PMID":"21091195","abstract":"In the United States, awareness is increasing that medical care alone cannot adequately improve health overall or reduce health disparities without also addressing where and how people live. A critical mass of relevant knowledge has accumulated, documenting associations, exploring pathways and biological mechanisms, and providing a previously unavailable scientific foundation for appreciating the role of social factors in health. We review current knowledge about health effects of social (including economic) factors, knowledge gaps, and research priorities, focusing on upstream social determinants-including economic resources, education, and racial discrimination-that fundamentally shape the downstream determinants, such as behaviors, targeted by most interventions. Research priorities include measuring social factors better, monitoring social factors and health relative to policies, examining health effects of social factors across lifetimes and generations, incrementally elucidating pathways through knowledge linkage, testing multidimensional interventions, and addressing political will as a key barrier to translating knowledge into action.","author":[{"family":"Braveman","given":"Paula"},{"family":"Egerter","given":"Susan"},{"family":"Williams","given":"David R"}],"authorYearDisplayFormat":false,"citation-label":"2037695","container-title":"Annual review of public health","container-title-short":"Annu. Rev. Public Health","id":"2037695","invisible":false,"issued":{"date-parts":[["2011"]]},"journalAbbreviation":"Annu. Rev. Public Health","page":"381-398","suppress-author":false,"title":"The social determinants of health: coming of age.","type":"article-journal","volume":"32"}]</w:instrText>
      </w:r>
      <w:r w:rsidR="00F70618">
        <w:rPr>
          <w:rFonts w:ascii="Arial" w:hAnsi="Arial" w:cs="Arial"/>
          <w:color w:val="000000" w:themeColor="text1"/>
        </w:rPr>
        <w:fldChar w:fldCharType="separate"/>
      </w:r>
      <w:r w:rsidR="007E173F" w:rsidRPr="007E173F">
        <w:rPr>
          <w:rFonts w:ascii="Arial" w:hAnsi="Arial" w:cs="Arial"/>
          <w:noProof/>
          <w:color w:val="000000" w:themeColor="text1"/>
          <w:vertAlign w:val="superscript"/>
        </w:rPr>
        <w:t>18</w:t>
      </w:r>
      <w:r w:rsidR="00F70618">
        <w:rPr>
          <w:rFonts w:ascii="Arial" w:hAnsi="Arial" w:cs="Arial"/>
          <w:color w:val="000000" w:themeColor="text1"/>
        </w:rPr>
        <w:fldChar w:fldCharType="end"/>
      </w:r>
      <w:r w:rsidR="00CA6018">
        <w:rPr>
          <w:rFonts w:ascii="Arial" w:hAnsi="Arial" w:cs="Arial"/>
          <w:color w:val="000000" w:themeColor="text1"/>
        </w:rPr>
        <w:t xml:space="preserve"> </w:t>
      </w:r>
    </w:p>
    <w:p w14:paraId="6AA2AC79" w14:textId="11CCCA75" w:rsidR="008F418E" w:rsidRDefault="008F418E" w:rsidP="00434188">
      <w:pPr>
        <w:spacing w:line="480" w:lineRule="auto"/>
        <w:ind w:firstLine="720"/>
        <w:rPr>
          <w:rFonts w:ascii="Arial" w:hAnsi="Arial" w:cs="Arial"/>
          <w:color w:val="000000" w:themeColor="text1"/>
        </w:rPr>
      </w:pPr>
      <w:r>
        <w:rPr>
          <w:rFonts w:ascii="Arial" w:hAnsi="Arial" w:cs="Arial"/>
          <w:color w:val="000000" w:themeColor="text1"/>
        </w:rPr>
        <w:t>All CHAs will be trained by and supported by a few local healthcare providers who will direct the program as a whole, so that there is involvement of local providers and increase referrals to the program from a medical standpoint.</w:t>
      </w:r>
      <w:r w:rsidR="00AB3F05">
        <w:rPr>
          <w:rFonts w:ascii="Arial" w:hAnsi="Arial" w:cs="Arial"/>
          <w:color w:val="000000" w:themeColor="text1"/>
        </w:rPr>
        <w:fldChar w:fldCharType="begin"/>
      </w:r>
      <w:r w:rsidR="007E173F">
        <w:rPr>
          <w:rFonts w:ascii="Arial" w:hAnsi="Arial" w:cs="Arial"/>
          <w:color w:val="000000" w:themeColor="text1"/>
        </w:rPr>
        <w:instrText>ADDIN F1000_CSL_CITATION&lt;~#@#~&gt;[{"First":false,"Last":false,"PMID":"25211845","author":[{"family":"Freeman","given":"Andrew M"},{"family":"Curran-Everett","given":"Douglas"},{"family":"Sabgir","given":"David"}],"authorYearDisplayFormat":false,"citation-label":"7511194","container-title":"Medical Economics","container-title-short":"Med. Econ.","id":"7511194","invisible":false,"issue":"1","issued":{"date-parts":[["2014","1","10"]]},"journalAbbreviation":"Med. Econ.","page":"42-4, 47","suppress-author":false,"title":"How starting a patient education/fitness program can improve health. 'Walk with a Doc' program shows you how to model healthy behaviors and strengthen the patient-physician bond.","type":"article-journal","volume":"91"},{"DOI":"10.5888/pcd15.170479","First":false,"Last":false,"PMCID":"PMC6093267","PMID":"30073949","abstract":"&lt;strong&gt;INTRODUCTION:&lt;/strong&gt; Obesity is a top public health priority in the United States. This article reports on the Fit For Life (FFL) health education program designed to address the determinants of obesity in rural settings and help participants lose weight.&lt;br&gt;&lt;br&gt;&lt;strong&gt;PURPOSE AND OBJECTIVES:&lt;/strong&gt; We evaluated the implementation of the original FFL program, a replication program, and a diabetes-focused program.&lt;br&gt;&lt;br&gt;&lt;strong&gt;INTERVENTION APPROACH:&lt;/strong&gt; The original FFL program (2006 to 2012) was a 12-week session of classes meeting once weekly. Lecture topics included stress management, nutrition, healthy eating, reading food labels, fitness, disease prevention, and healthy aging. The replication program, conducted in 4 locations from 2012 to 2015, helped determine if the FFL program could be implemented on a larger scale, with outcomes similar to the original program. The longer, more-intensive FFL diabetes prevention program, conducted in 2016 and 2017, sought to reduce the number of rural adults at risk for diabetes.&lt;br&gt;&lt;br&gt;&lt;strong&gt;EVALUATION METHODS:&lt;/strong&gt; We evaluated FFL participation and outcome data from 2009 through first quarter 2017. We calculated rates of course participation and completion and measured changes in several health indicators. We constructed a linear regression model to examine the impact of health behaviors on weight loss and calculated program cost-effectiveness.&lt;br&gt;&lt;br&gt;&lt;strong&gt;RESULTS:&lt;/strong&gt; From 2009 to 2017, FFL was delivered to over 1,200 people; 82% of participants completed the program. Completing participants lost an average of 2.7 kg or 3% of their total weight. Overall, 68% of participants said they exercised more per week at the end of the program than at the beginning. Estimated cost per kilogram lost for replication sites was between $73 and $101 for original FFL, in line with other programs. The more resource-intensive diabetes prevention program cost per kilogram lost was $151 to $171.&lt;br&gt;&lt;br&gt;&lt;strong&gt;IMPLICATIONS FOR PUBLIC HEALTH PRACTICE:&lt;/strong&gt; Weight loss and lifestyle management are major ways to counteract obesity. Improving program options, especially in rural locales, should be a key policy priority. These programs should be considered for population-based expansion, perhaps by health departments or public-private health care consortiums.","author":[{"family":"McKnight","given":"Timothy"},{"family":"Demuth","given":"Jennifer R"},{"family":"Wilson","given":"Natalie"},{"family":"Leider","given":"Jonathon P"},{"family":"Knudson","given":"Alana"}],"authorYearDisplayFormat":false,"citation-label":"7511163","container-title":"Preventing Chronic Disease","container-title-short":"Prev. Chronic Dis.","id":"7511163","invisible":false,"issued":{"date-parts":[["2018","8","2"]]},"journalAbbreviation":"Prev. Chronic Dis.","page":"E98","suppress-author":false,"title":"Assessing Effectiveness and Cost-Benefit of the Trinity Hospital Twin City Fit For Life Program for Weight Loss and Diabetes Prevention in a Rural Midwestern Town.","type":"article-journal","volume":"15"}]</w:instrText>
      </w:r>
      <w:r w:rsidR="00AB3F05">
        <w:rPr>
          <w:rFonts w:ascii="Arial" w:hAnsi="Arial" w:cs="Arial"/>
          <w:color w:val="000000" w:themeColor="text1"/>
        </w:rPr>
        <w:fldChar w:fldCharType="separate"/>
      </w:r>
      <w:r w:rsidR="007E173F" w:rsidRPr="007E173F">
        <w:rPr>
          <w:rFonts w:ascii="Arial" w:hAnsi="Arial" w:cs="Arial"/>
          <w:noProof/>
          <w:color w:val="000000" w:themeColor="text1"/>
          <w:vertAlign w:val="superscript"/>
        </w:rPr>
        <w:t>49,51</w:t>
      </w:r>
      <w:r w:rsidR="00AB3F05">
        <w:rPr>
          <w:rFonts w:ascii="Arial" w:hAnsi="Arial" w:cs="Arial"/>
          <w:color w:val="000000" w:themeColor="text1"/>
        </w:rPr>
        <w:fldChar w:fldCharType="end"/>
      </w:r>
      <w:r>
        <w:rPr>
          <w:rFonts w:ascii="Arial" w:hAnsi="Arial" w:cs="Arial"/>
          <w:color w:val="000000" w:themeColor="text1"/>
        </w:rPr>
        <w:t xml:space="preserve"> The goal is to use CHA to improve social integration and connection while a backbone of a few, crucial healthcare providers help to direct the program on a broad scale. </w:t>
      </w:r>
      <w:r w:rsidR="00AB3F05">
        <w:rPr>
          <w:rFonts w:ascii="Arial" w:hAnsi="Arial" w:cs="Arial"/>
          <w:color w:val="000000" w:themeColor="text1"/>
        </w:rPr>
        <w:t>Use of local providers can help to increase familiarity and patient confidence and comfort when talking with healthcare professionals.</w:t>
      </w:r>
      <w:r w:rsidR="00AB3F05">
        <w:rPr>
          <w:rFonts w:ascii="Arial" w:hAnsi="Arial" w:cs="Arial"/>
          <w:color w:val="000000" w:themeColor="text1"/>
        </w:rPr>
        <w:fldChar w:fldCharType="begin"/>
      </w:r>
      <w:r w:rsidR="007E173F">
        <w:rPr>
          <w:rFonts w:ascii="Arial" w:hAnsi="Arial" w:cs="Arial"/>
          <w:color w:val="000000" w:themeColor="text1"/>
        </w:rPr>
        <w:instrText>ADDIN F1000_CSL_CITATION&lt;~#@#~&gt;[{"First":false,"Last":false,"PMID":"25211845","author":[{"family":"Freeman","given":"Andrew M"},{"family":"Curran-Everett","given":"Douglas"},{"family":"Sabgir","given":"David"}],"authorYearDisplayFormat":false,"citation-label":"7511194","container-title":"Medical Economics","container-title-short":"Med. Econ.","id":"7511194","invisible":false,"issue":"1","issued":{"date-parts":[["2014","1","10"]]},"journalAbbreviation":"Med. Econ.","page":"42-4, 47","suppress-author":false,"title":"How starting a patient education/fitness program can improve health. 'Walk with a Doc' program shows you how to model healthy behaviors and strengthen the patient-physician bond.","type":"article-journal","volume":"91"},{"DOI":"10.1146/annurev-publhealth-031210-101218","First":false,"Last":false,"PMID":"21091195","abstract":"In the United States, awareness is increasing that medical care alone cannot adequately improve health overall or reduce health disparities without also addressing where and how people live. A critical mass of relevant knowledge has accumulated, documenting associations, exploring pathways and biological mechanisms, and providing a previously unavailable scientific foundation for appreciating the role of social factors in health. We review current knowledge about health effects of social (including economic) factors, knowledge gaps, and research priorities, focusing on upstream social determinants-including economic resources, education, and racial discrimination-that fundamentally shape the downstream determinants, such as behaviors, targeted by most interventions. Research priorities include measuring social factors better, monitoring social factors and health relative to policies, examining health effects of social factors across lifetimes and generations, incrementally elucidating pathways through knowledge linkage, testing multidimensional interventions, and addressing political will as a key barrier to translating knowledge into action.","author":[{"family":"Braveman","given":"Paula"},{"family":"Egerter","given":"Susan"},{"family":"Williams","given":"David R"}],"authorYearDisplayFormat":false,"citation-label":"2037695","container-title":"Annual review of public health","container-title-short":"Annu. Rev. Public Health","id":"2037695","invisible":false,"issued":{"date-parts":[["2011"]]},"journalAbbreviation":"Annu. Rev. Public Health","page":"381-398","suppress-author":false,"title":"The social determinants of health: coming of age.","type":"article-journal","volume":"32"}]</w:instrText>
      </w:r>
      <w:r w:rsidR="00AB3F05">
        <w:rPr>
          <w:rFonts w:ascii="Arial" w:hAnsi="Arial" w:cs="Arial"/>
          <w:color w:val="000000" w:themeColor="text1"/>
        </w:rPr>
        <w:fldChar w:fldCharType="separate"/>
      </w:r>
      <w:r w:rsidR="007E173F" w:rsidRPr="007E173F">
        <w:rPr>
          <w:rFonts w:ascii="Arial" w:hAnsi="Arial" w:cs="Arial"/>
          <w:noProof/>
          <w:color w:val="000000" w:themeColor="text1"/>
          <w:vertAlign w:val="superscript"/>
        </w:rPr>
        <w:t>18,51</w:t>
      </w:r>
      <w:r w:rsidR="00AB3F05">
        <w:rPr>
          <w:rFonts w:ascii="Arial" w:hAnsi="Arial" w:cs="Arial"/>
          <w:color w:val="000000" w:themeColor="text1"/>
        </w:rPr>
        <w:fldChar w:fldCharType="end"/>
      </w:r>
    </w:p>
    <w:p w14:paraId="5B24755F" w14:textId="77777777" w:rsidR="00301330" w:rsidRDefault="00301330" w:rsidP="00301330">
      <w:pPr>
        <w:pStyle w:val="ListParagraph"/>
        <w:numPr>
          <w:ilvl w:val="0"/>
          <w:numId w:val="5"/>
        </w:numPr>
        <w:spacing w:line="480" w:lineRule="auto"/>
        <w:ind w:left="540"/>
        <w:rPr>
          <w:rFonts w:ascii="Arial" w:hAnsi="Arial" w:cs="Arial"/>
          <w:b/>
          <w:color w:val="000000" w:themeColor="text1"/>
        </w:rPr>
      </w:pPr>
      <w:r>
        <w:rPr>
          <w:rFonts w:ascii="Arial" w:hAnsi="Arial" w:cs="Arial"/>
          <w:b/>
          <w:color w:val="000000" w:themeColor="text1"/>
        </w:rPr>
        <w:t>Enrollment</w:t>
      </w:r>
    </w:p>
    <w:p w14:paraId="20B7B33A" w14:textId="2982EC5E" w:rsidR="00301330" w:rsidRDefault="00301330" w:rsidP="00301330">
      <w:pPr>
        <w:pStyle w:val="ListParagraph"/>
        <w:spacing w:line="480" w:lineRule="auto"/>
        <w:ind w:left="0" w:firstLine="720"/>
        <w:rPr>
          <w:rFonts w:ascii="Arial" w:hAnsi="Arial" w:cs="Arial"/>
          <w:color w:val="000000" w:themeColor="text1"/>
        </w:rPr>
      </w:pPr>
      <w:r>
        <w:rPr>
          <w:rFonts w:ascii="Arial" w:hAnsi="Arial" w:cs="Arial"/>
          <w:color w:val="000000" w:themeColor="text1"/>
        </w:rPr>
        <w:t xml:space="preserve">Information about the program, schedule, locations, and who to contact will be posted on fliers in healthcare offices, local community centers, and social organizations such as churches. The CHAs will be responsible for advertising and mentioning the program in their social networks, as word of mouth recommendations can be powerful in rural areas. Participants will be able to enroll by either calling a local program director or CHA, whose information will be on the flyer. </w:t>
      </w:r>
    </w:p>
    <w:p w14:paraId="7108013D" w14:textId="4A43251B" w:rsidR="00301330" w:rsidRDefault="00301330" w:rsidP="00301330">
      <w:pPr>
        <w:spacing w:line="480" w:lineRule="auto"/>
        <w:rPr>
          <w:rFonts w:ascii="Arial" w:hAnsi="Arial" w:cs="Arial"/>
          <w:color w:val="000000" w:themeColor="text1"/>
        </w:rPr>
      </w:pPr>
      <w:r>
        <w:rPr>
          <w:rFonts w:ascii="Arial" w:hAnsi="Arial" w:cs="Arial"/>
          <w:color w:val="000000" w:themeColor="text1"/>
        </w:rPr>
        <w:tab/>
        <w:t xml:space="preserve">In each community, ideally a Physical Therapist and a physician will volunteer to team up to organize, plan, and train the CHAs that will lead the group. The healthcare providers will attend all days where baseline assessments or outcome measures are </w:t>
      </w:r>
      <w:r>
        <w:rPr>
          <w:rFonts w:ascii="Arial" w:hAnsi="Arial" w:cs="Arial"/>
          <w:color w:val="000000" w:themeColor="text1"/>
        </w:rPr>
        <w:lastRenderedPageBreak/>
        <w:t>performed, and may initially attend meetings and walks to support the program, but are not required to do so. Each group of participants will be led by two CHAs and contain 20 participants at a maximum. However, the program is not limited to 20 participants, as an added benefit of the use of CHAs is that multiple groups can be operating at the same time with different CHAs all managed by the same PT and physician pair.</w:t>
      </w:r>
    </w:p>
    <w:p w14:paraId="2254BDD3" w14:textId="320A7711" w:rsidR="00063687" w:rsidRPr="00063687" w:rsidRDefault="00063687" w:rsidP="00434188">
      <w:pPr>
        <w:pStyle w:val="ListParagraph"/>
        <w:numPr>
          <w:ilvl w:val="0"/>
          <w:numId w:val="5"/>
        </w:numPr>
        <w:spacing w:line="480" w:lineRule="auto"/>
        <w:ind w:left="540"/>
        <w:rPr>
          <w:rFonts w:ascii="Arial" w:hAnsi="Arial" w:cs="Arial"/>
          <w:b/>
          <w:color w:val="000000" w:themeColor="text1"/>
        </w:rPr>
      </w:pPr>
      <w:r w:rsidRPr="00063687">
        <w:rPr>
          <w:rFonts w:ascii="Arial" w:hAnsi="Arial" w:cs="Arial"/>
          <w:b/>
          <w:color w:val="000000" w:themeColor="text1"/>
        </w:rPr>
        <w:t>Walking Intervention</w:t>
      </w:r>
    </w:p>
    <w:p w14:paraId="041B7C4E" w14:textId="4FB22D2B" w:rsidR="00063687" w:rsidRDefault="003272D6" w:rsidP="00434188">
      <w:pPr>
        <w:spacing w:line="480" w:lineRule="auto"/>
        <w:ind w:firstLine="720"/>
        <w:rPr>
          <w:rFonts w:ascii="Arial" w:hAnsi="Arial" w:cs="Arial"/>
          <w:color w:val="000000" w:themeColor="text1"/>
        </w:rPr>
      </w:pPr>
      <w:r w:rsidRPr="00B45CAB">
        <w:rPr>
          <w:rFonts w:ascii="Arial" w:hAnsi="Arial" w:cs="Arial"/>
          <w:color w:val="000000" w:themeColor="text1"/>
        </w:rPr>
        <w:t xml:space="preserve">As </w:t>
      </w:r>
      <w:r w:rsidR="003C508A" w:rsidRPr="00B45CAB">
        <w:rPr>
          <w:rFonts w:ascii="Arial" w:hAnsi="Arial" w:cs="Arial"/>
          <w:color w:val="000000" w:themeColor="text1"/>
        </w:rPr>
        <w:t>described above, risk factors</w:t>
      </w:r>
      <w:r w:rsidR="001A5483">
        <w:rPr>
          <w:rFonts w:ascii="Arial" w:hAnsi="Arial" w:cs="Arial"/>
          <w:color w:val="000000" w:themeColor="text1"/>
        </w:rPr>
        <w:t xml:space="preserve"> such as high blood pressure are modifiable through lifestyle interventions such as increased physical activity, and therefore </w:t>
      </w:r>
      <w:r w:rsidR="00E9418E">
        <w:rPr>
          <w:rFonts w:ascii="Arial" w:hAnsi="Arial" w:cs="Arial"/>
          <w:color w:val="000000" w:themeColor="text1"/>
        </w:rPr>
        <w:t xml:space="preserve">the program is based around a walking program to increase physical activity. </w:t>
      </w:r>
      <w:r w:rsidR="00301330">
        <w:rPr>
          <w:rFonts w:ascii="Arial" w:hAnsi="Arial" w:cs="Arial"/>
          <w:color w:val="000000" w:themeColor="text1"/>
        </w:rPr>
        <w:t>A</w:t>
      </w:r>
      <w:r w:rsidR="001A5483">
        <w:rPr>
          <w:rFonts w:ascii="Arial" w:hAnsi="Arial" w:cs="Arial"/>
          <w:color w:val="000000" w:themeColor="text1"/>
        </w:rPr>
        <w:t xml:space="preserve"> group</w:t>
      </w:r>
      <w:r w:rsidR="00E9418E">
        <w:rPr>
          <w:rFonts w:ascii="Arial" w:hAnsi="Arial" w:cs="Arial"/>
          <w:color w:val="000000" w:themeColor="text1"/>
        </w:rPr>
        <w:t>-based</w:t>
      </w:r>
      <w:r w:rsidR="001A5483">
        <w:rPr>
          <w:rFonts w:ascii="Arial" w:hAnsi="Arial" w:cs="Arial"/>
          <w:color w:val="000000" w:themeColor="text1"/>
        </w:rPr>
        <w:t xml:space="preserve"> setting </w:t>
      </w:r>
      <w:r w:rsidR="00E9418E">
        <w:rPr>
          <w:rFonts w:ascii="Arial" w:hAnsi="Arial" w:cs="Arial"/>
          <w:color w:val="000000" w:themeColor="text1"/>
        </w:rPr>
        <w:t>is encouraged by most behavior change models as it encourages</w:t>
      </w:r>
      <w:r w:rsidR="001A5483">
        <w:rPr>
          <w:rFonts w:ascii="Arial" w:hAnsi="Arial" w:cs="Arial"/>
          <w:color w:val="000000" w:themeColor="text1"/>
        </w:rPr>
        <w:t xml:space="preserve"> relationships and </w:t>
      </w:r>
      <w:r w:rsidR="00E9418E">
        <w:rPr>
          <w:rFonts w:ascii="Arial" w:hAnsi="Arial" w:cs="Arial"/>
          <w:color w:val="000000" w:themeColor="text1"/>
        </w:rPr>
        <w:t xml:space="preserve">increases </w:t>
      </w:r>
      <w:r w:rsidR="001A5483">
        <w:rPr>
          <w:rFonts w:ascii="Arial" w:hAnsi="Arial" w:cs="Arial"/>
          <w:color w:val="000000" w:themeColor="text1"/>
        </w:rPr>
        <w:t>motivation</w:t>
      </w:r>
      <w:r w:rsidR="00E9418E">
        <w:rPr>
          <w:rFonts w:ascii="Arial" w:hAnsi="Arial" w:cs="Arial"/>
          <w:color w:val="000000" w:themeColor="text1"/>
        </w:rPr>
        <w:t xml:space="preserve"> and adherence.</w:t>
      </w:r>
      <w:r w:rsidR="00E9418E">
        <w:rPr>
          <w:rFonts w:ascii="Arial" w:hAnsi="Arial" w:cs="Arial"/>
          <w:color w:val="000000" w:themeColor="text1"/>
        </w:rPr>
        <w:fldChar w:fldCharType="begin"/>
      </w:r>
      <w:r w:rsidR="007E173F">
        <w:rPr>
          <w:rFonts w:ascii="Arial" w:hAnsi="Arial" w:cs="Arial"/>
          <w:color w:val="000000" w:themeColor="text1"/>
        </w:rPr>
        <w:instrText>ADDIN F1000_CSL_CITATION&lt;~#@#~&gt;[{"DOI":"10.1177/109019818801500401","First":false,"Last":false,"author":[{"family":"McLeroy","given":"K R"},{"family":"Bibeau","given":"D"},{"family":"Steckler","given":"A"},{"family":"Glanz","given":"K"}],"authorYearDisplayFormat":false,"citation-label":"876475","container-title":"Health Education &amp; Behavior","container-title-short":"Health Education &amp; Behavior","id":"876475","invisible":false,"issue":"4","issued":{"date-parts":[["1988","1","1"]]},"journalAbbreviation":"Health Education &amp; Behavior","page":"351-377","suppress-author":false,"title":"An Ecological Perspective on Health Promotion Programs","type":"article-journal","volume":"15"},{"DOI":"10.1111/j.1748-0361.2012.00442.x","First":false,"Last":false,"PMCID":"PMC3695442","PMID":"23802927","abstract":"&lt;strong&gt;PURPOSE:&lt;/strong&gt; To compare 2 strategies, stage-matched nursing and community intervention (SMN+CI) and community intervention (CI) alone in changing cardiovascular risk factors in up to 3 behavioral areas: diet, physical activity, and/or smoking among rural women.&lt;br&gt;&lt;br&gt;&lt;strong&gt;METHODS:&lt;/strong&gt; A 14-month, multisite randomized controlled trial of 117 rural women was conducted. Transtheoretical model was used in identification of stage of change and development of the SMN+CI nursing interventions. A social-ecological model was used to address issues of rurality in the development of interventions.&lt;br&gt;&lt;br&gt;&lt;strong&gt;FINDINGS:&lt;/strong&gt; The SMN + CI group was superior on 4 outcomes. There were significant increases in 2 measures of dietary intake; improvement in dietary stage of change for fruits and vegetables; and reduced diastolic blood pressure (DBP) in the SMN + CI group. After log transformation DBP significance was lost. The CI group had a significant reduction in change in total cholesterol; however, significance was lost after control for the initiation of lipid lowering medications. There was a significant reduction in Framingham risk scores pre- to postintervention, regardless of group.&lt;br&gt;&lt;br&gt;&lt;strong&gt;CONCLUSIONS:&lt;/strong&gt; There continues to be a need to improve cardiovascular risk factors in rural women. There should be an exploration of whether intensified dose and fidelity of the intervention strategies of diet and physical activity are effective in improving anthropometric and laboratory values. Further investigation is warranted into factors influencing the pre- to postreduction in Framingham risk scores.&lt;br&gt;&lt;br&gt;© 2012 National Rural Health Association.","author":[{"family":"Fahs","given":"Pamela Stewart"},{"family":"Pribulick","given":"Margaret"},{"family":"Williams","given":"Ishan Canty"},{"family":"James","given":"Gary D"},{"family":"Rovnyak","given":"Virginia"},{"family":"Seibold-Simpson","given":"Susan M"}],"authorYearDisplayFormat":false,"citation-label":"7666491","container-title":"The Journal of Rural Health","container-title-short":"J. Rural Health","id":"7666491","invisible":false,"issue":"3","issued":{"date-parts":[["2013","6"]]},"journalAbbreviation":"J. Rural Health","page":"248-257","suppress-author":false,"title":"Promoting heart health in rural women.","type":"article-journal","volume":"29"},{"DOI":"10.1016/j.ypmed.2018.04.016","First":false,"Last":false,"PMID":"29634974","abstract":"The Heart of New Ulm Project (HONU), is a population-based project designed to reduce modifiable cardiovascular disease (CVD) risk factors in the rural community of New Ulm, MN. HONU interventions address multiple levels of the social-ecological model. The community is served by one health system, enabling the use of electronic health record (EHR) data for surveillance. The purpose of this study was to assess if trends in CVD risk factors and healthcare utilization differed between a cohort of New Ulm residents age 40-79 and matched controls selected from a similar community, using EHR data from baseline (2008-2009) through three follow up time periods (2010-2011, 2012-2013, 2014-2015). Matching, using covariate balance sparse technique, yielded a sample of 4077 New Ulm residents and 4077 controls. We used mixed effects longitudinal models to examine trends over time between the two groups. Blood pressure, total cholesterol, low-density lipoprotein-cholesterol, and triglycerides showed better management in New Ulm over time compared to the controls. The proportion of residents in New Ulm with controlled blood pressure increased by 6.2 percentage points compared to an increase of 2 points in controls (p &lt;  0.0001). As the cohort aged, 10-year ASCVD risk scores increased less in New Ulm (5.1) than the comparison community (5.9). The intervention and control community did not differ with regard to inpatient stays, smoking, or glucose. Findings suggest efficacy for the HONU project interventions for some outcomes.&lt;br&gt;&lt;br&gt;Copyright © 2018 The Authors. Published by Elsevier Inc. All rights reserved.","author":[{"family":"Sidebottom","given":"Abbey C"},{"family":"Sillah","given":"Arthur"},{"family":"Vock","given":"David M"},{"family":"Miedema","given":"Michael D"},{"family":"Pereira","given":"Raquel"},{"family":"Benson","given":"Gretchen"},{"family":"Lindberg","given":"Rebecca"},{"family":"Boucher","given":"Jackie L"},{"family":"Knickelbine","given":"Thomas"},{"family":"VanWormer","given":"Jeffrey J"}],"authorYearDisplayFormat":false,"citation-label":"7785297","container-title":"Preventive Medicine","container-title-short":"Prev. Med.","id":"7785297","invisible":false,"issued":{"date-parts":[["2018","4","7"]]},"journalAbbreviation":"Prev. Med.","page":"216-221","suppress-author":false,"title":"Assessing the impact of the heart of New Ulm Project on cardiovascular disease risk factors: A population-based program to reduce cardiovascular disease.","type":"article-journal","volume":"112"},{"DOI":"10.1016/j.ahj.2016.02.006","First":false,"Last":false,"PMID":"27179725","abstract":"&lt;strong&gt;BACKGROUND:&lt;/strong&gt; Population-based interventions aimed at reducing cardiovascular disease (CVD) hold significant potential and will be increasingly relied upon as the model for health care changes in the United States.&lt;br&gt;&lt;br&gt;&lt;strong&gt;METHODS:&lt;/strong&gt; The Heart of New Ulm Project is a population-based project with health care, community, and workplace interventions addressing multiple levels of the social-ecological model designed to reduce modifiable CVD risk factors in rural New Ulm, MN. The community is served by one health system, enabling the use of electronic health record data for surveillance. Electronic health record data were extracted at baseline (2008-2009) and 2 follow-up periods (2010-2011, 2012-2013) for residents aged 40 to 79 years. Generalized estimating equations were used to fit longitudinal models of the risk factors.&lt;br&gt;&lt;br&gt;&lt;strong&gt;RESULTS:&lt;/strong&gt; Of 7,855 residents in the target population, 80% had electronic health record data for each period. The prevalence of at goal (blood pressure [BP] &lt; 140/90 mm Hg) and (low-density lipoprotein cholesterol [LDL-C] &lt; 130 mg/dL) increased from 79.3% to 86.4% and 68.9% to 71.1%, respectively, from baseline to 5 years, with the largest reductions in BP and LDL-C seen in individuals not at goal at baseline. Blood pressure and lipid-lowering medication use increased from 41.8% to 44.0% and 25.3% to 29.1%, respectively. The proportion at goal for glucose increased from 46.9% to 48.2%. The prevalence body mass index &lt; 30 kg/m(2) (55%) did not change, whereas the proportion at-goal for high-density lipoprotein decreased from 63.8% to 58%, and smoking showed an increase from 11.3% to 13.6%.&lt;br&gt;&lt;br&gt;&lt;strong&gt;CONCLUSION:&lt;/strong&gt; In a community participating in a multifaceted, population-based project aimed at reducing modifiable CVD risk factors, significant improvements in BP, LDL-C, and glucose were observed for 5 years, and body mass index remained stable in a state where obesity was increasing.&lt;br&gt;&lt;br&gt;Copyright © 2016 Elsevier Inc. All rights reserved.","author":[{"family":"Sidebottom","given":"Abbey C"},{"family":"Sillah","given":"Arthur"},{"family":"Miedema","given":"Michael D"},{"family":"Vock","given":"David M"},{"family":"Pereira","given":"Raquel"},{"family":"Benson","given":"Gretchen"},{"family":"Boucher","given":"Jackie L"},{"family":"Knickelbine","given":"Thomas"},{"family":"Lindberg","given":"Rebecca"},{"family":"VanWormer","given":"Jeffrey J"}],"authorYearDisplayFormat":false,"citation-label":"7785300","container-title":"American Heart Journal","container-title-short":"Am. Heart J.","id":"7785300","invisible":false,"issued":{"date-parts":[["2016","2","17"]]},"journalAbbreviation":"Am. Heart J.","page":"66-76","suppress-author":false,"title":"Changes in cardiovascular risk factors after 5 years of implementation of a population-based program to reduce cardiovascular disease: The Heart of New Ulm Project.","type":"article-journal","volume":"175"}]</w:instrText>
      </w:r>
      <w:r w:rsidR="00E9418E">
        <w:rPr>
          <w:rFonts w:ascii="Arial" w:hAnsi="Arial" w:cs="Arial"/>
          <w:color w:val="000000" w:themeColor="text1"/>
        </w:rPr>
        <w:fldChar w:fldCharType="separate"/>
      </w:r>
      <w:r w:rsidR="007E173F" w:rsidRPr="007E173F">
        <w:rPr>
          <w:rFonts w:ascii="Arial" w:hAnsi="Arial" w:cs="Arial"/>
          <w:noProof/>
          <w:color w:val="000000" w:themeColor="text1"/>
          <w:vertAlign w:val="superscript"/>
        </w:rPr>
        <w:t>19,20,24,25</w:t>
      </w:r>
      <w:r w:rsidR="00E9418E">
        <w:rPr>
          <w:rFonts w:ascii="Arial" w:hAnsi="Arial" w:cs="Arial"/>
          <w:color w:val="000000" w:themeColor="text1"/>
        </w:rPr>
        <w:fldChar w:fldCharType="end"/>
      </w:r>
      <w:r w:rsidR="00E9418E">
        <w:rPr>
          <w:rFonts w:ascii="Arial" w:hAnsi="Arial" w:cs="Arial"/>
          <w:color w:val="000000" w:themeColor="text1"/>
        </w:rPr>
        <w:t xml:space="preserve"> </w:t>
      </w:r>
      <w:r w:rsidR="00A65880">
        <w:rPr>
          <w:rFonts w:ascii="Arial" w:hAnsi="Arial" w:cs="Arial"/>
          <w:color w:val="000000" w:themeColor="text1"/>
        </w:rPr>
        <w:t>As described above, the frequency and duration of other successful and evidence-based programs is highly variable, and therefore, A Change of Heart will employ a unique structure that will taper intervention frequency in three distinct stages. First, from week</w:t>
      </w:r>
      <w:r w:rsidR="00301330">
        <w:rPr>
          <w:rFonts w:ascii="Arial" w:hAnsi="Arial" w:cs="Arial"/>
          <w:color w:val="000000" w:themeColor="text1"/>
        </w:rPr>
        <w:t>s</w:t>
      </w:r>
      <w:r w:rsidR="00A65880">
        <w:rPr>
          <w:rFonts w:ascii="Arial" w:hAnsi="Arial" w:cs="Arial"/>
          <w:color w:val="000000" w:themeColor="text1"/>
        </w:rPr>
        <w:t xml:space="preserve"> 1 to 8, participants will meet twice weekly to participate in</w:t>
      </w:r>
      <w:r w:rsidR="00D75784">
        <w:rPr>
          <w:rFonts w:ascii="Arial" w:hAnsi="Arial" w:cs="Arial"/>
          <w:color w:val="000000" w:themeColor="text1"/>
        </w:rPr>
        <w:t xml:space="preserve"> 60 minutes of </w:t>
      </w:r>
      <w:r w:rsidR="00A65880">
        <w:rPr>
          <w:rFonts w:ascii="Arial" w:hAnsi="Arial" w:cs="Arial"/>
          <w:color w:val="000000" w:themeColor="text1"/>
        </w:rPr>
        <w:t>group-based walking, then from week</w:t>
      </w:r>
      <w:r w:rsidR="00301330">
        <w:rPr>
          <w:rFonts w:ascii="Arial" w:hAnsi="Arial" w:cs="Arial"/>
          <w:color w:val="000000" w:themeColor="text1"/>
        </w:rPr>
        <w:t>s</w:t>
      </w:r>
      <w:r w:rsidR="00A65880">
        <w:rPr>
          <w:rFonts w:ascii="Arial" w:hAnsi="Arial" w:cs="Arial"/>
          <w:color w:val="000000" w:themeColor="text1"/>
        </w:rPr>
        <w:t xml:space="preserve"> 9 </w:t>
      </w:r>
      <w:r w:rsidR="00301330">
        <w:rPr>
          <w:rFonts w:ascii="Arial" w:hAnsi="Arial" w:cs="Arial"/>
          <w:color w:val="000000" w:themeColor="text1"/>
        </w:rPr>
        <w:t xml:space="preserve">to </w:t>
      </w:r>
      <w:r w:rsidR="00A65880">
        <w:rPr>
          <w:rFonts w:ascii="Arial" w:hAnsi="Arial" w:cs="Arial"/>
          <w:color w:val="000000" w:themeColor="text1"/>
        </w:rPr>
        <w:t>12</w:t>
      </w:r>
      <w:r w:rsidR="00301330">
        <w:rPr>
          <w:rFonts w:ascii="Arial" w:hAnsi="Arial" w:cs="Arial"/>
          <w:color w:val="000000" w:themeColor="text1"/>
        </w:rPr>
        <w:t>,</w:t>
      </w:r>
      <w:r w:rsidR="00A65880">
        <w:rPr>
          <w:rFonts w:ascii="Arial" w:hAnsi="Arial" w:cs="Arial"/>
          <w:color w:val="000000" w:themeColor="text1"/>
        </w:rPr>
        <w:t xml:space="preserve"> the group</w:t>
      </w:r>
      <w:r w:rsidR="00704F37">
        <w:rPr>
          <w:rFonts w:ascii="Arial" w:hAnsi="Arial" w:cs="Arial"/>
          <w:color w:val="000000" w:themeColor="text1"/>
        </w:rPr>
        <w:t xml:space="preserve"> walks</w:t>
      </w:r>
      <w:r w:rsidR="00A65880">
        <w:rPr>
          <w:rFonts w:ascii="Arial" w:hAnsi="Arial" w:cs="Arial"/>
          <w:color w:val="000000" w:themeColor="text1"/>
        </w:rPr>
        <w:t xml:space="preserve"> will drop to </w:t>
      </w:r>
      <w:r w:rsidR="00D75784">
        <w:rPr>
          <w:rFonts w:ascii="Arial" w:hAnsi="Arial" w:cs="Arial"/>
          <w:color w:val="000000" w:themeColor="text1"/>
        </w:rPr>
        <w:t xml:space="preserve">60 minutes </w:t>
      </w:r>
      <w:r w:rsidR="00A65880">
        <w:rPr>
          <w:rFonts w:ascii="Arial" w:hAnsi="Arial" w:cs="Arial"/>
          <w:color w:val="000000" w:themeColor="text1"/>
        </w:rPr>
        <w:t>once weekly as participants increase personal responsibility for activity integration</w:t>
      </w:r>
      <w:r w:rsidR="00D75784">
        <w:rPr>
          <w:rFonts w:ascii="Arial" w:hAnsi="Arial" w:cs="Arial"/>
          <w:color w:val="000000" w:themeColor="text1"/>
        </w:rPr>
        <w:t xml:space="preserve"> outside of the program</w:t>
      </w:r>
      <w:r w:rsidR="00A65880">
        <w:rPr>
          <w:rFonts w:ascii="Arial" w:hAnsi="Arial" w:cs="Arial"/>
          <w:color w:val="000000" w:themeColor="text1"/>
        </w:rPr>
        <w:t>. Lastly, from weeks 13</w:t>
      </w:r>
      <w:r w:rsidR="00301330">
        <w:rPr>
          <w:rFonts w:ascii="Arial" w:hAnsi="Arial" w:cs="Arial"/>
          <w:color w:val="000000" w:themeColor="text1"/>
        </w:rPr>
        <w:t xml:space="preserve"> to </w:t>
      </w:r>
      <w:r w:rsidR="00A65880">
        <w:rPr>
          <w:rFonts w:ascii="Arial" w:hAnsi="Arial" w:cs="Arial"/>
          <w:color w:val="000000" w:themeColor="text1"/>
        </w:rPr>
        <w:t xml:space="preserve">16, participants will not meet for walking groups organized by the program, but will instead be fully responsible for walking activity until the final group meeting, debrief, and end of program. This model will provide enough structure to establish personal self-efficacy, as well as community and relationships before transitioning participants to </w:t>
      </w:r>
      <w:r w:rsidR="00107EB5">
        <w:rPr>
          <w:rFonts w:ascii="Arial" w:hAnsi="Arial" w:cs="Arial"/>
          <w:color w:val="000000" w:themeColor="text1"/>
        </w:rPr>
        <w:t xml:space="preserve">more independent portions of the program. Assessment of participant activity and </w:t>
      </w:r>
      <w:r w:rsidR="00301330">
        <w:rPr>
          <w:rFonts w:ascii="Arial" w:hAnsi="Arial" w:cs="Arial"/>
          <w:color w:val="000000" w:themeColor="text1"/>
        </w:rPr>
        <w:t xml:space="preserve">BP </w:t>
      </w:r>
      <w:r w:rsidR="00107EB5">
        <w:rPr>
          <w:rFonts w:ascii="Arial" w:hAnsi="Arial" w:cs="Arial"/>
          <w:color w:val="000000" w:themeColor="text1"/>
        </w:rPr>
        <w:t xml:space="preserve">will occur pre-intervention, at week 8, week 12, and week 16 to track progress </w:t>
      </w:r>
      <w:r w:rsidR="00107EB5">
        <w:rPr>
          <w:rFonts w:ascii="Arial" w:hAnsi="Arial" w:cs="Arial"/>
          <w:color w:val="000000" w:themeColor="text1"/>
        </w:rPr>
        <w:lastRenderedPageBreak/>
        <w:t xml:space="preserve">throughout the different stages of the program and give participants targeted feedback about how to personally integrate the walking exercise into their schedule. Other studies have shown that being active with others in the program as well as friends and relatives are the most helpful components when it comes to </w:t>
      </w:r>
      <w:r w:rsidR="00494E9B">
        <w:rPr>
          <w:rFonts w:ascii="Arial" w:hAnsi="Arial" w:cs="Arial"/>
          <w:color w:val="000000" w:themeColor="text1"/>
        </w:rPr>
        <w:t>exercise behavior change.</w:t>
      </w:r>
      <w:r w:rsidR="00494E9B">
        <w:rPr>
          <w:rFonts w:ascii="Arial" w:hAnsi="Arial" w:cs="Arial"/>
          <w:color w:val="000000" w:themeColor="text1"/>
        </w:rPr>
        <w:fldChar w:fldCharType="begin"/>
      </w:r>
      <w:r w:rsidR="007E173F">
        <w:rPr>
          <w:rFonts w:ascii="Arial" w:hAnsi="Arial" w:cs="Arial"/>
          <w:color w:val="000000" w:themeColor="text1"/>
        </w:rPr>
        <w:instrText>ADDIN F1000_CSL_CITATION&lt;~#@#~&gt;[{"DOI":"10.1089/tmj.2014.0034","First":false,"Last":false,"PMCID":"PMC4346555","PMID":"25379976","abstract":"&lt;strong&gt;BACKGROUND:&lt;/strong&gt; Rural Americans engage in less physical activity (PA) and experience higher rates of consequent health problems (i.e., obesity, cardiovascular disease) than urban Americans. Although geographic barriers have historically made this population hard to reach, rural individuals are increasingly gaining access to smartphones. Thus, the purpose of this study was to evaluate PA behavior and barriers to PA among rural residents and to gauge their receptiveness to a smartphone-based PA intervention that is currently in the development stage.&lt;br&gt;&lt;br&gt;&lt;strong&gt;MATERIALS AND METHODS:&lt;/strong&gt; Rural Floridian adults (n=113), 18 years of age and older, completed surveys to assess PA behavior, PA barriers, and opinions about an intervention to increase PA. Specifically, they were asked to imagine a program that would require them to do PA with their mobile phones and whether they viewed intended aspects of the program as helpful. The present work is therefore formative research that sought to determine the feasibility and acceptability of a smartphone-based intervention among rural residents. RESULTS of the survey will inform the development of a tailored, smartphone-based PA intervention.&lt;br&gt;&lt;br&gt;&lt;strong&gt;RESULTS:&lt;/strong&gt; The 37.2% of participants with low PA levels (&lt; 600 metabolic equivalent [MET]-min per week) were more likely to report personal and environmental barriers to PA than the 47.8% of participants with moderate PA levels (≥600 MET-min per week). More barriers were reported among participants who self-reported as white and among participants of older age, lower education level, and lower socioeconomic status. Additionally, 75.9% of participants reported features of the intervention as at least somewhat helpful.&lt;br&gt;&lt;br&gt;&lt;strong&gt;CONCLUSIONS:&lt;/strong&gt; The growing ubiquity of smartphones among rural residents, combined with participants' positive response to the program description, supports the acceptability of a smartphone-based PA intervention for rural communities. Given the participants' receptiveness, future research should evaluate the efficacy of smartphone-delivered health behavior interventions among this population.","author":[{"family":"Kurti","given":"Allison N"},{"family":"Logan","given":"Henrietta"},{"family":"Manini","given":"Todd"},{"family":"Dallery","given":"Jesse"}],"authorYearDisplayFormat":false,"citation-label":"7895066","container-title":"Telemedicine Journal and E-Health","container-title-short":"Telemed. J. E Health","id":"7895066","invisible":false,"issue":"1","issued":{"date-parts":[["2015","1"]]},"journalAbbreviation":"Telemed. J. E Health","page":"16-23","suppress-author":false,"title":"Physical activity behavior, barriers to activity, and opinions about a smartphone-based physical activity intervention among rural residents.","type":"article-journal","volume":"21"}]</w:instrText>
      </w:r>
      <w:r w:rsidR="00494E9B">
        <w:rPr>
          <w:rFonts w:ascii="Arial" w:hAnsi="Arial" w:cs="Arial"/>
          <w:color w:val="000000" w:themeColor="text1"/>
        </w:rPr>
        <w:fldChar w:fldCharType="separate"/>
      </w:r>
      <w:r w:rsidR="007E173F" w:rsidRPr="007E173F">
        <w:rPr>
          <w:rFonts w:ascii="Arial" w:hAnsi="Arial" w:cs="Arial"/>
          <w:noProof/>
          <w:color w:val="000000" w:themeColor="text1"/>
          <w:vertAlign w:val="superscript"/>
        </w:rPr>
        <w:t>52</w:t>
      </w:r>
      <w:r w:rsidR="00494E9B">
        <w:rPr>
          <w:rFonts w:ascii="Arial" w:hAnsi="Arial" w:cs="Arial"/>
          <w:color w:val="000000" w:themeColor="text1"/>
        </w:rPr>
        <w:fldChar w:fldCharType="end"/>
      </w:r>
      <w:r w:rsidR="00494E9B">
        <w:rPr>
          <w:rFonts w:ascii="Arial" w:hAnsi="Arial" w:cs="Arial"/>
          <w:color w:val="000000" w:themeColor="text1"/>
        </w:rPr>
        <w:t xml:space="preserve"> Therefore, A Change of Heart will create a space for these relationships and communities to grow before </w:t>
      </w:r>
      <w:r w:rsidR="00974D81">
        <w:rPr>
          <w:rFonts w:ascii="Arial" w:hAnsi="Arial" w:cs="Arial"/>
          <w:color w:val="000000" w:themeColor="text1"/>
        </w:rPr>
        <w:t xml:space="preserve">releasing participants to continue health behaviors on their own without support or guidance of the program. Additionally, some programs have had a difficult time with adherence when programs are too long or intensive, and therefore the </w:t>
      </w:r>
      <w:r w:rsidR="00A04D71">
        <w:rPr>
          <w:rFonts w:ascii="Arial" w:hAnsi="Arial" w:cs="Arial"/>
          <w:color w:val="000000" w:themeColor="text1"/>
        </w:rPr>
        <w:t>planned structure allows for participants to receive guidance or support they may need from the program, but with a decreasing burden on their personal time.</w:t>
      </w:r>
      <w:r w:rsidR="00A04D71">
        <w:rPr>
          <w:rFonts w:ascii="Arial" w:hAnsi="Arial" w:cs="Arial"/>
          <w:color w:val="000000" w:themeColor="text1"/>
        </w:rPr>
        <w:fldChar w:fldCharType="begin"/>
      </w:r>
      <w:r w:rsidR="007E173F">
        <w:rPr>
          <w:rFonts w:ascii="Arial" w:hAnsi="Arial" w:cs="Arial"/>
          <w:color w:val="000000" w:themeColor="text1"/>
        </w:rPr>
        <w:instrText>ADDIN F1000_CSL_CITATION&lt;~#@#~&gt;[{"DOI":"10.1111/phn.12234","First":false,"Last":false,"PMID":"26404001","abstract":"&lt;strong&gt;OBJECTIVE:&lt;/strong&gt; The objective was to pilot a socioculturally tailored church-based stroke prevention program delivered by trained community health workers (CHWs) and to test its effects on participant knowledge scores.&lt;br&gt;&lt;br&gt;&lt;strong&gt;DESIGN AND SAMPLE:&lt;/strong&gt; A single-group, pre-post test pilot study was conducted with a convenience sample of 201 adult African-Americans recruited from nine churches in three Alabama counties. Measurements included participant weight, blood pressure (BP), physical activity level; knowledge related to hypertension, heart disease, and stroke; cigarette smoking; and access to care, as well as the Stages of Change constructs within the Transtheoretical Model. The intervention was a six-session group-based health education program delivered by trained CHWs.&lt;br&gt;&lt;br&gt;&lt;strong&gt;MEASURES:&lt;/strong&gt; Measurements included participant weight, blood pressure (BP), physical activity level; knowledge related to hypertension, heart disease, and stroke; cigarette smoking; and access to care, as well as the Stages of Change constructs within the Transtheoretical Model. The intervention was a six-session group-based health education program delivered by trained CHWs.&lt;br&gt;&lt;br&gt;&lt;strong&gt;RESULTS:&lt;/strong&gt; From baseline to 12 weeks, knowledge increased significantly (p &lt;  .001). Systolic BP measures improved (p = .0008). More than half of participants lost weight; however, weight change did not reach significance (p = .1380). Most (87%) participants indicated having a medical home at baseline; at the end of the study the percentage increased to 92% (p = .0138).&lt;br&gt;&lt;br&gt;&lt;strong&gt;CONCLUSION:&lt;/strong&gt; A church-based intervention delivered by trained CHWs is feasible and may be a promising public health strategy to increase knowledge regarding hypertension and stroke prevention among African-Americans.&lt;br&gt;&lt;br&gt;© 2015 Wiley Periodicals, Inc.","author":[{"family":"Williams","given":"Lovoria B"},{"family":"Franklin","given":"Brandi"},{"family":"Evans","given":"Mary B"},{"family":"Jackson","given":"Chazeman"},{"family":"Hill","given":"Alethea"},{"family":"Minor","given":"Michael"}],"authorYearDisplayFormat":false,"citation-label":"5587733","container-title":"Public Health Nursing","container-title-short":"Public Health Nurs.","id":"5587733","invisible":false,"issue":"1","issued":{"date-parts":[["2016","2"]]},"journalAbbreviation":"Public Health Nurs.","page":"11-20","suppress-author":false,"title":"Turn the Beat Around: A Stroke Prevention Program for African-American Churches.","type":"article-journal","volume":"33"},{"DOI":"10.1093/her/cyy052","First":false,"Last":false,"PMCID":"PMC6736056","PMID":"30601979","abstract":"Cardiovascular disease (CVD) is a major cause of death among people living in the United States. Populations, especially minorities, living in the rural South are disproportionately affected by CVD and have greater CVD risk, morbidity and mortality. Culturally relevant cardiovascular health programs implemented in rural community settings can potentially reduce CVD risk and facilitate health behavior modification. The purpose of this study was to examine the effects of a cardiovascular health promotion intervention on the health habits of a group of rural African American adults. The study had a cluster randomized controlled trial design involving 12 rural churches that served as statistical clusters. From the churches (n = 6) randomized to the intervention group, 115 participants were enrolled, received the 6-week health program and completed pretest-posttest measures. The 114 participants from the control group churches (n = 6) did not receive the health program and completed the same pretest-posttest measures. The linear mixed model was used to compare group differences from pretest to posttest. The educational health intervention positively influenced select dietary and confidence factors that may contribute toward CVD risk reduction.&lt;br&gt;&lt;br&gt;ï¿½ The Author(s) 2019. Published by Oxford University Press. All rights reserved. For permissions, please email: journals.permissions@oup.com.","author":[{"family":"Abbott","given":"Laurie S"},{"family":"Slate","given":"Elizabeth H"},{"family":"Lemacks","given":"Jennifer L"}],"authorYearDisplayFormat":false,"citation-label":"6224309","container-title":"Health Education Research","container-title-short":"Health Educ. Res.","id":"6224309","invisible":false,"issue":"2","issued":{"date-parts":[["2019","4","1"]]},"journalAbbreviation":"Health Educ. Res.","page":"200-208","suppress-author":false,"title":"Influencing cardiovascular health habits in the rural, deep south: results of a cluster randomized trial.","type":"article-journal","volume":"34"}]</w:instrText>
      </w:r>
      <w:r w:rsidR="00A04D71">
        <w:rPr>
          <w:rFonts w:ascii="Arial" w:hAnsi="Arial" w:cs="Arial"/>
          <w:color w:val="000000" w:themeColor="text1"/>
        </w:rPr>
        <w:fldChar w:fldCharType="separate"/>
      </w:r>
      <w:r w:rsidR="007E173F" w:rsidRPr="007E173F">
        <w:rPr>
          <w:rFonts w:ascii="Arial" w:hAnsi="Arial" w:cs="Arial"/>
          <w:noProof/>
          <w:color w:val="000000" w:themeColor="text1"/>
          <w:vertAlign w:val="superscript"/>
        </w:rPr>
        <w:t>17,40</w:t>
      </w:r>
      <w:r w:rsidR="00A04D71">
        <w:rPr>
          <w:rFonts w:ascii="Arial" w:hAnsi="Arial" w:cs="Arial"/>
          <w:color w:val="000000" w:themeColor="text1"/>
        </w:rPr>
        <w:fldChar w:fldCharType="end"/>
      </w:r>
      <w:r w:rsidR="00A04D71">
        <w:rPr>
          <w:rFonts w:ascii="Arial" w:hAnsi="Arial" w:cs="Arial"/>
          <w:color w:val="000000" w:themeColor="text1"/>
        </w:rPr>
        <w:t xml:space="preserve"> The main goal is to establish personal and community investments in behavior change, and then gradually increase the participants’ responsibility while they are still being monitored and supported by the program.</w:t>
      </w:r>
    </w:p>
    <w:p w14:paraId="67832166" w14:textId="49771E28" w:rsidR="00063687" w:rsidRPr="00063687" w:rsidRDefault="00063687" w:rsidP="00434188">
      <w:pPr>
        <w:pStyle w:val="ListParagraph"/>
        <w:numPr>
          <w:ilvl w:val="0"/>
          <w:numId w:val="5"/>
        </w:numPr>
        <w:spacing w:line="480" w:lineRule="auto"/>
        <w:ind w:left="547"/>
        <w:rPr>
          <w:rFonts w:ascii="Arial" w:hAnsi="Arial" w:cs="Arial"/>
          <w:b/>
          <w:color w:val="000000" w:themeColor="text1"/>
        </w:rPr>
      </w:pPr>
      <w:r w:rsidRPr="00063687">
        <w:rPr>
          <w:rFonts w:ascii="Arial" w:hAnsi="Arial" w:cs="Arial"/>
          <w:b/>
          <w:color w:val="000000" w:themeColor="text1"/>
        </w:rPr>
        <w:t>Educational Intervention</w:t>
      </w:r>
    </w:p>
    <w:p w14:paraId="5807BC68" w14:textId="6649E70D" w:rsidR="00051D43" w:rsidRDefault="00A04D71" w:rsidP="00434188">
      <w:pPr>
        <w:spacing w:line="480" w:lineRule="auto"/>
        <w:ind w:firstLine="720"/>
        <w:rPr>
          <w:rFonts w:ascii="Arial" w:hAnsi="Arial" w:cs="Arial"/>
          <w:color w:val="000000" w:themeColor="text1"/>
        </w:rPr>
      </w:pPr>
      <w:r>
        <w:rPr>
          <w:rFonts w:ascii="Arial" w:hAnsi="Arial" w:cs="Arial"/>
          <w:color w:val="000000" w:themeColor="text1"/>
        </w:rPr>
        <w:t xml:space="preserve">Lastly, the educational component will be addressed through 12 </w:t>
      </w:r>
      <w:proofErr w:type="gramStart"/>
      <w:r>
        <w:rPr>
          <w:rFonts w:ascii="Arial" w:hAnsi="Arial" w:cs="Arial"/>
          <w:color w:val="000000" w:themeColor="text1"/>
        </w:rPr>
        <w:t>short</w:t>
      </w:r>
      <w:proofErr w:type="gramEnd"/>
      <w:r>
        <w:rPr>
          <w:rFonts w:ascii="Arial" w:hAnsi="Arial" w:cs="Arial"/>
          <w:color w:val="000000" w:themeColor="text1"/>
        </w:rPr>
        <w:t xml:space="preserve">, 30 minute presentations on relevant topics (full list in schedule below) that are led by the </w:t>
      </w:r>
      <w:proofErr w:type="spellStart"/>
      <w:r>
        <w:rPr>
          <w:rFonts w:ascii="Arial" w:hAnsi="Arial" w:cs="Arial"/>
          <w:color w:val="000000" w:themeColor="text1"/>
        </w:rPr>
        <w:t>CHAs.</w:t>
      </w:r>
      <w:proofErr w:type="spellEnd"/>
      <w:r>
        <w:rPr>
          <w:rFonts w:ascii="Arial" w:hAnsi="Arial" w:cs="Arial"/>
          <w:color w:val="000000" w:themeColor="text1"/>
        </w:rPr>
        <w:t xml:space="preserve"> Each of these will be given at the start of the first group meeting of the wee</w:t>
      </w:r>
      <w:r w:rsidR="009C32D5">
        <w:rPr>
          <w:rFonts w:ascii="Arial" w:hAnsi="Arial" w:cs="Arial"/>
          <w:color w:val="000000" w:themeColor="text1"/>
        </w:rPr>
        <w:t>k</w:t>
      </w:r>
      <w:r>
        <w:rPr>
          <w:rFonts w:ascii="Arial" w:hAnsi="Arial" w:cs="Arial"/>
          <w:color w:val="000000" w:themeColor="text1"/>
        </w:rPr>
        <w:t>, and then a list of discussion questions will be given to participants so that the group continues to discuss the educational topic and application strategies as they complete the walking portion of the meeting.</w:t>
      </w:r>
      <w:r w:rsidR="00051D43">
        <w:rPr>
          <w:rFonts w:ascii="Arial" w:hAnsi="Arial" w:cs="Arial"/>
          <w:color w:val="000000" w:themeColor="text1"/>
        </w:rPr>
        <w:t xml:space="preserve"> Educational topics will range from cardiovascular risk factors, basic information and risk factors of common concurrent chronic conditions such as obesity, diabetes, high cholesterol, and lifestyle changes and recommendations about diet, physical activity, stress management, weight loss, and smoking cessation. The </w:t>
      </w:r>
      <w:r w:rsidR="00051D43">
        <w:rPr>
          <w:rFonts w:ascii="Arial" w:hAnsi="Arial" w:cs="Arial"/>
          <w:color w:val="000000" w:themeColor="text1"/>
        </w:rPr>
        <w:lastRenderedPageBreak/>
        <w:t>goal of this intervention is to boost participants’ knowledge and confidence in their ability to understand and manage different components of their health. The CHAs will be provided short presentation</w:t>
      </w:r>
      <w:r w:rsidR="00571E47">
        <w:rPr>
          <w:rFonts w:ascii="Arial" w:hAnsi="Arial" w:cs="Arial"/>
          <w:color w:val="000000" w:themeColor="text1"/>
        </w:rPr>
        <w:t>s</w:t>
      </w:r>
      <w:r w:rsidR="00051D43">
        <w:rPr>
          <w:rFonts w:ascii="Arial" w:hAnsi="Arial" w:cs="Arial"/>
          <w:color w:val="000000" w:themeColor="text1"/>
        </w:rPr>
        <w:t xml:space="preserve"> with </w:t>
      </w:r>
      <w:r w:rsidR="00571E47">
        <w:rPr>
          <w:rFonts w:ascii="Arial" w:hAnsi="Arial" w:cs="Arial"/>
          <w:color w:val="000000" w:themeColor="text1"/>
        </w:rPr>
        <w:t xml:space="preserve">talking points and </w:t>
      </w:r>
      <w:r w:rsidR="00051D43">
        <w:rPr>
          <w:rFonts w:ascii="Arial" w:hAnsi="Arial" w:cs="Arial"/>
          <w:color w:val="000000" w:themeColor="text1"/>
        </w:rPr>
        <w:t>brief handouts for the participants</w:t>
      </w:r>
      <w:r w:rsidR="00571E47">
        <w:rPr>
          <w:rFonts w:ascii="Arial" w:hAnsi="Arial" w:cs="Arial"/>
          <w:color w:val="000000" w:themeColor="text1"/>
        </w:rPr>
        <w:t xml:space="preserve"> on each topic. Presentations can be done by PowerPoint if space allows, but ideally the presentation will be more of a group discussion guided by the </w:t>
      </w:r>
      <w:proofErr w:type="spellStart"/>
      <w:r w:rsidR="00571E47">
        <w:rPr>
          <w:rFonts w:ascii="Arial" w:hAnsi="Arial" w:cs="Arial"/>
          <w:color w:val="000000" w:themeColor="text1"/>
        </w:rPr>
        <w:t>CHAs.</w:t>
      </w:r>
      <w:proofErr w:type="spellEnd"/>
      <w:r w:rsidR="00571E47">
        <w:rPr>
          <w:rFonts w:ascii="Arial" w:hAnsi="Arial" w:cs="Arial"/>
          <w:color w:val="000000" w:themeColor="text1"/>
        </w:rPr>
        <w:t xml:space="preserve"> The talking points and discussion questions will be used to transition discussion from facts about disease or lifestyle changes and towards practical application. For example, educational sessions on diet may end with talking points about where to find healthier foods at nearby grocery stores and with a sharing of healthy recipes among group members.</w:t>
      </w:r>
      <w:r w:rsidR="006B0EB4">
        <w:rPr>
          <w:rFonts w:ascii="Arial" w:hAnsi="Arial" w:cs="Arial"/>
          <w:color w:val="000000" w:themeColor="text1"/>
        </w:rPr>
        <w:fldChar w:fldCharType="begin"/>
      </w:r>
      <w:r w:rsidR="007E173F">
        <w:rPr>
          <w:rFonts w:ascii="Arial" w:hAnsi="Arial" w:cs="Arial"/>
          <w:color w:val="000000" w:themeColor="text1"/>
        </w:rPr>
        <w:instrText>ADDIN F1000_CSL_CITATION&lt;~#@#~&gt;[{"DOI":"10.1146/annurev-publhealth-031210-101218","First":false,"Last":false,"PMID":"21091195","abstract":"In the United States, awareness is increasing that medical care alone cannot adequately improve health overall or reduce health disparities without also addressing where and how people live. A critical mass of relevant knowledge has accumulated, documenting associations, exploring pathways and biological mechanisms, and providing a previously unavailable scientific foundation for appreciating the role of social factors in health. We review current knowledge about health effects of social (including economic) factors, knowledge gaps, and research priorities, focusing on upstream social determinants-including economic resources, education, and racial discrimination-that fundamentally shape the downstream determinants, such as behaviors, targeted by most interventions. Research priorities include measuring social factors better, monitoring social factors and health relative to policies, examining health effects of social factors across lifetimes and generations, incrementally elucidating pathways through knowledge linkage, testing multidimensional interventions, and addressing political will as a key barrier to translating knowledge into action.","author":[{"family":"Braveman","given":"Paula"},{"family":"Egerter","given":"Susan"},{"family":"Williams","given":"David R"}],"authorYearDisplayFormat":false,"citation-label":"2037695","container-title":"Annual review of public health","container-title-short":"Annu. Rev. Public Health","id":"2037695","invisible":false,"issued":{"date-parts":[["2011"]]},"journalAbbreviation":"Annu. Rev. Public Health","page":"381-398","suppress-author":false,"title":"The social determinants of health: coming of age.","type":"article-journal","volume":"32"}]</w:instrText>
      </w:r>
      <w:r w:rsidR="006B0EB4">
        <w:rPr>
          <w:rFonts w:ascii="Arial" w:hAnsi="Arial" w:cs="Arial"/>
          <w:color w:val="000000" w:themeColor="text1"/>
        </w:rPr>
        <w:fldChar w:fldCharType="separate"/>
      </w:r>
      <w:r w:rsidR="007E173F" w:rsidRPr="007E173F">
        <w:rPr>
          <w:rFonts w:ascii="Arial" w:hAnsi="Arial" w:cs="Arial"/>
          <w:noProof/>
          <w:color w:val="000000" w:themeColor="text1"/>
          <w:vertAlign w:val="superscript"/>
        </w:rPr>
        <w:t>18</w:t>
      </w:r>
      <w:r w:rsidR="006B0EB4">
        <w:rPr>
          <w:rFonts w:ascii="Arial" w:hAnsi="Arial" w:cs="Arial"/>
          <w:color w:val="000000" w:themeColor="text1"/>
        </w:rPr>
        <w:fldChar w:fldCharType="end"/>
      </w:r>
      <w:r w:rsidR="00571E47">
        <w:rPr>
          <w:rFonts w:ascii="Arial" w:hAnsi="Arial" w:cs="Arial"/>
          <w:color w:val="000000" w:themeColor="text1"/>
        </w:rPr>
        <w:t xml:space="preserve"> Relating health education back to community resources is important as it strengthens the relationships supporting healthy lifestyle choices and encourages participants to think about changes on a community level.</w:t>
      </w:r>
      <w:r w:rsidR="00571E47">
        <w:rPr>
          <w:rFonts w:ascii="Arial" w:hAnsi="Arial" w:cs="Arial"/>
          <w:color w:val="000000" w:themeColor="text1"/>
        </w:rPr>
        <w:fldChar w:fldCharType="begin"/>
      </w:r>
      <w:r w:rsidR="007E173F">
        <w:rPr>
          <w:rFonts w:ascii="Arial" w:hAnsi="Arial" w:cs="Arial"/>
          <w:color w:val="000000" w:themeColor="text1"/>
        </w:rPr>
        <w:instrText>ADDIN F1000_CSL_CITATION&lt;~#@#~&gt;[{"DOI":"10.1177/109019818801500401","First":false,"Last":false,"author":[{"family":"McLeroy","given":"K R"},{"family":"Bibeau","given":"D"},{"family":"Steckler","given":"A"},{"family":"Glanz","given":"K"}],"authorYearDisplayFormat":false,"citation-label":"876475","container-title":"Health Education &amp; Behavior","container-title-short":"Health Education &amp; Behavior","id":"876475","invisible":false,"issue":"4","issued":{"date-parts":[["1988","1","1"]]},"journalAbbreviation":"Health Education &amp; Behavior","page":"351-377","suppress-author":false,"title":"An Ecological Perspective on Health Promotion Programs","type":"article-journal","volume":"15"}]</w:instrText>
      </w:r>
      <w:r w:rsidR="00571E47">
        <w:rPr>
          <w:rFonts w:ascii="Arial" w:hAnsi="Arial" w:cs="Arial"/>
          <w:color w:val="000000" w:themeColor="text1"/>
        </w:rPr>
        <w:fldChar w:fldCharType="separate"/>
      </w:r>
      <w:r w:rsidR="007E173F" w:rsidRPr="007E173F">
        <w:rPr>
          <w:rFonts w:ascii="Arial" w:hAnsi="Arial" w:cs="Arial"/>
          <w:noProof/>
          <w:color w:val="000000" w:themeColor="text1"/>
          <w:vertAlign w:val="superscript"/>
        </w:rPr>
        <w:t>19</w:t>
      </w:r>
      <w:r w:rsidR="00571E47">
        <w:rPr>
          <w:rFonts w:ascii="Arial" w:hAnsi="Arial" w:cs="Arial"/>
          <w:color w:val="000000" w:themeColor="text1"/>
        </w:rPr>
        <w:fldChar w:fldCharType="end"/>
      </w:r>
      <w:r w:rsidR="00571E47">
        <w:rPr>
          <w:rFonts w:ascii="Arial" w:hAnsi="Arial" w:cs="Arial"/>
          <w:color w:val="000000" w:themeColor="text1"/>
        </w:rPr>
        <w:t xml:space="preserve"> For example, </w:t>
      </w:r>
      <w:r w:rsidR="0096641C">
        <w:rPr>
          <w:rFonts w:ascii="Arial" w:hAnsi="Arial" w:cs="Arial"/>
          <w:color w:val="000000" w:themeColor="text1"/>
        </w:rPr>
        <w:t>are</w:t>
      </w:r>
      <w:r w:rsidR="00571E47">
        <w:rPr>
          <w:rFonts w:ascii="Arial" w:hAnsi="Arial" w:cs="Arial"/>
          <w:color w:val="000000" w:themeColor="text1"/>
        </w:rPr>
        <w:t xml:space="preserve"> there space and resources to turn an open plot of land into a walking trail if one does not exist in the area?</w:t>
      </w:r>
      <w:r w:rsidR="005A3A3C">
        <w:rPr>
          <w:rFonts w:ascii="Arial" w:hAnsi="Arial" w:cs="Arial"/>
          <w:color w:val="000000" w:themeColor="text1"/>
        </w:rPr>
        <w:t xml:space="preserve"> In addition to the discussion, the handouts will provide crucial information in a way that is continually accessible to the participants that they can continue to reference after the program. </w:t>
      </w:r>
    </w:p>
    <w:p w14:paraId="4610A614" w14:textId="2B019397" w:rsidR="00051D43" w:rsidRPr="00051D43" w:rsidRDefault="00051D43" w:rsidP="00051D43">
      <w:pPr>
        <w:pStyle w:val="ListParagraph"/>
        <w:numPr>
          <w:ilvl w:val="0"/>
          <w:numId w:val="5"/>
        </w:numPr>
        <w:spacing w:line="480" w:lineRule="auto"/>
        <w:ind w:left="540"/>
        <w:rPr>
          <w:rFonts w:ascii="Arial" w:hAnsi="Arial" w:cs="Arial"/>
          <w:b/>
          <w:color w:val="000000" w:themeColor="text1"/>
        </w:rPr>
      </w:pPr>
      <w:r w:rsidRPr="00051D43">
        <w:rPr>
          <w:rFonts w:ascii="Arial" w:hAnsi="Arial" w:cs="Arial"/>
          <w:b/>
          <w:color w:val="000000" w:themeColor="text1"/>
        </w:rPr>
        <w:t>Location</w:t>
      </w:r>
    </w:p>
    <w:p w14:paraId="4E973DB1" w14:textId="71744943" w:rsidR="002D43CB" w:rsidRDefault="00A04D71" w:rsidP="002D43CB">
      <w:pPr>
        <w:spacing w:line="480" w:lineRule="auto"/>
        <w:ind w:firstLine="720"/>
        <w:rPr>
          <w:rFonts w:ascii="Arial" w:hAnsi="Arial" w:cs="Arial"/>
          <w:b/>
          <w:color w:val="000000" w:themeColor="text1"/>
        </w:rPr>
      </w:pPr>
      <w:r>
        <w:rPr>
          <w:rFonts w:ascii="Arial" w:hAnsi="Arial" w:cs="Arial"/>
          <w:color w:val="000000" w:themeColor="text1"/>
        </w:rPr>
        <w:t xml:space="preserve"> It will be up to the CHAs and program directors to choose a specific location for the meetings as each community will have different buildings and resources available, but a few examples would be a local park with a covered area</w:t>
      </w:r>
      <w:r w:rsidR="00436B50">
        <w:rPr>
          <w:rFonts w:ascii="Arial" w:hAnsi="Arial" w:cs="Arial"/>
          <w:color w:val="000000" w:themeColor="text1"/>
        </w:rPr>
        <w:t xml:space="preserve"> where the education lesson could be taught before walking around the park, a local school that offers use of a classroom or gym-space for education before walking around the school or track, or a local healthcare office, library, or church, that could be used for education before </w:t>
      </w:r>
      <w:r w:rsidR="00436B50">
        <w:rPr>
          <w:rFonts w:ascii="Arial" w:hAnsi="Arial" w:cs="Arial"/>
          <w:color w:val="000000" w:themeColor="text1"/>
        </w:rPr>
        <w:lastRenderedPageBreak/>
        <w:t>walking around in a neighborhood.</w:t>
      </w:r>
      <w:r w:rsidR="004C5ACA">
        <w:rPr>
          <w:rFonts w:ascii="Arial" w:hAnsi="Arial" w:cs="Arial"/>
          <w:color w:val="000000" w:themeColor="text1"/>
        </w:rPr>
        <w:t xml:space="preserve"> This flexibility allows for tailoring to the potentially limited environment, </w:t>
      </w:r>
      <w:r w:rsidR="0096641C">
        <w:rPr>
          <w:rFonts w:ascii="Arial" w:hAnsi="Arial" w:cs="Arial"/>
          <w:color w:val="000000" w:themeColor="text1"/>
        </w:rPr>
        <w:t xml:space="preserve">seasonal differences in weather, </w:t>
      </w:r>
      <w:r w:rsidR="004C5ACA">
        <w:rPr>
          <w:rFonts w:ascii="Arial" w:hAnsi="Arial" w:cs="Arial"/>
          <w:color w:val="000000" w:themeColor="text1"/>
        </w:rPr>
        <w:t>and a personal assessment of environmental barriers and best options.</w:t>
      </w:r>
      <w:r w:rsidR="004C5ACA">
        <w:rPr>
          <w:rFonts w:ascii="Arial" w:hAnsi="Arial" w:cs="Arial"/>
          <w:color w:val="000000" w:themeColor="text1"/>
        </w:rPr>
        <w:fldChar w:fldCharType="begin"/>
      </w:r>
      <w:r w:rsidR="007E173F">
        <w:rPr>
          <w:rFonts w:ascii="Arial" w:hAnsi="Arial" w:cs="Arial"/>
          <w:color w:val="000000" w:themeColor="text1"/>
        </w:rPr>
        <w:instrText>ADDIN F1000_CSL_CITATION&lt;~#@#~&gt;[{"DOI":"10.1146/annurev-publhealth-031210-101218","First":false,"Last":false,"PMID":"21091195","abstract":"In the United States, awareness is increasing that medical care alone cannot adequately improve health overall or reduce health disparities without also addressing where and how people live. A critical mass of relevant knowledge has accumulated, documenting associations, exploring pathways and biological mechanisms, and providing a previously unavailable scientific foundation for appreciating the role of social factors in health. We review current knowledge about health effects of social (including economic) factors, knowledge gaps, and research priorities, focusing on upstream social determinants-including economic resources, education, and racial discrimination-that fundamentally shape the downstream determinants, such as behaviors, targeted by most interventions. Research priorities include measuring social factors better, monitoring social factors and health relative to policies, examining health effects of social factors across lifetimes and generations, incrementally elucidating pathways through knowledge linkage, testing multidimensional interventions, and addressing political will as a key barrier to translating knowledge into action.","author":[{"family":"Braveman","given":"Paula"},{"family":"Egerter","given":"Susan"},{"family":"Williams","given":"David R"}],"authorYearDisplayFormat":false,"citation-label":"2037695","container-title":"Annual review of public health","container-title-short":"Annu. Rev. Public Health","id":"2037695","invisible":false,"issued":{"date-parts":[["2011"]]},"journalAbbreviation":"Annu. Rev. Public Health","page":"381-398","suppress-author":false,"title":"The social determinants of health: coming of age.","type":"article-journal","volume":"32"},{"DOI":"10.1177/109019818801500401","First":false,"Last":false,"author":[{"family":"McLeroy","given":"K R"},{"family":"Bibeau","given":"D"},{"family":"Steckler","given":"A"},{"family":"Glanz","given":"K"}],"authorYearDisplayFormat":false,"citation-label":"876475","container-title":"Health Education &amp; Behavior","container-title-short":"Health Education &amp; Behavior","id":"876475","invisible":false,"issue":"4","issued":{"date-parts":[["1988","1","1"]]},"journalAbbreviation":"Health Education &amp; Behavior","page":"351-377","suppress-author":false,"title":"An Ecological Perspective on Health Promotion Programs","type":"article-journal","volume":"15"},{"DOI":"10.1177/1090198102251021","First":false,"Last":false,"PMID":"12693519","abstract":"It is a truism of health education that programs and interventions will be more effective when they are culturally appropriate for the populations they serve. In practice, however, the strategies used to achieve cultural appropriateness vary widely. This article briefly describes five strategies commonly used to target programs to culturally defined groups. It then explains how a sixth approach, cultural tailoring, might extend these strategies and enhance our ability to develop effective programs for cultural groups. The authors illustrate this new approach with an example of cultural tailoring forcancer prevention in a population of lower income urban African American women.","author":[{"family":"Kreuter","given":"M W"},{"family":"Lukwago","given":"S N"},{"family":"Bucholtz","given":"D C"},{"family":"Clark","given":"E M"},{"family":"Sanders-Thompson","given":"V"}],"authorYearDisplayFormat":false,"citation-label":"2664155","container-title":"Health Education &amp; Behavior","container-title-short":"Health Education &amp; Behavior","id":"2664155","invisible":false,"issue":"2","issued":{"date-parts":[["2003","4","1"]]},"journalAbbreviation":"Health Education &amp; Behavior","page":"133-146","suppress-author":false,"title":"Achieving Cultural Appropriateness in Health Promotion Programs: Targeted and Tailored Approaches","type":"article-journal","volume":"30"}]</w:instrText>
      </w:r>
      <w:r w:rsidR="004C5ACA">
        <w:rPr>
          <w:rFonts w:ascii="Arial" w:hAnsi="Arial" w:cs="Arial"/>
          <w:color w:val="000000" w:themeColor="text1"/>
        </w:rPr>
        <w:fldChar w:fldCharType="separate"/>
      </w:r>
      <w:r w:rsidR="007E173F" w:rsidRPr="007E173F">
        <w:rPr>
          <w:rFonts w:ascii="Arial" w:hAnsi="Arial" w:cs="Arial"/>
          <w:noProof/>
          <w:color w:val="000000" w:themeColor="text1"/>
          <w:vertAlign w:val="superscript"/>
        </w:rPr>
        <w:t>18,19,53</w:t>
      </w:r>
      <w:r w:rsidR="004C5ACA">
        <w:rPr>
          <w:rFonts w:ascii="Arial" w:hAnsi="Arial" w:cs="Arial"/>
          <w:color w:val="000000" w:themeColor="text1"/>
        </w:rPr>
        <w:fldChar w:fldCharType="end"/>
      </w:r>
      <w:r w:rsidR="005D1ED0">
        <w:rPr>
          <w:rFonts w:ascii="Arial" w:hAnsi="Arial" w:cs="Arial"/>
          <w:color w:val="000000" w:themeColor="text1"/>
        </w:rPr>
        <w:t xml:space="preserve"> As space allows, the program will invite participants to bring a family member or friend </w:t>
      </w:r>
      <w:r w:rsidR="002D43CB">
        <w:rPr>
          <w:rFonts w:ascii="Arial" w:hAnsi="Arial" w:cs="Arial"/>
          <w:color w:val="000000" w:themeColor="text1"/>
        </w:rPr>
        <w:t>to education sessions and walking who will be their “accountability partner” as support from strong intrapersonal relationships can be pivotal in behavior change.</w:t>
      </w:r>
      <w:r w:rsidR="002D43CB">
        <w:rPr>
          <w:rFonts w:ascii="Arial" w:hAnsi="Arial" w:cs="Arial"/>
          <w:color w:val="000000" w:themeColor="text1"/>
        </w:rPr>
        <w:fldChar w:fldCharType="begin"/>
      </w:r>
      <w:r w:rsidR="007E173F">
        <w:rPr>
          <w:rFonts w:ascii="Arial" w:hAnsi="Arial" w:cs="Arial"/>
          <w:color w:val="000000" w:themeColor="text1"/>
        </w:rPr>
        <w:instrText>ADDIN F1000_CSL_CITATION&lt;~#@#~&gt;[{"DOI":"10.1177/109019818801500401","First":false,"Last":false,"author":[{"family":"McLeroy","given":"K R"},{"family":"Bibeau","given":"D"},{"family":"Steckler","given":"A"},{"family":"Glanz","given":"K"}],"authorYearDisplayFormat":false,"citation-label":"876475","container-title":"Health Education &amp; Behavior","container-title-short":"Health Education &amp; Behavior","id":"876475","invisible":false,"issue":"4","issued":{"date-parts":[["1988","1","1"]]},"journalAbbreviation":"Health Education &amp; Behavior","page":"351-377","suppress-author":false,"title":"An Ecological Perspective on Health Promotion Programs","type":"article-journal","volume":"15"}]</w:instrText>
      </w:r>
      <w:r w:rsidR="002D43CB">
        <w:rPr>
          <w:rFonts w:ascii="Arial" w:hAnsi="Arial" w:cs="Arial"/>
          <w:color w:val="000000" w:themeColor="text1"/>
        </w:rPr>
        <w:fldChar w:fldCharType="separate"/>
      </w:r>
      <w:r w:rsidR="007E173F" w:rsidRPr="007E173F">
        <w:rPr>
          <w:rFonts w:ascii="Arial" w:hAnsi="Arial" w:cs="Arial"/>
          <w:noProof/>
          <w:color w:val="000000" w:themeColor="text1"/>
          <w:vertAlign w:val="superscript"/>
        </w:rPr>
        <w:t>19</w:t>
      </w:r>
      <w:r w:rsidR="002D43CB">
        <w:rPr>
          <w:rFonts w:ascii="Arial" w:hAnsi="Arial" w:cs="Arial"/>
          <w:color w:val="000000" w:themeColor="text1"/>
        </w:rPr>
        <w:fldChar w:fldCharType="end"/>
      </w:r>
      <w:r w:rsidR="002D43CB">
        <w:rPr>
          <w:rFonts w:ascii="Arial" w:hAnsi="Arial" w:cs="Arial"/>
          <w:color w:val="000000" w:themeColor="text1"/>
        </w:rPr>
        <w:t xml:space="preserve"> The goal with this is to create additional support networks that support the participants outside of program participant groups. </w:t>
      </w:r>
    </w:p>
    <w:p w14:paraId="14738C9C" w14:textId="64BD55F3" w:rsidR="00063687" w:rsidRPr="002D43CB" w:rsidRDefault="00063687" w:rsidP="002D43CB">
      <w:pPr>
        <w:pStyle w:val="ListParagraph"/>
        <w:numPr>
          <w:ilvl w:val="0"/>
          <w:numId w:val="5"/>
        </w:numPr>
        <w:spacing w:line="480" w:lineRule="auto"/>
        <w:ind w:left="540"/>
        <w:rPr>
          <w:rFonts w:ascii="Arial" w:hAnsi="Arial" w:cs="Arial"/>
          <w:b/>
          <w:color w:val="000000" w:themeColor="text1"/>
        </w:rPr>
      </w:pPr>
      <w:r w:rsidRPr="002D43CB">
        <w:rPr>
          <w:rFonts w:ascii="Arial" w:hAnsi="Arial" w:cs="Arial"/>
          <w:b/>
          <w:color w:val="000000" w:themeColor="text1"/>
        </w:rPr>
        <w:t xml:space="preserve">Sample Schedule </w:t>
      </w:r>
      <w:r w:rsidRPr="002D43CB">
        <w:rPr>
          <w:rFonts w:ascii="Arial" w:hAnsi="Arial" w:cs="Arial"/>
          <w:color w:val="000000" w:themeColor="text1"/>
        </w:rPr>
        <w:t>(weekly educational topics in italics)</w:t>
      </w:r>
    </w:p>
    <w:tbl>
      <w:tblPr>
        <w:tblStyle w:val="TableGrid"/>
        <w:tblW w:w="9355" w:type="dxa"/>
        <w:tblLook w:val="04A0" w:firstRow="1" w:lastRow="0" w:firstColumn="1" w:lastColumn="0" w:noHBand="0" w:noVBand="1"/>
      </w:tblPr>
      <w:tblGrid>
        <w:gridCol w:w="1511"/>
        <w:gridCol w:w="3723"/>
        <w:gridCol w:w="1711"/>
        <w:gridCol w:w="2410"/>
      </w:tblGrid>
      <w:tr w:rsidR="009B6CA0" w14:paraId="628ADD1F" w14:textId="77777777" w:rsidTr="00301330">
        <w:tc>
          <w:tcPr>
            <w:tcW w:w="1511" w:type="dxa"/>
          </w:tcPr>
          <w:p w14:paraId="1D205F64" w14:textId="5E9577EC" w:rsidR="009B6CA0" w:rsidRDefault="009B6CA0" w:rsidP="009B6CA0">
            <w:pPr>
              <w:spacing w:line="276" w:lineRule="auto"/>
              <w:rPr>
                <w:rFonts w:ascii="Arial" w:hAnsi="Arial" w:cs="Arial"/>
                <w:color w:val="000000" w:themeColor="text1"/>
              </w:rPr>
            </w:pPr>
          </w:p>
        </w:tc>
        <w:tc>
          <w:tcPr>
            <w:tcW w:w="3723" w:type="dxa"/>
            <w:vAlign w:val="center"/>
          </w:tcPr>
          <w:p w14:paraId="7DF845FB" w14:textId="0DAB567F" w:rsidR="009B6CA0" w:rsidRPr="009B6CA0" w:rsidRDefault="009B6CA0" w:rsidP="009B6CA0">
            <w:pPr>
              <w:spacing w:line="276" w:lineRule="auto"/>
              <w:jc w:val="center"/>
              <w:rPr>
                <w:rFonts w:ascii="Arial" w:hAnsi="Arial" w:cs="Arial"/>
                <w:b/>
                <w:color w:val="000000" w:themeColor="text1"/>
              </w:rPr>
            </w:pPr>
            <w:r w:rsidRPr="009B6CA0">
              <w:rPr>
                <w:rFonts w:ascii="Arial" w:hAnsi="Arial" w:cs="Arial"/>
                <w:b/>
                <w:color w:val="000000" w:themeColor="text1"/>
              </w:rPr>
              <w:t>Monday</w:t>
            </w:r>
          </w:p>
        </w:tc>
        <w:tc>
          <w:tcPr>
            <w:tcW w:w="1711" w:type="dxa"/>
            <w:vAlign w:val="center"/>
          </w:tcPr>
          <w:p w14:paraId="38A1B967" w14:textId="733BE4AB" w:rsidR="009B6CA0" w:rsidRPr="009B6CA0" w:rsidRDefault="009B6CA0" w:rsidP="009B6CA0">
            <w:pPr>
              <w:spacing w:line="276" w:lineRule="auto"/>
              <w:jc w:val="center"/>
              <w:rPr>
                <w:rFonts w:ascii="Arial" w:hAnsi="Arial" w:cs="Arial"/>
                <w:b/>
                <w:color w:val="000000" w:themeColor="text1"/>
              </w:rPr>
            </w:pPr>
            <w:r w:rsidRPr="009B6CA0">
              <w:rPr>
                <w:rFonts w:ascii="Arial" w:hAnsi="Arial" w:cs="Arial"/>
                <w:b/>
                <w:color w:val="000000" w:themeColor="text1"/>
              </w:rPr>
              <w:t>Wednesday</w:t>
            </w:r>
          </w:p>
        </w:tc>
        <w:tc>
          <w:tcPr>
            <w:tcW w:w="2410" w:type="dxa"/>
            <w:vAlign w:val="center"/>
          </w:tcPr>
          <w:p w14:paraId="2F526AC7" w14:textId="34D8E70F" w:rsidR="009B6CA0" w:rsidRPr="009B6CA0" w:rsidRDefault="009B6CA0" w:rsidP="009B6CA0">
            <w:pPr>
              <w:spacing w:line="276" w:lineRule="auto"/>
              <w:jc w:val="center"/>
              <w:rPr>
                <w:rFonts w:ascii="Arial" w:hAnsi="Arial" w:cs="Arial"/>
                <w:b/>
                <w:color w:val="000000" w:themeColor="text1"/>
              </w:rPr>
            </w:pPr>
            <w:r w:rsidRPr="009B6CA0">
              <w:rPr>
                <w:rFonts w:ascii="Arial" w:hAnsi="Arial" w:cs="Arial"/>
                <w:b/>
                <w:color w:val="000000" w:themeColor="text1"/>
              </w:rPr>
              <w:t>Friday</w:t>
            </w:r>
            <w:r w:rsidR="009C32D5">
              <w:rPr>
                <w:rFonts w:ascii="Arial" w:hAnsi="Arial" w:cs="Arial"/>
                <w:b/>
                <w:color w:val="000000" w:themeColor="text1"/>
              </w:rPr>
              <w:t xml:space="preserve"> or Saturday</w:t>
            </w:r>
          </w:p>
        </w:tc>
      </w:tr>
      <w:tr w:rsidR="009B6CA0" w14:paraId="458918D1" w14:textId="77777777" w:rsidTr="00301330">
        <w:tc>
          <w:tcPr>
            <w:tcW w:w="1511" w:type="dxa"/>
            <w:shd w:val="clear" w:color="auto" w:fill="FFF2CC" w:themeFill="accent4" w:themeFillTint="33"/>
            <w:vAlign w:val="center"/>
          </w:tcPr>
          <w:p w14:paraId="4695EA7C" w14:textId="4C5E2F6F" w:rsidR="009B6CA0" w:rsidRDefault="009B6CA0" w:rsidP="009B6CA0">
            <w:pPr>
              <w:spacing w:line="276" w:lineRule="auto"/>
              <w:jc w:val="center"/>
              <w:rPr>
                <w:rFonts w:ascii="Arial" w:hAnsi="Arial" w:cs="Arial"/>
                <w:color w:val="000000" w:themeColor="text1"/>
              </w:rPr>
            </w:pPr>
            <w:r>
              <w:rPr>
                <w:rFonts w:ascii="Arial" w:hAnsi="Arial" w:cs="Arial"/>
                <w:color w:val="000000" w:themeColor="text1"/>
              </w:rPr>
              <w:t>Pre-Intervention</w:t>
            </w:r>
          </w:p>
        </w:tc>
        <w:tc>
          <w:tcPr>
            <w:tcW w:w="5434" w:type="dxa"/>
            <w:gridSpan w:val="2"/>
            <w:shd w:val="clear" w:color="auto" w:fill="FFF2CC" w:themeFill="accent4" w:themeFillTint="33"/>
            <w:vAlign w:val="center"/>
          </w:tcPr>
          <w:p w14:paraId="7720707F" w14:textId="77777777" w:rsidR="009B6CA0" w:rsidRDefault="009B6CA0" w:rsidP="009B6CA0">
            <w:pPr>
              <w:spacing w:line="276" w:lineRule="auto"/>
              <w:jc w:val="center"/>
              <w:rPr>
                <w:rFonts w:ascii="Arial" w:hAnsi="Arial" w:cs="Arial"/>
                <w:color w:val="000000" w:themeColor="text1"/>
              </w:rPr>
            </w:pPr>
            <w:r>
              <w:rPr>
                <w:rFonts w:ascii="Arial" w:hAnsi="Arial" w:cs="Arial"/>
                <w:color w:val="000000" w:themeColor="text1"/>
              </w:rPr>
              <w:t xml:space="preserve">Recruiting </w:t>
            </w:r>
          </w:p>
          <w:p w14:paraId="4DC0D905" w14:textId="4BEB9938" w:rsidR="009B6CA0" w:rsidRDefault="009B6CA0" w:rsidP="009B6CA0">
            <w:pPr>
              <w:spacing w:line="276" w:lineRule="auto"/>
              <w:jc w:val="center"/>
              <w:rPr>
                <w:rFonts w:ascii="Arial" w:hAnsi="Arial" w:cs="Arial"/>
                <w:color w:val="000000" w:themeColor="text1"/>
              </w:rPr>
            </w:pPr>
            <w:r>
              <w:rPr>
                <w:rFonts w:ascii="Arial" w:hAnsi="Arial" w:cs="Arial"/>
                <w:color w:val="000000" w:themeColor="text1"/>
              </w:rPr>
              <w:t>(</w:t>
            </w:r>
            <w:r w:rsidR="009C32D5">
              <w:rPr>
                <w:rFonts w:ascii="Arial" w:hAnsi="Arial" w:cs="Arial"/>
                <w:color w:val="000000" w:themeColor="text1"/>
              </w:rPr>
              <w:t xml:space="preserve">CHA training completed, </w:t>
            </w:r>
            <w:r>
              <w:rPr>
                <w:rFonts w:ascii="Arial" w:hAnsi="Arial" w:cs="Arial"/>
                <w:color w:val="000000" w:themeColor="text1"/>
              </w:rPr>
              <w:t>no program activities)</w:t>
            </w:r>
          </w:p>
        </w:tc>
        <w:tc>
          <w:tcPr>
            <w:tcW w:w="2410" w:type="dxa"/>
            <w:shd w:val="clear" w:color="auto" w:fill="FFE599" w:themeFill="accent4" w:themeFillTint="66"/>
            <w:vAlign w:val="center"/>
          </w:tcPr>
          <w:p w14:paraId="7A526211" w14:textId="20CEF0FE" w:rsidR="009B6CA0" w:rsidRDefault="009B6CA0" w:rsidP="009B6CA0">
            <w:pPr>
              <w:spacing w:line="276" w:lineRule="auto"/>
              <w:jc w:val="center"/>
              <w:rPr>
                <w:rFonts w:ascii="Arial" w:hAnsi="Arial" w:cs="Arial"/>
                <w:color w:val="000000" w:themeColor="text1"/>
              </w:rPr>
            </w:pPr>
            <w:r>
              <w:rPr>
                <w:rFonts w:ascii="Arial" w:hAnsi="Arial" w:cs="Arial"/>
                <w:color w:val="000000" w:themeColor="text1"/>
              </w:rPr>
              <w:t>BASELINE ASSESSMENT DAY (PT and MD attend)</w:t>
            </w:r>
          </w:p>
        </w:tc>
      </w:tr>
      <w:tr w:rsidR="009B6CA0" w14:paraId="700C787F" w14:textId="77777777" w:rsidTr="00301330">
        <w:tc>
          <w:tcPr>
            <w:tcW w:w="1511" w:type="dxa"/>
            <w:shd w:val="clear" w:color="auto" w:fill="DEEAF6" w:themeFill="accent5" w:themeFillTint="33"/>
            <w:vAlign w:val="center"/>
          </w:tcPr>
          <w:p w14:paraId="0451CE2D" w14:textId="78D9147E" w:rsidR="009B6CA0" w:rsidRDefault="009B6CA0" w:rsidP="009B6CA0">
            <w:pPr>
              <w:spacing w:line="276" w:lineRule="auto"/>
              <w:jc w:val="center"/>
              <w:rPr>
                <w:rFonts w:ascii="Arial" w:hAnsi="Arial" w:cs="Arial"/>
                <w:color w:val="000000" w:themeColor="text1"/>
              </w:rPr>
            </w:pPr>
            <w:r>
              <w:rPr>
                <w:rFonts w:ascii="Arial" w:hAnsi="Arial" w:cs="Arial"/>
                <w:color w:val="000000" w:themeColor="text1"/>
              </w:rPr>
              <w:t>Week 1</w:t>
            </w:r>
          </w:p>
        </w:tc>
        <w:tc>
          <w:tcPr>
            <w:tcW w:w="3723" w:type="dxa"/>
            <w:shd w:val="clear" w:color="auto" w:fill="DEEAF6" w:themeFill="accent5" w:themeFillTint="33"/>
            <w:vAlign w:val="center"/>
          </w:tcPr>
          <w:p w14:paraId="3E014239" w14:textId="40B8EB67" w:rsidR="009B6CA0" w:rsidRPr="009B6CA0" w:rsidRDefault="009B6CA0" w:rsidP="009B6CA0">
            <w:pPr>
              <w:spacing w:line="276" w:lineRule="auto"/>
              <w:jc w:val="center"/>
              <w:rPr>
                <w:rFonts w:ascii="Arial" w:hAnsi="Arial" w:cs="Arial"/>
                <w:i/>
                <w:color w:val="000000" w:themeColor="text1"/>
              </w:rPr>
            </w:pPr>
            <w:r w:rsidRPr="009B6CA0">
              <w:rPr>
                <w:rFonts w:ascii="Arial" w:hAnsi="Arial" w:cs="Arial"/>
                <w:i/>
                <w:color w:val="000000" w:themeColor="text1"/>
              </w:rPr>
              <w:t>Cardiovascular Disease Overview</w:t>
            </w:r>
          </w:p>
          <w:p w14:paraId="515F34A4" w14:textId="71E55747" w:rsidR="009B6CA0" w:rsidRDefault="009B6CA0" w:rsidP="009B6CA0">
            <w:pPr>
              <w:spacing w:line="276" w:lineRule="auto"/>
              <w:jc w:val="center"/>
              <w:rPr>
                <w:rFonts w:ascii="Arial" w:hAnsi="Arial" w:cs="Arial"/>
                <w:color w:val="000000" w:themeColor="text1"/>
              </w:rPr>
            </w:pPr>
            <w:r>
              <w:rPr>
                <w:rFonts w:ascii="Arial" w:hAnsi="Arial" w:cs="Arial"/>
                <w:color w:val="000000" w:themeColor="text1"/>
              </w:rPr>
              <w:t>60 min walk</w:t>
            </w:r>
          </w:p>
        </w:tc>
        <w:tc>
          <w:tcPr>
            <w:tcW w:w="1711" w:type="dxa"/>
            <w:shd w:val="clear" w:color="auto" w:fill="DEEAF6" w:themeFill="accent5" w:themeFillTint="33"/>
            <w:vAlign w:val="center"/>
          </w:tcPr>
          <w:p w14:paraId="1AB5207E" w14:textId="77777777" w:rsidR="009B6CA0" w:rsidRDefault="009B6CA0" w:rsidP="009B6CA0">
            <w:pPr>
              <w:spacing w:line="276" w:lineRule="auto"/>
              <w:jc w:val="center"/>
              <w:rPr>
                <w:rFonts w:ascii="Arial" w:hAnsi="Arial" w:cs="Arial"/>
                <w:color w:val="000000" w:themeColor="text1"/>
              </w:rPr>
            </w:pPr>
          </w:p>
          <w:p w14:paraId="4C735C6E" w14:textId="734715BE" w:rsidR="009B6CA0" w:rsidRDefault="009B6CA0" w:rsidP="009B6CA0">
            <w:pPr>
              <w:spacing w:line="276" w:lineRule="auto"/>
              <w:jc w:val="center"/>
              <w:rPr>
                <w:rFonts w:ascii="Arial" w:hAnsi="Arial" w:cs="Arial"/>
                <w:color w:val="000000" w:themeColor="text1"/>
              </w:rPr>
            </w:pPr>
            <w:r>
              <w:rPr>
                <w:rFonts w:ascii="Arial" w:hAnsi="Arial" w:cs="Arial"/>
                <w:color w:val="000000" w:themeColor="text1"/>
              </w:rPr>
              <w:t>60 min walk</w:t>
            </w:r>
          </w:p>
        </w:tc>
        <w:tc>
          <w:tcPr>
            <w:tcW w:w="2410" w:type="dxa"/>
            <w:shd w:val="clear" w:color="auto" w:fill="BDD6EE" w:themeFill="accent5" w:themeFillTint="66"/>
            <w:vAlign w:val="center"/>
          </w:tcPr>
          <w:p w14:paraId="00ADD489" w14:textId="0F4E8FF8" w:rsidR="009B6CA0" w:rsidRDefault="00063687" w:rsidP="009B6CA0">
            <w:pPr>
              <w:spacing w:line="276" w:lineRule="auto"/>
              <w:jc w:val="center"/>
              <w:rPr>
                <w:rFonts w:ascii="Arial" w:hAnsi="Arial" w:cs="Arial"/>
                <w:color w:val="000000" w:themeColor="text1"/>
              </w:rPr>
            </w:pPr>
            <w:r>
              <w:rPr>
                <w:rFonts w:ascii="Arial" w:hAnsi="Arial" w:cs="Arial"/>
                <w:color w:val="000000" w:themeColor="text1"/>
              </w:rPr>
              <w:t>Participants encouraged to walk independently</w:t>
            </w:r>
          </w:p>
        </w:tc>
      </w:tr>
      <w:tr w:rsidR="009B6CA0" w14:paraId="617591A1" w14:textId="77777777" w:rsidTr="00301330">
        <w:tc>
          <w:tcPr>
            <w:tcW w:w="1511" w:type="dxa"/>
            <w:shd w:val="clear" w:color="auto" w:fill="DEEAF6" w:themeFill="accent5" w:themeFillTint="33"/>
            <w:vAlign w:val="center"/>
          </w:tcPr>
          <w:p w14:paraId="29778ACD" w14:textId="07C52EB4" w:rsidR="009B6CA0" w:rsidRDefault="009B6CA0" w:rsidP="009B6CA0">
            <w:pPr>
              <w:spacing w:line="276" w:lineRule="auto"/>
              <w:jc w:val="center"/>
              <w:rPr>
                <w:rFonts w:ascii="Arial" w:hAnsi="Arial" w:cs="Arial"/>
                <w:color w:val="000000" w:themeColor="text1"/>
              </w:rPr>
            </w:pPr>
            <w:r>
              <w:rPr>
                <w:rFonts w:ascii="Arial" w:hAnsi="Arial" w:cs="Arial"/>
                <w:color w:val="000000" w:themeColor="text1"/>
              </w:rPr>
              <w:t>Week 2</w:t>
            </w:r>
          </w:p>
        </w:tc>
        <w:tc>
          <w:tcPr>
            <w:tcW w:w="3723" w:type="dxa"/>
            <w:shd w:val="clear" w:color="auto" w:fill="DEEAF6" w:themeFill="accent5" w:themeFillTint="33"/>
            <w:vAlign w:val="center"/>
          </w:tcPr>
          <w:p w14:paraId="2204ED60" w14:textId="1B083911" w:rsidR="009B6CA0" w:rsidRPr="009B6CA0" w:rsidRDefault="00063687" w:rsidP="009B6CA0">
            <w:pPr>
              <w:spacing w:line="276" w:lineRule="auto"/>
              <w:jc w:val="center"/>
              <w:rPr>
                <w:rFonts w:ascii="Arial" w:hAnsi="Arial" w:cs="Arial"/>
                <w:i/>
                <w:color w:val="000000" w:themeColor="text1"/>
              </w:rPr>
            </w:pPr>
            <w:r>
              <w:rPr>
                <w:rFonts w:ascii="Arial" w:hAnsi="Arial" w:cs="Arial"/>
                <w:i/>
                <w:color w:val="000000" w:themeColor="text1"/>
              </w:rPr>
              <w:t>Heart Disease Risk Factors</w:t>
            </w:r>
          </w:p>
          <w:p w14:paraId="6A14907E" w14:textId="32133053" w:rsidR="009B6CA0" w:rsidRDefault="009B6CA0" w:rsidP="009B6CA0">
            <w:pPr>
              <w:spacing w:line="276" w:lineRule="auto"/>
              <w:jc w:val="center"/>
              <w:rPr>
                <w:rFonts w:ascii="Arial" w:hAnsi="Arial" w:cs="Arial"/>
                <w:color w:val="000000" w:themeColor="text1"/>
              </w:rPr>
            </w:pPr>
            <w:r>
              <w:rPr>
                <w:rFonts w:ascii="Arial" w:hAnsi="Arial" w:cs="Arial"/>
                <w:color w:val="000000" w:themeColor="text1"/>
              </w:rPr>
              <w:t>60 min walk</w:t>
            </w:r>
          </w:p>
        </w:tc>
        <w:tc>
          <w:tcPr>
            <w:tcW w:w="1711" w:type="dxa"/>
            <w:shd w:val="clear" w:color="auto" w:fill="DEEAF6" w:themeFill="accent5" w:themeFillTint="33"/>
            <w:vAlign w:val="center"/>
          </w:tcPr>
          <w:p w14:paraId="18761CFA" w14:textId="77777777" w:rsidR="009B6CA0" w:rsidRDefault="009B6CA0" w:rsidP="009B6CA0">
            <w:pPr>
              <w:spacing w:line="276" w:lineRule="auto"/>
              <w:jc w:val="center"/>
              <w:rPr>
                <w:rFonts w:ascii="Arial" w:hAnsi="Arial" w:cs="Arial"/>
                <w:color w:val="000000" w:themeColor="text1"/>
              </w:rPr>
            </w:pPr>
          </w:p>
          <w:p w14:paraId="31F8308E" w14:textId="06425494" w:rsidR="009B6CA0" w:rsidRDefault="009B6CA0" w:rsidP="009B6CA0">
            <w:pPr>
              <w:spacing w:line="276" w:lineRule="auto"/>
              <w:jc w:val="center"/>
              <w:rPr>
                <w:rFonts w:ascii="Arial" w:hAnsi="Arial" w:cs="Arial"/>
                <w:color w:val="000000" w:themeColor="text1"/>
              </w:rPr>
            </w:pPr>
            <w:r>
              <w:rPr>
                <w:rFonts w:ascii="Arial" w:hAnsi="Arial" w:cs="Arial"/>
                <w:color w:val="000000" w:themeColor="text1"/>
              </w:rPr>
              <w:t>60 min walk</w:t>
            </w:r>
          </w:p>
        </w:tc>
        <w:tc>
          <w:tcPr>
            <w:tcW w:w="2410" w:type="dxa"/>
            <w:shd w:val="clear" w:color="auto" w:fill="BDD6EE" w:themeFill="accent5" w:themeFillTint="66"/>
            <w:vAlign w:val="center"/>
          </w:tcPr>
          <w:p w14:paraId="196B77F4" w14:textId="190FDA0C" w:rsidR="009B6CA0" w:rsidRDefault="00063687" w:rsidP="009B6CA0">
            <w:pPr>
              <w:spacing w:line="276" w:lineRule="auto"/>
              <w:jc w:val="center"/>
              <w:rPr>
                <w:rFonts w:ascii="Arial" w:hAnsi="Arial" w:cs="Arial"/>
                <w:color w:val="000000" w:themeColor="text1"/>
              </w:rPr>
            </w:pPr>
            <w:r>
              <w:rPr>
                <w:rFonts w:ascii="Arial" w:hAnsi="Arial" w:cs="Arial"/>
                <w:color w:val="000000" w:themeColor="text1"/>
              </w:rPr>
              <w:t>Participants encouraged to walk independently</w:t>
            </w:r>
          </w:p>
        </w:tc>
      </w:tr>
      <w:tr w:rsidR="009B6CA0" w14:paraId="057BB8F6" w14:textId="77777777" w:rsidTr="00301330">
        <w:tc>
          <w:tcPr>
            <w:tcW w:w="1511" w:type="dxa"/>
            <w:shd w:val="clear" w:color="auto" w:fill="DEEAF6" w:themeFill="accent5" w:themeFillTint="33"/>
            <w:vAlign w:val="center"/>
          </w:tcPr>
          <w:p w14:paraId="7660B5C9" w14:textId="30C3EA24" w:rsidR="009B6CA0" w:rsidRDefault="009B6CA0" w:rsidP="009B6CA0">
            <w:pPr>
              <w:spacing w:line="276" w:lineRule="auto"/>
              <w:jc w:val="center"/>
              <w:rPr>
                <w:rFonts w:ascii="Arial" w:hAnsi="Arial" w:cs="Arial"/>
                <w:color w:val="000000" w:themeColor="text1"/>
              </w:rPr>
            </w:pPr>
            <w:r>
              <w:rPr>
                <w:rFonts w:ascii="Arial" w:hAnsi="Arial" w:cs="Arial"/>
                <w:color w:val="000000" w:themeColor="text1"/>
              </w:rPr>
              <w:t>Week 3</w:t>
            </w:r>
          </w:p>
        </w:tc>
        <w:tc>
          <w:tcPr>
            <w:tcW w:w="3723" w:type="dxa"/>
            <w:shd w:val="clear" w:color="auto" w:fill="DEEAF6" w:themeFill="accent5" w:themeFillTint="33"/>
            <w:vAlign w:val="center"/>
          </w:tcPr>
          <w:p w14:paraId="699A2C68" w14:textId="4861338E" w:rsidR="009B6CA0" w:rsidRPr="00063687" w:rsidRDefault="00063687" w:rsidP="009B6CA0">
            <w:pPr>
              <w:spacing w:line="276" w:lineRule="auto"/>
              <w:jc w:val="center"/>
              <w:rPr>
                <w:rFonts w:ascii="Arial" w:hAnsi="Arial" w:cs="Arial"/>
                <w:i/>
                <w:color w:val="000000" w:themeColor="text1"/>
              </w:rPr>
            </w:pPr>
            <w:r>
              <w:rPr>
                <w:rFonts w:ascii="Arial" w:hAnsi="Arial" w:cs="Arial"/>
                <w:i/>
                <w:color w:val="000000" w:themeColor="text1"/>
              </w:rPr>
              <w:t>Controlling Blood Pressure</w:t>
            </w:r>
          </w:p>
          <w:p w14:paraId="772ADA39" w14:textId="5AA684DF" w:rsidR="009B6CA0" w:rsidRDefault="009B6CA0" w:rsidP="009B6CA0">
            <w:pPr>
              <w:spacing w:line="276" w:lineRule="auto"/>
              <w:jc w:val="center"/>
              <w:rPr>
                <w:rFonts w:ascii="Arial" w:hAnsi="Arial" w:cs="Arial"/>
                <w:color w:val="000000" w:themeColor="text1"/>
              </w:rPr>
            </w:pPr>
            <w:r>
              <w:rPr>
                <w:rFonts w:ascii="Arial" w:hAnsi="Arial" w:cs="Arial"/>
                <w:color w:val="000000" w:themeColor="text1"/>
              </w:rPr>
              <w:t>60 min walk</w:t>
            </w:r>
          </w:p>
        </w:tc>
        <w:tc>
          <w:tcPr>
            <w:tcW w:w="1711" w:type="dxa"/>
            <w:shd w:val="clear" w:color="auto" w:fill="DEEAF6" w:themeFill="accent5" w:themeFillTint="33"/>
            <w:vAlign w:val="center"/>
          </w:tcPr>
          <w:p w14:paraId="7C9AA7EE" w14:textId="77777777" w:rsidR="009B6CA0" w:rsidRDefault="009B6CA0" w:rsidP="009B6CA0">
            <w:pPr>
              <w:spacing w:line="276" w:lineRule="auto"/>
              <w:jc w:val="center"/>
              <w:rPr>
                <w:rFonts w:ascii="Arial" w:hAnsi="Arial" w:cs="Arial"/>
                <w:color w:val="000000" w:themeColor="text1"/>
              </w:rPr>
            </w:pPr>
          </w:p>
          <w:p w14:paraId="4202C6CD" w14:textId="54294E8B" w:rsidR="009B6CA0" w:rsidRDefault="009B6CA0" w:rsidP="009B6CA0">
            <w:pPr>
              <w:spacing w:line="276" w:lineRule="auto"/>
              <w:jc w:val="center"/>
              <w:rPr>
                <w:rFonts w:ascii="Arial" w:hAnsi="Arial" w:cs="Arial"/>
                <w:color w:val="000000" w:themeColor="text1"/>
              </w:rPr>
            </w:pPr>
            <w:r>
              <w:rPr>
                <w:rFonts w:ascii="Arial" w:hAnsi="Arial" w:cs="Arial"/>
                <w:color w:val="000000" w:themeColor="text1"/>
              </w:rPr>
              <w:t>60 min walk</w:t>
            </w:r>
          </w:p>
        </w:tc>
        <w:tc>
          <w:tcPr>
            <w:tcW w:w="2410" w:type="dxa"/>
            <w:shd w:val="clear" w:color="auto" w:fill="BDD6EE" w:themeFill="accent5" w:themeFillTint="66"/>
            <w:vAlign w:val="center"/>
          </w:tcPr>
          <w:p w14:paraId="7F917751" w14:textId="223B5C0A" w:rsidR="009B6CA0" w:rsidRDefault="00063687" w:rsidP="009B6CA0">
            <w:pPr>
              <w:spacing w:line="276" w:lineRule="auto"/>
              <w:jc w:val="center"/>
              <w:rPr>
                <w:rFonts w:ascii="Arial" w:hAnsi="Arial" w:cs="Arial"/>
                <w:color w:val="000000" w:themeColor="text1"/>
              </w:rPr>
            </w:pPr>
            <w:r>
              <w:rPr>
                <w:rFonts w:ascii="Arial" w:hAnsi="Arial" w:cs="Arial"/>
                <w:color w:val="000000" w:themeColor="text1"/>
              </w:rPr>
              <w:t>Participants encouraged to walk independently</w:t>
            </w:r>
          </w:p>
        </w:tc>
      </w:tr>
      <w:tr w:rsidR="009B6CA0" w14:paraId="468A0F82" w14:textId="77777777" w:rsidTr="00301330">
        <w:tc>
          <w:tcPr>
            <w:tcW w:w="1511" w:type="dxa"/>
            <w:shd w:val="clear" w:color="auto" w:fill="DEEAF6" w:themeFill="accent5" w:themeFillTint="33"/>
            <w:vAlign w:val="center"/>
          </w:tcPr>
          <w:p w14:paraId="76736492" w14:textId="5A6B788A" w:rsidR="009B6CA0" w:rsidRDefault="009B6CA0" w:rsidP="009B6CA0">
            <w:pPr>
              <w:spacing w:line="276" w:lineRule="auto"/>
              <w:jc w:val="center"/>
              <w:rPr>
                <w:rFonts w:ascii="Arial" w:hAnsi="Arial" w:cs="Arial"/>
                <w:color w:val="000000" w:themeColor="text1"/>
              </w:rPr>
            </w:pPr>
            <w:r>
              <w:rPr>
                <w:rFonts w:ascii="Arial" w:hAnsi="Arial" w:cs="Arial"/>
                <w:color w:val="000000" w:themeColor="text1"/>
              </w:rPr>
              <w:t>Week 4</w:t>
            </w:r>
          </w:p>
        </w:tc>
        <w:tc>
          <w:tcPr>
            <w:tcW w:w="3723" w:type="dxa"/>
            <w:shd w:val="clear" w:color="auto" w:fill="DEEAF6" w:themeFill="accent5" w:themeFillTint="33"/>
            <w:vAlign w:val="center"/>
          </w:tcPr>
          <w:p w14:paraId="36F55E87" w14:textId="0A53064D" w:rsidR="009B6CA0" w:rsidRPr="00063687" w:rsidRDefault="00063687" w:rsidP="009B6CA0">
            <w:pPr>
              <w:spacing w:line="276" w:lineRule="auto"/>
              <w:jc w:val="center"/>
              <w:rPr>
                <w:rFonts w:ascii="Arial" w:hAnsi="Arial" w:cs="Arial"/>
                <w:i/>
                <w:color w:val="000000" w:themeColor="text1"/>
              </w:rPr>
            </w:pPr>
            <w:r>
              <w:rPr>
                <w:rFonts w:ascii="Arial" w:hAnsi="Arial" w:cs="Arial"/>
                <w:i/>
                <w:color w:val="000000" w:themeColor="text1"/>
              </w:rPr>
              <w:t>Diabetes</w:t>
            </w:r>
          </w:p>
          <w:p w14:paraId="43E61F83" w14:textId="7E38376F" w:rsidR="009B6CA0" w:rsidRDefault="009B6CA0" w:rsidP="009B6CA0">
            <w:pPr>
              <w:spacing w:line="276" w:lineRule="auto"/>
              <w:jc w:val="center"/>
              <w:rPr>
                <w:rFonts w:ascii="Arial" w:hAnsi="Arial" w:cs="Arial"/>
                <w:color w:val="000000" w:themeColor="text1"/>
              </w:rPr>
            </w:pPr>
            <w:r>
              <w:rPr>
                <w:rFonts w:ascii="Arial" w:hAnsi="Arial" w:cs="Arial"/>
                <w:color w:val="000000" w:themeColor="text1"/>
              </w:rPr>
              <w:t>60 min walk</w:t>
            </w:r>
          </w:p>
        </w:tc>
        <w:tc>
          <w:tcPr>
            <w:tcW w:w="1711" w:type="dxa"/>
            <w:shd w:val="clear" w:color="auto" w:fill="DEEAF6" w:themeFill="accent5" w:themeFillTint="33"/>
            <w:vAlign w:val="center"/>
          </w:tcPr>
          <w:p w14:paraId="18469C62" w14:textId="77777777" w:rsidR="009B6CA0" w:rsidRDefault="009B6CA0" w:rsidP="009B6CA0">
            <w:pPr>
              <w:spacing w:line="276" w:lineRule="auto"/>
              <w:jc w:val="center"/>
              <w:rPr>
                <w:rFonts w:ascii="Arial" w:hAnsi="Arial" w:cs="Arial"/>
                <w:color w:val="000000" w:themeColor="text1"/>
              </w:rPr>
            </w:pPr>
          </w:p>
          <w:p w14:paraId="6E53C2C6" w14:textId="67EA2A46" w:rsidR="009B6CA0" w:rsidRDefault="009B6CA0" w:rsidP="009B6CA0">
            <w:pPr>
              <w:spacing w:line="276" w:lineRule="auto"/>
              <w:jc w:val="center"/>
              <w:rPr>
                <w:rFonts w:ascii="Arial" w:hAnsi="Arial" w:cs="Arial"/>
                <w:color w:val="000000" w:themeColor="text1"/>
              </w:rPr>
            </w:pPr>
            <w:r>
              <w:rPr>
                <w:rFonts w:ascii="Arial" w:hAnsi="Arial" w:cs="Arial"/>
                <w:color w:val="000000" w:themeColor="text1"/>
              </w:rPr>
              <w:t>60 min walk</w:t>
            </w:r>
          </w:p>
        </w:tc>
        <w:tc>
          <w:tcPr>
            <w:tcW w:w="2410" w:type="dxa"/>
            <w:shd w:val="clear" w:color="auto" w:fill="BDD6EE" w:themeFill="accent5" w:themeFillTint="66"/>
            <w:vAlign w:val="center"/>
          </w:tcPr>
          <w:p w14:paraId="1E640C22" w14:textId="6518C6E6" w:rsidR="009B6CA0" w:rsidRDefault="00063687" w:rsidP="009B6CA0">
            <w:pPr>
              <w:spacing w:line="276" w:lineRule="auto"/>
              <w:jc w:val="center"/>
              <w:rPr>
                <w:rFonts w:ascii="Arial" w:hAnsi="Arial" w:cs="Arial"/>
                <w:color w:val="000000" w:themeColor="text1"/>
              </w:rPr>
            </w:pPr>
            <w:r>
              <w:rPr>
                <w:rFonts w:ascii="Arial" w:hAnsi="Arial" w:cs="Arial"/>
                <w:color w:val="000000" w:themeColor="text1"/>
              </w:rPr>
              <w:t>Participants encouraged to walk independently</w:t>
            </w:r>
          </w:p>
        </w:tc>
      </w:tr>
      <w:tr w:rsidR="009B6CA0" w14:paraId="75E679C5" w14:textId="77777777" w:rsidTr="00301330">
        <w:tc>
          <w:tcPr>
            <w:tcW w:w="1511" w:type="dxa"/>
            <w:shd w:val="clear" w:color="auto" w:fill="DEEAF6" w:themeFill="accent5" w:themeFillTint="33"/>
            <w:vAlign w:val="center"/>
          </w:tcPr>
          <w:p w14:paraId="3981D40E" w14:textId="379C48C1" w:rsidR="009B6CA0" w:rsidRDefault="009B6CA0" w:rsidP="009B6CA0">
            <w:pPr>
              <w:spacing w:line="276" w:lineRule="auto"/>
              <w:jc w:val="center"/>
              <w:rPr>
                <w:rFonts w:ascii="Arial" w:hAnsi="Arial" w:cs="Arial"/>
                <w:color w:val="000000" w:themeColor="text1"/>
              </w:rPr>
            </w:pPr>
            <w:r>
              <w:rPr>
                <w:rFonts w:ascii="Arial" w:hAnsi="Arial" w:cs="Arial"/>
                <w:color w:val="000000" w:themeColor="text1"/>
              </w:rPr>
              <w:t>Week 5</w:t>
            </w:r>
          </w:p>
        </w:tc>
        <w:tc>
          <w:tcPr>
            <w:tcW w:w="3723" w:type="dxa"/>
            <w:shd w:val="clear" w:color="auto" w:fill="DEEAF6" w:themeFill="accent5" w:themeFillTint="33"/>
            <w:vAlign w:val="center"/>
          </w:tcPr>
          <w:p w14:paraId="4804C922" w14:textId="280FB507" w:rsidR="009B6CA0" w:rsidRPr="00063687" w:rsidRDefault="00063687" w:rsidP="009B6CA0">
            <w:pPr>
              <w:spacing w:line="276" w:lineRule="auto"/>
              <w:jc w:val="center"/>
              <w:rPr>
                <w:rFonts w:ascii="Arial" w:hAnsi="Arial" w:cs="Arial"/>
                <w:i/>
                <w:color w:val="000000" w:themeColor="text1"/>
              </w:rPr>
            </w:pPr>
            <w:r>
              <w:rPr>
                <w:rFonts w:ascii="Arial" w:hAnsi="Arial" w:cs="Arial"/>
                <w:i/>
                <w:color w:val="000000" w:themeColor="text1"/>
              </w:rPr>
              <w:t>Blood Cholesterol</w:t>
            </w:r>
          </w:p>
          <w:p w14:paraId="44B0F128" w14:textId="7AA4F89C" w:rsidR="009B6CA0" w:rsidRDefault="009B6CA0" w:rsidP="009B6CA0">
            <w:pPr>
              <w:spacing w:line="276" w:lineRule="auto"/>
              <w:jc w:val="center"/>
              <w:rPr>
                <w:rFonts w:ascii="Arial" w:hAnsi="Arial" w:cs="Arial"/>
                <w:color w:val="000000" w:themeColor="text1"/>
              </w:rPr>
            </w:pPr>
            <w:r>
              <w:rPr>
                <w:rFonts w:ascii="Arial" w:hAnsi="Arial" w:cs="Arial"/>
                <w:color w:val="000000" w:themeColor="text1"/>
              </w:rPr>
              <w:t>60 min walk</w:t>
            </w:r>
          </w:p>
        </w:tc>
        <w:tc>
          <w:tcPr>
            <w:tcW w:w="1711" w:type="dxa"/>
            <w:shd w:val="clear" w:color="auto" w:fill="DEEAF6" w:themeFill="accent5" w:themeFillTint="33"/>
            <w:vAlign w:val="center"/>
          </w:tcPr>
          <w:p w14:paraId="234D3A9B" w14:textId="77777777" w:rsidR="009B6CA0" w:rsidRDefault="009B6CA0" w:rsidP="009B6CA0">
            <w:pPr>
              <w:spacing w:line="276" w:lineRule="auto"/>
              <w:jc w:val="center"/>
              <w:rPr>
                <w:rFonts w:ascii="Arial" w:hAnsi="Arial" w:cs="Arial"/>
                <w:color w:val="000000" w:themeColor="text1"/>
              </w:rPr>
            </w:pPr>
          </w:p>
          <w:p w14:paraId="53205DBA" w14:textId="64CE10CB" w:rsidR="009B6CA0" w:rsidRDefault="009B6CA0" w:rsidP="009B6CA0">
            <w:pPr>
              <w:spacing w:line="276" w:lineRule="auto"/>
              <w:jc w:val="center"/>
              <w:rPr>
                <w:rFonts w:ascii="Arial" w:hAnsi="Arial" w:cs="Arial"/>
                <w:color w:val="000000" w:themeColor="text1"/>
              </w:rPr>
            </w:pPr>
            <w:r>
              <w:rPr>
                <w:rFonts w:ascii="Arial" w:hAnsi="Arial" w:cs="Arial"/>
                <w:color w:val="000000" w:themeColor="text1"/>
              </w:rPr>
              <w:t>60 min walk</w:t>
            </w:r>
          </w:p>
        </w:tc>
        <w:tc>
          <w:tcPr>
            <w:tcW w:w="2410" w:type="dxa"/>
            <w:shd w:val="clear" w:color="auto" w:fill="BDD6EE" w:themeFill="accent5" w:themeFillTint="66"/>
            <w:vAlign w:val="center"/>
          </w:tcPr>
          <w:p w14:paraId="1BB88C61" w14:textId="6891993A" w:rsidR="009B6CA0" w:rsidRDefault="00063687" w:rsidP="009B6CA0">
            <w:pPr>
              <w:spacing w:line="276" w:lineRule="auto"/>
              <w:jc w:val="center"/>
              <w:rPr>
                <w:rFonts w:ascii="Arial" w:hAnsi="Arial" w:cs="Arial"/>
                <w:color w:val="000000" w:themeColor="text1"/>
              </w:rPr>
            </w:pPr>
            <w:r>
              <w:rPr>
                <w:rFonts w:ascii="Arial" w:hAnsi="Arial" w:cs="Arial"/>
                <w:color w:val="000000" w:themeColor="text1"/>
              </w:rPr>
              <w:t>Participants encouraged to walk independently</w:t>
            </w:r>
          </w:p>
        </w:tc>
      </w:tr>
      <w:tr w:rsidR="00063687" w14:paraId="47857ACF" w14:textId="77777777" w:rsidTr="00301330">
        <w:tc>
          <w:tcPr>
            <w:tcW w:w="1511" w:type="dxa"/>
            <w:shd w:val="clear" w:color="auto" w:fill="DEEAF6" w:themeFill="accent5" w:themeFillTint="33"/>
            <w:vAlign w:val="center"/>
          </w:tcPr>
          <w:p w14:paraId="25DA7A9F" w14:textId="566A9C4C" w:rsidR="00063687" w:rsidRDefault="00063687" w:rsidP="00063687">
            <w:pPr>
              <w:spacing w:line="276" w:lineRule="auto"/>
              <w:jc w:val="center"/>
              <w:rPr>
                <w:rFonts w:ascii="Arial" w:hAnsi="Arial" w:cs="Arial"/>
                <w:color w:val="000000" w:themeColor="text1"/>
              </w:rPr>
            </w:pPr>
            <w:r>
              <w:rPr>
                <w:rFonts w:ascii="Arial" w:hAnsi="Arial" w:cs="Arial"/>
                <w:color w:val="000000" w:themeColor="text1"/>
              </w:rPr>
              <w:t>Week 6</w:t>
            </w:r>
          </w:p>
        </w:tc>
        <w:tc>
          <w:tcPr>
            <w:tcW w:w="3723" w:type="dxa"/>
            <w:shd w:val="clear" w:color="auto" w:fill="DEEAF6" w:themeFill="accent5" w:themeFillTint="33"/>
            <w:vAlign w:val="center"/>
          </w:tcPr>
          <w:p w14:paraId="59A78E16" w14:textId="77777777" w:rsidR="00063687" w:rsidRPr="00063687" w:rsidRDefault="00063687" w:rsidP="00063687">
            <w:pPr>
              <w:spacing w:line="276" w:lineRule="auto"/>
              <w:jc w:val="center"/>
              <w:rPr>
                <w:rFonts w:ascii="Arial" w:hAnsi="Arial" w:cs="Arial"/>
                <w:i/>
                <w:color w:val="000000" w:themeColor="text1"/>
              </w:rPr>
            </w:pPr>
            <w:r>
              <w:rPr>
                <w:rFonts w:ascii="Arial" w:hAnsi="Arial" w:cs="Arial"/>
                <w:i/>
                <w:color w:val="000000" w:themeColor="text1"/>
              </w:rPr>
              <w:t>Controlling Weight</w:t>
            </w:r>
          </w:p>
          <w:p w14:paraId="499EE992" w14:textId="0C02D3BD" w:rsidR="00063687" w:rsidRDefault="00063687" w:rsidP="00063687">
            <w:pPr>
              <w:spacing w:line="276" w:lineRule="auto"/>
              <w:jc w:val="center"/>
              <w:rPr>
                <w:rFonts w:ascii="Arial" w:hAnsi="Arial" w:cs="Arial"/>
                <w:color w:val="000000" w:themeColor="text1"/>
              </w:rPr>
            </w:pPr>
            <w:r>
              <w:rPr>
                <w:rFonts w:ascii="Arial" w:hAnsi="Arial" w:cs="Arial"/>
                <w:color w:val="000000" w:themeColor="text1"/>
              </w:rPr>
              <w:t>60 min walk</w:t>
            </w:r>
          </w:p>
        </w:tc>
        <w:tc>
          <w:tcPr>
            <w:tcW w:w="1711" w:type="dxa"/>
            <w:shd w:val="clear" w:color="auto" w:fill="DEEAF6" w:themeFill="accent5" w:themeFillTint="33"/>
            <w:vAlign w:val="center"/>
          </w:tcPr>
          <w:p w14:paraId="3E07D980" w14:textId="77777777" w:rsidR="00063687" w:rsidRDefault="00063687" w:rsidP="00063687">
            <w:pPr>
              <w:spacing w:line="276" w:lineRule="auto"/>
              <w:jc w:val="center"/>
              <w:rPr>
                <w:rFonts w:ascii="Arial" w:hAnsi="Arial" w:cs="Arial"/>
                <w:color w:val="000000" w:themeColor="text1"/>
              </w:rPr>
            </w:pPr>
          </w:p>
          <w:p w14:paraId="70736EA3" w14:textId="4E2FDD6A" w:rsidR="00063687" w:rsidRDefault="00063687" w:rsidP="00063687">
            <w:pPr>
              <w:spacing w:line="276" w:lineRule="auto"/>
              <w:jc w:val="center"/>
              <w:rPr>
                <w:rFonts w:ascii="Arial" w:hAnsi="Arial" w:cs="Arial"/>
                <w:color w:val="000000" w:themeColor="text1"/>
              </w:rPr>
            </w:pPr>
            <w:r>
              <w:rPr>
                <w:rFonts w:ascii="Arial" w:hAnsi="Arial" w:cs="Arial"/>
                <w:color w:val="000000" w:themeColor="text1"/>
              </w:rPr>
              <w:t>60 min walk</w:t>
            </w:r>
          </w:p>
        </w:tc>
        <w:tc>
          <w:tcPr>
            <w:tcW w:w="2410" w:type="dxa"/>
            <w:shd w:val="clear" w:color="auto" w:fill="BDD6EE" w:themeFill="accent5" w:themeFillTint="66"/>
            <w:vAlign w:val="center"/>
          </w:tcPr>
          <w:p w14:paraId="176852F0" w14:textId="694876D1" w:rsidR="00063687" w:rsidRDefault="00063687" w:rsidP="00063687">
            <w:pPr>
              <w:spacing w:line="276" w:lineRule="auto"/>
              <w:jc w:val="center"/>
              <w:rPr>
                <w:rFonts w:ascii="Arial" w:hAnsi="Arial" w:cs="Arial"/>
                <w:color w:val="000000" w:themeColor="text1"/>
              </w:rPr>
            </w:pPr>
            <w:r>
              <w:rPr>
                <w:rFonts w:ascii="Arial" w:hAnsi="Arial" w:cs="Arial"/>
                <w:color w:val="000000" w:themeColor="text1"/>
              </w:rPr>
              <w:t>Participants encouraged to walk independently</w:t>
            </w:r>
          </w:p>
        </w:tc>
      </w:tr>
      <w:tr w:rsidR="00063687" w14:paraId="1B00C41F" w14:textId="77777777" w:rsidTr="00301330">
        <w:tc>
          <w:tcPr>
            <w:tcW w:w="1511" w:type="dxa"/>
            <w:shd w:val="clear" w:color="auto" w:fill="DEEAF6" w:themeFill="accent5" w:themeFillTint="33"/>
            <w:vAlign w:val="center"/>
          </w:tcPr>
          <w:p w14:paraId="66C541F8" w14:textId="000F867B" w:rsidR="00063687" w:rsidRDefault="00063687" w:rsidP="00063687">
            <w:pPr>
              <w:spacing w:line="276" w:lineRule="auto"/>
              <w:jc w:val="center"/>
              <w:rPr>
                <w:rFonts w:ascii="Arial" w:hAnsi="Arial" w:cs="Arial"/>
                <w:color w:val="000000" w:themeColor="text1"/>
              </w:rPr>
            </w:pPr>
            <w:r>
              <w:rPr>
                <w:rFonts w:ascii="Arial" w:hAnsi="Arial" w:cs="Arial"/>
                <w:color w:val="000000" w:themeColor="text1"/>
              </w:rPr>
              <w:t>Week 7</w:t>
            </w:r>
          </w:p>
        </w:tc>
        <w:tc>
          <w:tcPr>
            <w:tcW w:w="3723" w:type="dxa"/>
            <w:shd w:val="clear" w:color="auto" w:fill="DEEAF6" w:themeFill="accent5" w:themeFillTint="33"/>
            <w:vAlign w:val="center"/>
          </w:tcPr>
          <w:p w14:paraId="750A8438" w14:textId="77777777" w:rsidR="00063687" w:rsidRPr="00063687" w:rsidRDefault="00063687" w:rsidP="00063687">
            <w:pPr>
              <w:spacing w:line="276" w:lineRule="auto"/>
              <w:jc w:val="center"/>
              <w:rPr>
                <w:rFonts w:ascii="Arial" w:hAnsi="Arial" w:cs="Arial"/>
                <w:i/>
                <w:color w:val="000000" w:themeColor="text1"/>
              </w:rPr>
            </w:pPr>
            <w:r>
              <w:rPr>
                <w:rFonts w:ascii="Arial" w:hAnsi="Arial" w:cs="Arial"/>
                <w:i/>
                <w:color w:val="000000" w:themeColor="text1"/>
              </w:rPr>
              <w:t>Physical Activity Guidelines</w:t>
            </w:r>
          </w:p>
          <w:p w14:paraId="3880C114" w14:textId="2F7F4B36" w:rsidR="00063687" w:rsidRDefault="00063687" w:rsidP="00063687">
            <w:pPr>
              <w:spacing w:line="276" w:lineRule="auto"/>
              <w:jc w:val="center"/>
              <w:rPr>
                <w:rFonts w:ascii="Arial" w:hAnsi="Arial" w:cs="Arial"/>
                <w:color w:val="000000" w:themeColor="text1"/>
              </w:rPr>
            </w:pPr>
            <w:r>
              <w:rPr>
                <w:rFonts w:ascii="Arial" w:hAnsi="Arial" w:cs="Arial"/>
                <w:color w:val="000000" w:themeColor="text1"/>
              </w:rPr>
              <w:t>60 min walk</w:t>
            </w:r>
          </w:p>
        </w:tc>
        <w:tc>
          <w:tcPr>
            <w:tcW w:w="1711" w:type="dxa"/>
            <w:shd w:val="clear" w:color="auto" w:fill="DEEAF6" w:themeFill="accent5" w:themeFillTint="33"/>
            <w:vAlign w:val="center"/>
          </w:tcPr>
          <w:p w14:paraId="0FC7B6B6" w14:textId="77777777" w:rsidR="00063687" w:rsidRDefault="00063687" w:rsidP="00063687">
            <w:pPr>
              <w:spacing w:line="276" w:lineRule="auto"/>
              <w:jc w:val="center"/>
              <w:rPr>
                <w:rFonts w:ascii="Arial" w:hAnsi="Arial" w:cs="Arial"/>
                <w:color w:val="000000" w:themeColor="text1"/>
              </w:rPr>
            </w:pPr>
          </w:p>
          <w:p w14:paraId="3E7BEB04" w14:textId="7BB92F1E" w:rsidR="00063687" w:rsidRDefault="00063687" w:rsidP="00063687">
            <w:pPr>
              <w:spacing w:line="276" w:lineRule="auto"/>
              <w:jc w:val="center"/>
              <w:rPr>
                <w:rFonts w:ascii="Arial" w:hAnsi="Arial" w:cs="Arial"/>
                <w:color w:val="000000" w:themeColor="text1"/>
              </w:rPr>
            </w:pPr>
            <w:r>
              <w:rPr>
                <w:rFonts w:ascii="Arial" w:hAnsi="Arial" w:cs="Arial"/>
                <w:color w:val="000000" w:themeColor="text1"/>
              </w:rPr>
              <w:t>60 min walk</w:t>
            </w:r>
          </w:p>
        </w:tc>
        <w:tc>
          <w:tcPr>
            <w:tcW w:w="2410" w:type="dxa"/>
            <w:shd w:val="clear" w:color="auto" w:fill="BDD6EE" w:themeFill="accent5" w:themeFillTint="66"/>
            <w:vAlign w:val="center"/>
          </w:tcPr>
          <w:p w14:paraId="32F3CE9F" w14:textId="4165B325" w:rsidR="00063687" w:rsidRDefault="00063687" w:rsidP="00063687">
            <w:pPr>
              <w:spacing w:line="276" w:lineRule="auto"/>
              <w:jc w:val="center"/>
              <w:rPr>
                <w:rFonts w:ascii="Arial" w:hAnsi="Arial" w:cs="Arial"/>
                <w:color w:val="000000" w:themeColor="text1"/>
              </w:rPr>
            </w:pPr>
            <w:r>
              <w:rPr>
                <w:rFonts w:ascii="Arial" w:hAnsi="Arial" w:cs="Arial"/>
                <w:color w:val="000000" w:themeColor="text1"/>
              </w:rPr>
              <w:t>Participants encouraged to walk independently</w:t>
            </w:r>
          </w:p>
        </w:tc>
      </w:tr>
      <w:tr w:rsidR="00301330" w14:paraId="68DB746A" w14:textId="77777777" w:rsidTr="00301330">
        <w:tc>
          <w:tcPr>
            <w:tcW w:w="1511" w:type="dxa"/>
            <w:shd w:val="clear" w:color="auto" w:fill="DEEAF6" w:themeFill="accent5" w:themeFillTint="33"/>
            <w:vAlign w:val="center"/>
          </w:tcPr>
          <w:p w14:paraId="6EFE8E12" w14:textId="23645F9C" w:rsidR="00301330" w:rsidRDefault="00301330" w:rsidP="00301330">
            <w:pPr>
              <w:spacing w:line="276" w:lineRule="auto"/>
              <w:jc w:val="center"/>
              <w:rPr>
                <w:rFonts w:ascii="Arial" w:hAnsi="Arial" w:cs="Arial"/>
                <w:color w:val="000000" w:themeColor="text1"/>
              </w:rPr>
            </w:pPr>
            <w:r>
              <w:rPr>
                <w:rFonts w:ascii="Arial" w:hAnsi="Arial" w:cs="Arial"/>
                <w:color w:val="000000" w:themeColor="text1"/>
              </w:rPr>
              <w:lastRenderedPageBreak/>
              <w:t>Week 8</w:t>
            </w:r>
          </w:p>
        </w:tc>
        <w:tc>
          <w:tcPr>
            <w:tcW w:w="3723" w:type="dxa"/>
            <w:shd w:val="clear" w:color="auto" w:fill="DEEAF6" w:themeFill="accent5" w:themeFillTint="33"/>
            <w:vAlign w:val="center"/>
          </w:tcPr>
          <w:p w14:paraId="44B1AE21" w14:textId="77777777" w:rsidR="00301330" w:rsidRPr="00063687" w:rsidRDefault="00301330" w:rsidP="00301330">
            <w:pPr>
              <w:spacing w:line="276" w:lineRule="auto"/>
              <w:jc w:val="center"/>
              <w:rPr>
                <w:rFonts w:ascii="Arial" w:hAnsi="Arial" w:cs="Arial"/>
                <w:i/>
                <w:color w:val="000000" w:themeColor="text1"/>
              </w:rPr>
            </w:pPr>
            <w:r>
              <w:rPr>
                <w:rFonts w:ascii="Arial" w:hAnsi="Arial" w:cs="Arial"/>
                <w:i/>
                <w:color w:val="000000" w:themeColor="text1"/>
              </w:rPr>
              <w:t>Strength Training</w:t>
            </w:r>
          </w:p>
          <w:p w14:paraId="369D35EF" w14:textId="6F71FC21" w:rsidR="00301330" w:rsidRDefault="00301330" w:rsidP="00301330">
            <w:pPr>
              <w:spacing w:line="276" w:lineRule="auto"/>
              <w:jc w:val="center"/>
              <w:rPr>
                <w:rFonts w:ascii="Arial" w:hAnsi="Arial" w:cs="Arial"/>
                <w:color w:val="000000" w:themeColor="text1"/>
              </w:rPr>
            </w:pPr>
            <w:r>
              <w:rPr>
                <w:rFonts w:ascii="Arial" w:hAnsi="Arial" w:cs="Arial"/>
                <w:color w:val="000000" w:themeColor="text1"/>
              </w:rPr>
              <w:t>60 min walk</w:t>
            </w:r>
          </w:p>
        </w:tc>
        <w:tc>
          <w:tcPr>
            <w:tcW w:w="1711" w:type="dxa"/>
            <w:shd w:val="clear" w:color="auto" w:fill="DEEAF6" w:themeFill="accent5" w:themeFillTint="33"/>
            <w:vAlign w:val="center"/>
          </w:tcPr>
          <w:p w14:paraId="4B5C79A5" w14:textId="77777777" w:rsidR="00301330" w:rsidRDefault="00301330" w:rsidP="00301330">
            <w:pPr>
              <w:spacing w:line="276" w:lineRule="auto"/>
              <w:jc w:val="center"/>
              <w:rPr>
                <w:rFonts w:ascii="Arial" w:hAnsi="Arial" w:cs="Arial"/>
                <w:color w:val="000000" w:themeColor="text1"/>
              </w:rPr>
            </w:pPr>
          </w:p>
          <w:p w14:paraId="482AF328" w14:textId="35B39C1D" w:rsidR="00301330" w:rsidRDefault="00301330" w:rsidP="00301330">
            <w:pPr>
              <w:spacing w:line="276" w:lineRule="auto"/>
              <w:jc w:val="center"/>
              <w:rPr>
                <w:rFonts w:ascii="Arial" w:hAnsi="Arial" w:cs="Arial"/>
                <w:color w:val="000000" w:themeColor="text1"/>
              </w:rPr>
            </w:pPr>
            <w:r>
              <w:rPr>
                <w:rFonts w:ascii="Arial" w:hAnsi="Arial" w:cs="Arial"/>
                <w:color w:val="000000" w:themeColor="text1"/>
              </w:rPr>
              <w:t>60 min walk</w:t>
            </w:r>
          </w:p>
        </w:tc>
        <w:tc>
          <w:tcPr>
            <w:tcW w:w="2410" w:type="dxa"/>
            <w:shd w:val="clear" w:color="auto" w:fill="FFE599" w:themeFill="accent4" w:themeFillTint="66"/>
            <w:vAlign w:val="center"/>
          </w:tcPr>
          <w:p w14:paraId="47018F4F" w14:textId="77777777" w:rsidR="00301330" w:rsidRDefault="00301330" w:rsidP="00301330">
            <w:pPr>
              <w:spacing w:line="276" w:lineRule="auto"/>
              <w:jc w:val="center"/>
              <w:rPr>
                <w:rFonts w:ascii="Arial" w:hAnsi="Arial" w:cs="Arial"/>
                <w:color w:val="000000" w:themeColor="text1"/>
              </w:rPr>
            </w:pPr>
            <w:r>
              <w:rPr>
                <w:rFonts w:ascii="Arial" w:hAnsi="Arial" w:cs="Arial"/>
                <w:color w:val="000000" w:themeColor="text1"/>
              </w:rPr>
              <w:t xml:space="preserve">ASSESSMENT DAY </w:t>
            </w:r>
          </w:p>
          <w:p w14:paraId="32BF1D80" w14:textId="21E3A2B7" w:rsidR="00301330" w:rsidRDefault="00301330" w:rsidP="00301330">
            <w:pPr>
              <w:spacing w:line="276" w:lineRule="auto"/>
              <w:jc w:val="center"/>
              <w:rPr>
                <w:rFonts w:ascii="Arial" w:hAnsi="Arial" w:cs="Arial"/>
                <w:color w:val="000000" w:themeColor="text1"/>
              </w:rPr>
            </w:pPr>
            <w:r>
              <w:rPr>
                <w:rFonts w:ascii="Arial" w:hAnsi="Arial" w:cs="Arial"/>
                <w:color w:val="000000" w:themeColor="text1"/>
              </w:rPr>
              <w:t>(PT and MD attend)</w:t>
            </w:r>
          </w:p>
        </w:tc>
      </w:tr>
      <w:tr w:rsidR="00301330" w14:paraId="14EDCEF7" w14:textId="77777777" w:rsidTr="00301330">
        <w:tc>
          <w:tcPr>
            <w:tcW w:w="1511" w:type="dxa"/>
            <w:shd w:val="clear" w:color="auto" w:fill="E2EFD9" w:themeFill="accent6" w:themeFillTint="33"/>
            <w:vAlign w:val="center"/>
          </w:tcPr>
          <w:p w14:paraId="5E509A2D" w14:textId="5CB4B232" w:rsidR="00301330" w:rsidRDefault="00301330" w:rsidP="00301330">
            <w:pPr>
              <w:spacing w:line="276" w:lineRule="auto"/>
              <w:jc w:val="center"/>
              <w:rPr>
                <w:rFonts w:ascii="Arial" w:hAnsi="Arial" w:cs="Arial"/>
                <w:color w:val="000000" w:themeColor="text1"/>
              </w:rPr>
            </w:pPr>
            <w:r>
              <w:rPr>
                <w:rFonts w:ascii="Arial" w:hAnsi="Arial" w:cs="Arial"/>
                <w:color w:val="000000" w:themeColor="text1"/>
              </w:rPr>
              <w:t>Week 9</w:t>
            </w:r>
          </w:p>
        </w:tc>
        <w:tc>
          <w:tcPr>
            <w:tcW w:w="3723" w:type="dxa"/>
            <w:shd w:val="clear" w:color="auto" w:fill="E2EFD9" w:themeFill="accent6" w:themeFillTint="33"/>
            <w:vAlign w:val="center"/>
          </w:tcPr>
          <w:p w14:paraId="45F610C9" w14:textId="77777777" w:rsidR="00301330" w:rsidRPr="00063687" w:rsidRDefault="00301330" w:rsidP="00301330">
            <w:pPr>
              <w:spacing w:line="276" w:lineRule="auto"/>
              <w:jc w:val="center"/>
              <w:rPr>
                <w:rFonts w:ascii="Arial" w:hAnsi="Arial" w:cs="Arial"/>
                <w:i/>
                <w:color w:val="000000" w:themeColor="text1"/>
              </w:rPr>
            </w:pPr>
            <w:r>
              <w:rPr>
                <w:rFonts w:ascii="Arial" w:hAnsi="Arial" w:cs="Arial"/>
                <w:i/>
                <w:color w:val="000000" w:themeColor="text1"/>
              </w:rPr>
              <w:t>Preparing Healthy Meals</w:t>
            </w:r>
          </w:p>
          <w:p w14:paraId="55379041" w14:textId="0BEED514" w:rsidR="00301330" w:rsidRDefault="00301330" w:rsidP="00301330">
            <w:pPr>
              <w:spacing w:line="276" w:lineRule="auto"/>
              <w:jc w:val="center"/>
              <w:rPr>
                <w:rFonts w:ascii="Arial" w:hAnsi="Arial" w:cs="Arial"/>
                <w:color w:val="000000" w:themeColor="text1"/>
              </w:rPr>
            </w:pPr>
            <w:r>
              <w:rPr>
                <w:rFonts w:ascii="Arial" w:hAnsi="Arial" w:cs="Arial"/>
                <w:color w:val="000000" w:themeColor="text1"/>
              </w:rPr>
              <w:t>60 min walk</w:t>
            </w:r>
          </w:p>
        </w:tc>
        <w:tc>
          <w:tcPr>
            <w:tcW w:w="4121" w:type="dxa"/>
            <w:gridSpan w:val="2"/>
            <w:shd w:val="clear" w:color="auto" w:fill="C5E0B3" w:themeFill="accent6" w:themeFillTint="66"/>
            <w:vAlign w:val="center"/>
          </w:tcPr>
          <w:p w14:paraId="2D8CFDB5" w14:textId="6988D6E0" w:rsidR="00301330" w:rsidRDefault="00301330" w:rsidP="00301330">
            <w:pPr>
              <w:spacing w:line="276" w:lineRule="auto"/>
              <w:jc w:val="center"/>
              <w:rPr>
                <w:rFonts w:ascii="Arial" w:hAnsi="Arial" w:cs="Arial"/>
                <w:color w:val="000000" w:themeColor="text1"/>
              </w:rPr>
            </w:pPr>
            <w:r>
              <w:rPr>
                <w:rFonts w:ascii="Arial" w:hAnsi="Arial" w:cs="Arial"/>
                <w:color w:val="000000" w:themeColor="text1"/>
              </w:rPr>
              <w:t>Participants encouraged to walk independently</w:t>
            </w:r>
          </w:p>
        </w:tc>
      </w:tr>
      <w:tr w:rsidR="00301330" w14:paraId="292F351C" w14:textId="77777777" w:rsidTr="00301330">
        <w:tc>
          <w:tcPr>
            <w:tcW w:w="1511" w:type="dxa"/>
            <w:shd w:val="clear" w:color="auto" w:fill="E2EFD9" w:themeFill="accent6" w:themeFillTint="33"/>
            <w:vAlign w:val="center"/>
          </w:tcPr>
          <w:p w14:paraId="65B15971" w14:textId="7F3CE4C5" w:rsidR="00301330" w:rsidRDefault="00301330" w:rsidP="00301330">
            <w:pPr>
              <w:spacing w:line="276" w:lineRule="auto"/>
              <w:jc w:val="center"/>
              <w:rPr>
                <w:rFonts w:ascii="Arial" w:hAnsi="Arial" w:cs="Arial"/>
                <w:color w:val="000000" w:themeColor="text1"/>
              </w:rPr>
            </w:pPr>
            <w:r>
              <w:rPr>
                <w:rFonts w:ascii="Arial" w:hAnsi="Arial" w:cs="Arial"/>
                <w:color w:val="000000" w:themeColor="text1"/>
              </w:rPr>
              <w:t>Week 10</w:t>
            </w:r>
          </w:p>
        </w:tc>
        <w:tc>
          <w:tcPr>
            <w:tcW w:w="3723" w:type="dxa"/>
            <w:shd w:val="clear" w:color="auto" w:fill="E2EFD9" w:themeFill="accent6" w:themeFillTint="33"/>
            <w:vAlign w:val="center"/>
          </w:tcPr>
          <w:p w14:paraId="61069215" w14:textId="77777777" w:rsidR="00301330" w:rsidRPr="00063687" w:rsidRDefault="00301330" w:rsidP="00301330">
            <w:pPr>
              <w:spacing w:line="276" w:lineRule="auto"/>
              <w:jc w:val="center"/>
              <w:rPr>
                <w:rFonts w:ascii="Arial" w:hAnsi="Arial" w:cs="Arial"/>
                <w:i/>
                <w:color w:val="000000" w:themeColor="text1"/>
              </w:rPr>
            </w:pPr>
            <w:r>
              <w:rPr>
                <w:rFonts w:ascii="Arial" w:hAnsi="Arial" w:cs="Arial"/>
                <w:i/>
                <w:color w:val="000000" w:themeColor="text1"/>
              </w:rPr>
              <w:t>Budget Friendly Healthy Eating</w:t>
            </w:r>
          </w:p>
          <w:p w14:paraId="5FC11F63" w14:textId="541F1561" w:rsidR="00301330" w:rsidRDefault="00301330" w:rsidP="00301330">
            <w:pPr>
              <w:spacing w:line="276" w:lineRule="auto"/>
              <w:jc w:val="center"/>
              <w:rPr>
                <w:rFonts w:ascii="Arial" w:hAnsi="Arial" w:cs="Arial"/>
                <w:color w:val="000000" w:themeColor="text1"/>
              </w:rPr>
            </w:pPr>
            <w:r>
              <w:rPr>
                <w:rFonts w:ascii="Arial" w:hAnsi="Arial" w:cs="Arial"/>
                <w:color w:val="000000" w:themeColor="text1"/>
              </w:rPr>
              <w:t>60 min walk</w:t>
            </w:r>
          </w:p>
        </w:tc>
        <w:tc>
          <w:tcPr>
            <w:tcW w:w="4121" w:type="dxa"/>
            <w:gridSpan w:val="2"/>
            <w:shd w:val="clear" w:color="auto" w:fill="C5E0B3" w:themeFill="accent6" w:themeFillTint="66"/>
            <w:vAlign w:val="center"/>
          </w:tcPr>
          <w:p w14:paraId="76229EB3" w14:textId="37F17453" w:rsidR="00301330" w:rsidRDefault="00301330" w:rsidP="00301330">
            <w:pPr>
              <w:spacing w:line="276" w:lineRule="auto"/>
              <w:jc w:val="center"/>
              <w:rPr>
                <w:rFonts w:ascii="Arial" w:hAnsi="Arial" w:cs="Arial"/>
                <w:color w:val="000000" w:themeColor="text1"/>
              </w:rPr>
            </w:pPr>
            <w:r>
              <w:rPr>
                <w:rFonts w:ascii="Arial" w:hAnsi="Arial" w:cs="Arial"/>
                <w:color w:val="000000" w:themeColor="text1"/>
              </w:rPr>
              <w:t>Participants encouraged to walk independently</w:t>
            </w:r>
          </w:p>
        </w:tc>
      </w:tr>
      <w:tr w:rsidR="00301330" w14:paraId="64D239C3" w14:textId="77777777" w:rsidTr="00301330">
        <w:tc>
          <w:tcPr>
            <w:tcW w:w="1511" w:type="dxa"/>
            <w:shd w:val="clear" w:color="auto" w:fill="E2EFD9" w:themeFill="accent6" w:themeFillTint="33"/>
            <w:vAlign w:val="center"/>
          </w:tcPr>
          <w:p w14:paraId="56ED462D" w14:textId="07BABB6E" w:rsidR="00301330" w:rsidRDefault="00301330" w:rsidP="00301330">
            <w:pPr>
              <w:spacing w:line="276" w:lineRule="auto"/>
              <w:jc w:val="center"/>
              <w:rPr>
                <w:rFonts w:ascii="Arial" w:hAnsi="Arial" w:cs="Arial"/>
                <w:color w:val="000000" w:themeColor="text1"/>
              </w:rPr>
            </w:pPr>
            <w:r>
              <w:rPr>
                <w:rFonts w:ascii="Arial" w:hAnsi="Arial" w:cs="Arial"/>
                <w:color w:val="000000" w:themeColor="text1"/>
              </w:rPr>
              <w:t>Week 11</w:t>
            </w:r>
          </w:p>
        </w:tc>
        <w:tc>
          <w:tcPr>
            <w:tcW w:w="3723" w:type="dxa"/>
            <w:shd w:val="clear" w:color="auto" w:fill="E2EFD9" w:themeFill="accent6" w:themeFillTint="33"/>
            <w:vAlign w:val="center"/>
          </w:tcPr>
          <w:p w14:paraId="327458B6" w14:textId="77777777" w:rsidR="00301330" w:rsidRPr="00063687" w:rsidRDefault="00301330" w:rsidP="00301330">
            <w:pPr>
              <w:spacing w:line="276" w:lineRule="auto"/>
              <w:jc w:val="center"/>
              <w:rPr>
                <w:rFonts w:ascii="Arial" w:hAnsi="Arial" w:cs="Arial"/>
                <w:i/>
                <w:color w:val="000000" w:themeColor="text1"/>
              </w:rPr>
            </w:pPr>
            <w:r>
              <w:rPr>
                <w:rFonts w:ascii="Arial" w:hAnsi="Arial" w:cs="Arial"/>
                <w:i/>
                <w:color w:val="000000" w:themeColor="text1"/>
              </w:rPr>
              <w:t>Smoking and Substance Abuse</w:t>
            </w:r>
          </w:p>
          <w:p w14:paraId="67AA2009" w14:textId="347BFB2F" w:rsidR="00301330" w:rsidRDefault="00301330" w:rsidP="00301330">
            <w:pPr>
              <w:spacing w:line="276" w:lineRule="auto"/>
              <w:jc w:val="center"/>
              <w:rPr>
                <w:rFonts w:ascii="Arial" w:hAnsi="Arial" w:cs="Arial"/>
                <w:color w:val="000000" w:themeColor="text1"/>
              </w:rPr>
            </w:pPr>
            <w:r>
              <w:rPr>
                <w:rFonts w:ascii="Arial" w:hAnsi="Arial" w:cs="Arial"/>
                <w:color w:val="000000" w:themeColor="text1"/>
              </w:rPr>
              <w:t>60 min walk</w:t>
            </w:r>
          </w:p>
        </w:tc>
        <w:tc>
          <w:tcPr>
            <w:tcW w:w="4121" w:type="dxa"/>
            <w:gridSpan w:val="2"/>
            <w:shd w:val="clear" w:color="auto" w:fill="C5E0B3" w:themeFill="accent6" w:themeFillTint="66"/>
            <w:vAlign w:val="center"/>
          </w:tcPr>
          <w:p w14:paraId="6D51590D" w14:textId="26366F56" w:rsidR="00301330" w:rsidRDefault="00301330" w:rsidP="00301330">
            <w:pPr>
              <w:spacing w:line="276" w:lineRule="auto"/>
              <w:jc w:val="center"/>
              <w:rPr>
                <w:rFonts w:ascii="Arial" w:hAnsi="Arial" w:cs="Arial"/>
                <w:color w:val="000000" w:themeColor="text1"/>
              </w:rPr>
            </w:pPr>
            <w:r>
              <w:rPr>
                <w:rFonts w:ascii="Arial" w:hAnsi="Arial" w:cs="Arial"/>
                <w:color w:val="000000" w:themeColor="text1"/>
              </w:rPr>
              <w:t>Participants encouraged to walk independently</w:t>
            </w:r>
          </w:p>
        </w:tc>
      </w:tr>
      <w:tr w:rsidR="00301330" w14:paraId="564BF28B" w14:textId="77777777" w:rsidTr="00301330">
        <w:tc>
          <w:tcPr>
            <w:tcW w:w="1511" w:type="dxa"/>
            <w:shd w:val="clear" w:color="auto" w:fill="E2EFD9" w:themeFill="accent6" w:themeFillTint="33"/>
            <w:vAlign w:val="center"/>
          </w:tcPr>
          <w:p w14:paraId="3A9A4953" w14:textId="0870226C" w:rsidR="00301330" w:rsidRDefault="00301330" w:rsidP="00301330">
            <w:pPr>
              <w:spacing w:line="276" w:lineRule="auto"/>
              <w:jc w:val="center"/>
              <w:rPr>
                <w:rFonts w:ascii="Arial" w:hAnsi="Arial" w:cs="Arial"/>
                <w:color w:val="000000" w:themeColor="text1"/>
              </w:rPr>
            </w:pPr>
            <w:r>
              <w:rPr>
                <w:rFonts w:ascii="Arial" w:hAnsi="Arial" w:cs="Arial"/>
                <w:color w:val="000000" w:themeColor="text1"/>
              </w:rPr>
              <w:t>Week 12</w:t>
            </w:r>
          </w:p>
        </w:tc>
        <w:tc>
          <w:tcPr>
            <w:tcW w:w="3723" w:type="dxa"/>
            <w:shd w:val="clear" w:color="auto" w:fill="E2EFD9" w:themeFill="accent6" w:themeFillTint="33"/>
            <w:vAlign w:val="center"/>
          </w:tcPr>
          <w:p w14:paraId="2780A0F2" w14:textId="69282BC7" w:rsidR="00301330" w:rsidRPr="00063687" w:rsidRDefault="00301330" w:rsidP="00301330">
            <w:pPr>
              <w:spacing w:line="276" w:lineRule="auto"/>
              <w:jc w:val="center"/>
              <w:rPr>
                <w:rFonts w:ascii="Arial" w:hAnsi="Arial" w:cs="Arial"/>
                <w:i/>
                <w:color w:val="000000" w:themeColor="text1"/>
              </w:rPr>
            </w:pPr>
            <w:r>
              <w:rPr>
                <w:rFonts w:ascii="Arial" w:hAnsi="Arial" w:cs="Arial"/>
                <w:i/>
                <w:color w:val="000000" w:themeColor="text1"/>
              </w:rPr>
              <w:t>Review and Goal Setting</w:t>
            </w:r>
          </w:p>
          <w:p w14:paraId="4BFBD955" w14:textId="0CAB1957" w:rsidR="00301330" w:rsidRDefault="00301330" w:rsidP="00301330">
            <w:pPr>
              <w:spacing w:line="276" w:lineRule="auto"/>
              <w:jc w:val="center"/>
              <w:rPr>
                <w:rFonts w:ascii="Arial" w:hAnsi="Arial" w:cs="Arial"/>
                <w:color w:val="000000" w:themeColor="text1"/>
              </w:rPr>
            </w:pPr>
            <w:r>
              <w:rPr>
                <w:rFonts w:ascii="Arial" w:hAnsi="Arial" w:cs="Arial"/>
                <w:color w:val="000000" w:themeColor="text1"/>
              </w:rPr>
              <w:t>60 min walk</w:t>
            </w:r>
          </w:p>
        </w:tc>
        <w:tc>
          <w:tcPr>
            <w:tcW w:w="1711" w:type="dxa"/>
            <w:shd w:val="clear" w:color="auto" w:fill="C5E0B3" w:themeFill="accent6" w:themeFillTint="66"/>
            <w:vAlign w:val="center"/>
          </w:tcPr>
          <w:p w14:paraId="17CD661A" w14:textId="5E3B92C2" w:rsidR="00301330" w:rsidRDefault="00301330" w:rsidP="00301330">
            <w:pPr>
              <w:spacing w:line="276" w:lineRule="auto"/>
              <w:jc w:val="center"/>
              <w:rPr>
                <w:rFonts w:ascii="Arial" w:hAnsi="Arial" w:cs="Arial"/>
                <w:color w:val="000000" w:themeColor="text1"/>
              </w:rPr>
            </w:pPr>
            <w:r>
              <w:rPr>
                <w:rFonts w:ascii="Arial" w:hAnsi="Arial" w:cs="Arial"/>
                <w:color w:val="000000" w:themeColor="text1"/>
              </w:rPr>
              <w:t>Participants encouraged to walk independently</w:t>
            </w:r>
          </w:p>
        </w:tc>
        <w:tc>
          <w:tcPr>
            <w:tcW w:w="2410" w:type="dxa"/>
            <w:shd w:val="clear" w:color="auto" w:fill="FFE599" w:themeFill="accent4" w:themeFillTint="66"/>
            <w:vAlign w:val="center"/>
          </w:tcPr>
          <w:p w14:paraId="46961EBA" w14:textId="77777777" w:rsidR="00301330" w:rsidRDefault="00301330" w:rsidP="00301330">
            <w:pPr>
              <w:spacing w:line="276" w:lineRule="auto"/>
              <w:jc w:val="center"/>
              <w:rPr>
                <w:rFonts w:ascii="Arial" w:hAnsi="Arial" w:cs="Arial"/>
                <w:color w:val="000000" w:themeColor="text1"/>
              </w:rPr>
            </w:pPr>
            <w:r>
              <w:rPr>
                <w:rFonts w:ascii="Arial" w:hAnsi="Arial" w:cs="Arial"/>
                <w:color w:val="000000" w:themeColor="text1"/>
              </w:rPr>
              <w:t xml:space="preserve">ASSESSMENT DAY </w:t>
            </w:r>
          </w:p>
          <w:p w14:paraId="3DD2AD37" w14:textId="62C8A606" w:rsidR="00301330" w:rsidRDefault="00301330" w:rsidP="00301330">
            <w:pPr>
              <w:spacing w:line="276" w:lineRule="auto"/>
              <w:jc w:val="center"/>
              <w:rPr>
                <w:rFonts w:ascii="Arial" w:hAnsi="Arial" w:cs="Arial"/>
                <w:color w:val="000000" w:themeColor="text1"/>
              </w:rPr>
            </w:pPr>
            <w:r>
              <w:rPr>
                <w:rFonts w:ascii="Arial" w:hAnsi="Arial" w:cs="Arial"/>
                <w:color w:val="000000" w:themeColor="text1"/>
              </w:rPr>
              <w:t>(PT and MD attend)</w:t>
            </w:r>
          </w:p>
        </w:tc>
      </w:tr>
      <w:tr w:rsidR="00301330" w14:paraId="61BEB4D9" w14:textId="77777777" w:rsidTr="00301330">
        <w:trPr>
          <w:trHeight w:val="728"/>
        </w:trPr>
        <w:tc>
          <w:tcPr>
            <w:tcW w:w="1511" w:type="dxa"/>
            <w:shd w:val="clear" w:color="auto" w:fill="D8CEFF"/>
            <w:vAlign w:val="center"/>
          </w:tcPr>
          <w:p w14:paraId="0F1AC34C" w14:textId="4B57CBA5" w:rsidR="00301330" w:rsidRDefault="00301330" w:rsidP="00301330">
            <w:pPr>
              <w:spacing w:line="276" w:lineRule="auto"/>
              <w:jc w:val="center"/>
              <w:rPr>
                <w:rFonts w:ascii="Arial" w:hAnsi="Arial" w:cs="Arial"/>
                <w:color w:val="000000" w:themeColor="text1"/>
              </w:rPr>
            </w:pPr>
            <w:r>
              <w:rPr>
                <w:rFonts w:ascii="Arial" w:hAnsi="Arial" w:cs="Arial"/>
                <w:color w:val="000000" w:themeColor="text1"/>
              </w:rPr>
              <w:t>Week 13-15</w:t>
            </w:r>
          </w:p>
        </w:tc>
        <w:tc>
          <w:tcPr>
            <w:tcW w:w="7844" w:type="dxa"/>
            <w:gridSpan w:val="3"/>
            <w:shd w:val="clear" w:color="auto" w:fill="D8CEFF"/>
            <w:vAlign w:val="center"/>
          </w:tcPr>
          <w:p w14:paraId="7930D740" w14:textId="6575090B" w:rsidR="00301330" w:rsidRDefault="00301330" w:rsidP="00301330">
            <w:pPr>
              <w:spacing w:line="276" w:lineRule="auto"/>
              <w:jc w:val="center"/>
              <w:rPr>
                <w:rFonts w:ascii="Arial" w:hAnsi="Arial" w:cs="Arial"/>
                <w:color w:val="000000" w:themeColor="text1"/>
              </w:rPr>
            </w:pPr>
            <w:r>
              <w:rPr>
                <w:rFonts w:ascii="Arial" w:hAnsi="Arial" w:cs="Arial"/>
                <w:color w:val="000000" w:themeColor="text1"/>
              </w:rPr>
              <w:t>Participants encouraged to walk independently</w:t>
            </w:r>
          </w:p>
        </w:tc>
      </w:tr>
      <w:tr w:rsidR="00301330" w14:paraId="7BD88E3E" w14:textId="77777777" w:rsidTr="00301330">
        <w:tc>
          <w:tcPr>
            <w:tcW w:w="1511" w:type="dxa"/>
            <w:shd w:val="clear" w:color="auto" w:fill="D8CEFF"/>
            <w:vAlign w:val="center"/>
          </w:tcPr>
          <w:p w14:paraId="15615EDE" w14:textId="0AF632C4" w:rsidR="00301330" w:rsidRDefault="00301330" w:rsidP="00301330">
            <w:pPr>
              <w:spacing w:line="276" w:lineRule="auto"/>
              <w:jc w:val="center"/>
              <w:rPr>
                <w:rFonts w:ascii="Arial" w:hAnsi="Arial" w:cs="Arial"/>
                <w:color w:val="000000" w:themeColor="text1"/>
              </w:rPr>
            </w:pPr>
            <w:r>
              <w:rPr>
                <w:rFonts w:ascii="Arial" w:hAnsi="Arial" w:cs="Arial"/>
                <w:color w:val="000000" w:themeColor="text1"/>
              </w:rPr>
              <w:t>Week 16</w:t>
            </w:r>
          </w:p>
        </w:tc>
        <w:tc>
          <w:tcPr>
            <w:tcW w:w="5434" w:type="dxa"/>
            <w:gridSpan w:val="2"/>
            <w:shd w:val="clear" w:color="auto" w:fill="D8CEFF"/>
            <w:vAlign w:val="center"/>
          </w:tcPr>
          <w:p w14:paraId="1EC05D05" w14:textId="6EED64B1" w:rsidR="00301330" w:rsidRDefault="00301330" w:rsidP="00301330">
            <w:pPr>
              <w:spacing w:line="276" w:lineRule="auto"/>
              <w:jc w:val="center"/>
              <w:rPr>
                <w:rFonts w:ascii="Arial" w:hAnsi="Arial" w:cs="Arial"/>
                <w:color w:val="000000" w:themeColor="text1"/>
              </w:rPr>
            </w:pPr>
            <w:r>
              <w:rPr>
                <w:rFonts w:ascii="Arial" w:hAnsi="Arial" w:cs="Arial"/>
                <w:color w:val="000000" w:themeColor="text1"/>
              </w:rPr>
              <w:t>Participants encouraged to walk independently</w:t>
            </w:r>
          </w:p>
        </w:tc>
        <w:tc>
          <w:tcPr>
            <w:tcW w:w="2410" w:type="dxa"/>
            <w:shd w:val="clear" w:color="auto" w:fill="FFE599" w:themeFill="accent4" w:themeFillTint="66"/>
            <w:vAlign w:val="center"/>
          </w:tcPr>
          <w:p w14:paraId="54BD43A2" w14:textId="4FD037E4" w:rsidR="00301330" w:rsidRDefault="00301330" w:rsidP="00301330">
            <w:pPr>
              <w:spacing w:line="276" w:lineRule="auto"/>
              <w:jc w:val="center"/>
              <w:rPr>
                <w:rFonts w:ascii="Arial" w:hAnsi="Arial" w:cs="Arial"/>
                <w:color w:val="000000" w:themeColor="text1"/>
              </w:rPr>
            </w:pPr>
            <w:r>
              <w:rPr>
                <w:rFonts w:ascii="Arial" w:hAnsi="Arial" w:cs="Arial"/>
                <w:color w:val="000000" w:themeColor="text1"/>
              </w:rPr>
              <w:t>FINAL ASSESSMENT DAY (PT and MD attend)</w:t>
            </w:r>
          </w:p>
        </w:tc>
      </w:tr>
    </w:tbl>
    <w:p w14:paraId="4366F46B" w14:textId="77777777" w:rsidR="00D75784" w:rsidRPr="00B45CAB" w:rsidRDefault="00D75784" w:rsidP="00D75784">
      <w:pPr>
        <w:spacing w:line="360" w:lineRule="auto"/>
        <w:rPr>
          <w:rFonts w:ascii="Arial" w:hAnsi="Arial" w:cs="Arial"/>
          <w:color w:val="000000" w:themeColor="text1"/>
        </w:rPr>
      </w:pPr>
    </w:p>
    <w:p w14:paraId="2A11F220" w14:textId="77777777" w:rsidR="002327E7" w:rsidRDefault="0097493D" w:rsidP="002327E7">
      <w:pPr>
        <w:pStyle w:val="Heading1"/>
        <w:rPr>
          <w:b w:val="0"/>
          <w:i/>
          <w:color w:val="000000" w:themeColor="text1"/>
        </w:rPr>
      </w:pPr>
      <w:r w:rsidRPr="00D95401">
        <w:t>Program Evaluation</w:t>
      </w:r>
      <w:r w:rsidR="0043403F">
        <w:rPr>
          <w:color w:val="000000" w:themeColor="text1"/>
        </w:rPr>
        <w:t xml:space="preserve"> </w:t>
      </w:r>
    </w:p>
    <w:p w14:paraId="4E271395" w14:textId="1A898DCF" w:rsidR="0097493D" w:rsidRPr="002327E7" w:rsidRDefault="001C79E3" w:rsidP="002327E7">
      <w:pPr>
        <w:pStyle w:val="Heading1"/>
        <w:numPr>
          <w:ilvl w:val="0"/>
          <w:numId w:val="8"/>
        </w:numPr>
        <w:ind w:left="540"/>
        <w:rPr>
          <w:color w:val="000000" w:themeColor="text1" w:themeShade="40"/>
        </w:rPr>
      </w:pPr>
      <w:r w:rsidRPr="002327E7">
        <w:rPr>
          <w:color w:val="000000" w:themeColor="text1" w:themeShade="40"/>
        </w:rPr>
        <w:t>Participant Outcomes</w:t>
      </w:r>
    </w:p>
    <w:p w14:paraId="1AE0CED2" w14:textId="7686EA1B" w:rsidR="003C73BA" w:rsidRPr="001C79E3" w:rsidRDefault="00AD7D0A" w:rsidP="00434188">
      <w:pPr>
        <w:spacing w:line="480" w:lineRule="auto"/>
        <w:rPr>
          <w:rFonts w:ascii="Arial" w:hAnsi="Arial" w:cs="Arial"/>
        </w:rPr>
      </w:pPr>
      <w:r w:rsidRPr="001C79E3">
        <w:rPr>
          <w:rFonts w:ascii="Arial" w:hAnsi="Arial" w:cs="Arial"/>
        </w:rPr>
        <w:tab/>
      </w:r>
      <w:r w:rsidRPr="001C79E3">
        <w:rPr>
          <w:rFonts w:ascii="Arial" w:hAnsi="Arial" w:cs="Arial"/>
          <w:color w:val="000000" w:themeColor="text1"/>
        </w:rPr>
        <w:t xml:space="preserve">This program will utilize not only the outcome measures described above, but participants will also be provided with weekly logs, example in Appendix </w:t>
      </w:r>
      <w:r w:rsidR="00BB7E89" w:rsidRPr="001C79E3">
        <w:rPr>
          <w:rFonts w:ascii="Arial" w:hAnsi="Arial" w:cs="Arial"/>
          <w:color w:val="000000" w:themeColor="text1"/>
        </w:rPr>
        <w:t>A</w:t>
      </w:r>
      <w:r w:rsidRPr="001C79E3">
        <w:rPr>
          <w:rFonts w:ascii="Arial" w:hAnsi="Arial" w:cs="Arial"/>
          <w:color w:val="000000" w:themeColor="text1"/>
        </w:rPr>
        <w:t xml:space="preserve">, to document BP readings and physical activity. </w:t>
      </w:r>
      <w:r w:rsidR="003C73BA" w:rsidRPr="001C79E3">
        <w:rPr>
          <w:rFonts w:ascii="Arial" w:hAnsi="Arial" w:cs="Arial"/>
        </w:rPr>
        <w:t xml:space="preserve">In the pre-intervention baseline testing, patients will complete the 6MWT, GPPAQ, and My Health Knowledge Survey. </w:t>
      </w:r>
      <w:r w:rsidR="005D3397" w:rsidRPr="001C79E3">
        <w:rPr>
          <w:rFonts w:ascii="Arial" w:hAnsi="Arial" w:cs="Arial"/>
        </w:rPr>
        <w:t>Baseline measures will</w:t>
      </w:r>
      <w:r w:rsidR="003C73BA" w:rsidRPr="001C79E3">
        <w:rPr>
          <w:rFonts w:ascii="Arial" w:hAnsi="Arial" w:cs="Arial"/>
        </w:rPr>
        <w:t xml:space="preserve"> also </w:t>
      </w:r>
      <w:r w:rsidR="005D3397" w:rsidRPr="001C79E3">
        <w:rPr>
          <w:rFonts w:ascii="Arial" w:hAnsi="Arial" w:cs="Arial"/>
        </w:rPr>
        <w:t xml:space="preserve">include resting BP, and </w:t>
      </w:r>
      <w:r w:rsidR="003C73BA" w:rsidRPr="001C79E3">
        <w:rPr>
          <w:rFonts w:ascii="Arial" w:hAnsi="Arial" w:cs="Arial"/>
        </w:rPr>
        <w:t xml:space="preserve">general demographic information such as height, weight, and smoking status. </w:t>
      </w:r>
    </w:p>
    <w:p w14:paraId="75992C50" w14:textId="45D5BBC2" w:rsidR="00563840" w:rsidRDefault="003C73BA" w:rsidP="00434188">
      <w:pPr>
        <w:spacing w:line="480" w:lineRule="auto"/>
        <w:rPr>
          <w:rFonts w:ascii="Arial" w:hAnsi="Arial" w:cs="Arial"/>
        </w:rPr>
      </w:pPr>
      <w:r>
        <w:rPr>
          <w:rFonts w:ascii="Arial" w:hAnsi="Arial" w:cs="Arial"/>
        </w:rPr>
        <w:tab/>
        <w:t xml:space="preserve">Patients will be encouraged weekly to fill out activity logs and BP logs, but will not be tested again on outcomes until week </w:t>
      </w:r>
      <w:r w:rsidR="0096110C">
        <w:rPr>
          <w:rFonts w:ascii="Arial" w:hAnsi="Arial" w:cs="Arial"/>
        </w:rPr>
        <w:t>8</w:t>
      </w:r>
      <w:r>
        <w:rPr>
          <w:rFonts w:ascii="Arial" w:hAnsi="Arial" w:cs="Arial"/>
        </w:rPr>
        <w:t xml:space="preserve">. All baseline measures (6MWT, GPPAQ, and My Health Knowledge Survey) will be completed by staff at the end of </w:t>
      </w:r>
      <w:r w:rsidR="0096110C">
        <w:rPr>
          <w:rFonts w:ascii="Arial" w:hAnsi="Arial" w:cs="Arial"/>
        </w:rPr>
        <w:t xml:space="preserve">week 8 (end of </w:t>
      </w:r>
      <w:r w:rsidR="0096110C">
        <w:rPr>
          <w:rFonts w:ascii="Arial" w:hAnsi="Arial" w:cs="Arial"/>
        </w:rPr>
        <w:lastRenderedPageBreak/>
        <w:t xml:space="preserve">twice-weekly group-based walking), </w:t>
      </w:r>
      <w:r>
        <w:rPr>
          <w:rFonts w:ascii="Arial" w:hAnsi="Arial" w:cs="Arial"/>
        </w:rPr>
        <w:t>week 12</w:t>
      </w:r>
      <w:r w:rsidR="00753398">
        <w:rPr>
          <w:rFonts w:ascii="Arial" w:hAnsi="Arial" w:cs="Arial"/>
        </w:rPr>
        <w:t xml:space="preserve"> (end of group-based walking)</w:t>
      </w:r>
      <w:r w:rsidR="0096110C">
        <w:rPr>
          <w:rFonts w:ascii="Arial" w:hAnsi="Arial" w:cs="Arial"/>
        </w:rPr>
        <w:t>,</w:t>
      </w:r>
      <w:r>
        <w:rPr>
          <w:rFonts w:ascii="Arial" w:hAnsi="Arial" w:cs="Arial"/>
        </w:rPr>
        <w:t xml:space="preserve"> and the end of week 16</w:t>
      </w:r>
      <w:r w:rsidR="00753398">
        <w:rPr>
          <w:rFonts w:ascii="Arial" w:hAnsi="Arial" w:cs="Arial"/>
        </w:rPr>
        <w:t xml:space="preserve"> (end of program)</w:t>
      </w:r>
      <w:r>
        <w:rPr>
          <w:rFonts w:ascii="Arial" w:hAnsi="Arial" w:cs="Arial"/>
        </w:rPr>
        <w:t xml:space="preserve"> as this will be useful in evaluation of program effectiveness.</w:t>
      </w:r>
      <w:r w:rsidR="00F96072">
        <w:rPr>
          <w:rFonts w:ascii="Arial" w:hAnsi="Arial" w:cs="Arial"/>
        </w:rPr>
        <w:t xml:space="preserve"> </w:t>
      </w:r>
      <w:r w:rsidR="00987839">
        <w:rPr>
          <w:rFonts w:ascii="Arial" w:hAnsi="Arial" w:cs="Arial"/>
        </w:rPr>
        <w:t xml:space="preserve">A resting </w:t>
      </w:r>
      <w:r w:rsidR="008C03CD">
        <w:rPr>
          <w:rFonts w:ascii="Arial" w:hAnsi="Arial" w:cs="Arial"/>
        </w:rPr>
        <w:t xml:space="preserve">BP will be recorded with an automated cuff at the </w:t>
      </w:r>
      <w:r w:rsidR="00987839">
        <w:rPr>
          <w:rFonts w:ascii="Arial" w:hAnsi="Arial" w:cs="Arial"/>
        </w:rPr>
        <w:t>end</w:t>
      </w:r>
      <w:r w:rsidR="008C03CD">
        <w:rPr>
          <w:rFonts w:ascii="Arial" w:hAnsi="Arial" w:cs="Arial"/>
        </w:rPr>
        <w:t xml:space="preserve"> of each weekly educational session as well as at the evaluation days at weeks </w:t>
      </w:r>
      <w:r w:rsidR="0096110C">
        <w:rPr>
          <w:rFonts w:ascii="Arial" w:hAnsi="Arial" w:cs="Arial"/>
        </w:rPr>
        <w:t xml:space="preserve">8, </w:t>
      </w:r>
      <w:r w:rsidR="008C03CD">
        <w:rPr>
          <w:rFonts w:ascii="Arial" w:hAnsi="Arial" w:cs="Arial"/>
        </w:rPr>
        <w:t>12</w:t>
      </w:r>
      <w:r w:rsidR="0096110C">
        <w:rPr>
          <w:rFonts w:ascii="Arial" w:hAnsi="Arial" w:cs="Arial"/>
        </w:rPr>
        <w:t>,</w:t>
      </w:r>
      <w:r w:rsidR="008C03CD">
        <w:rPr>
          <w:rFonts w:ascii="Arial" w:hAnsi="Arial" w:cs="Arial"/>
        </w:rPr>
        <w:t xml:space="preserve"> and 16. This will </w:t>
      </w:r>
      <w:r w:rsidR="00987839">
        <w:rPr>
          <w:rFonts w:ascii="Arial" w:hAnsi="Arial" w:cs="Arial"/>
        </w:rPr>
        <w:t xml:space="preserve">not only standardize recordings as participants will have sat for 30 minutes prior to recording, but will also </w:t>
      </w:r>
      <w:r w:rsidR="008C03CD">
        <w:rPr>
          <w:rFonts w:ascii="Arial" w:hAnsi="Arial" w:cs="Arial"/>
        </w:rPr>
        <w:t xml:space="preserve">provide meaningful information about rate, timing, and </w:t>
      </w:r>
      <w:r w:rsidR="00987839">
        <w:rPr>
          <w:rFonts w:ascii="Arial" w:hAnsi="Arial" w:cs="Arial"/>
        </w:rPr>
        <w:t xml:space="preserve">size of changes in BP that occur through the intervention. </w:t>
      </w:r>
    </w:p>
    <w:p w14:paraId="139C0D8C" w14:textId="2F9DD1CE" w:rsidR="00CF2613" w:rsidRDefault="00563840" w:rsidP="00434188">
      <w:pPr>
        <w:spacing w:line="480" w:lineRule="auto"/>
        <w:rPr>
          <w:rFonts w:ascii="Arial" w:hAnsi="Arial" w:cs="Arial"/>
        </w:rPr>
      </w:pPr>
      <w:r>
        <w:rPr>
          <w:rFonts w:ascii="Arial" w:hAnsi="Arial" w:cs="Arial"/>
        </w:rPr>
        <w:tab/>
      </w:r>
      <w:r w:rsidR="00940A65">
        <w:rPr>
          <w:rFonts w:ascii="Arial" w:hAnsi="Arial" w:cs="Arial"/>
        </w:rPr>
        <w:t>Program goals will be evaluated at the completion of the program, with outcome assessments taken at week 16. Additionally, t</w:t>
      </w:r>
      <w:r>
        <w:rPr>
          <w:rFonts w:ascii="Arial" w:hAnsi="Arial" w:cs="Arial"/>
        </w:rPr>
        <w:t xml:space="preserve">he effectiveness of the program will be </w:t>
      </w:r>
      <w:r w:rsidR="00F964D8">
        <w:rPr>
          <w:rFonts w:ascii="Arial" w:hAnsi="Arial" w:cs="Arial"/>
        </w:rPr>
        <w:t>evaluated through a comparison of participant scores on outcome measures and BP recordings</w:t>
      </w:r>
      <w:r w:rsidR="00940A65">
        <w:rPr>
          <w:rFonts w:ascii="Arial" w:hAnsi="Arial" w:cs="Arial"/>
        </w:rPr>
        <w:t xml:space="preserve"> taken throughout the program</w:t>
      </w:r>
      <w:r w:rsidR="00F964D8">
        <w:rPr>
          <w:rFonts w:ascii="Arial" w:hAnsi="Arial" w:cs="Arial"/>
        </w:rPr>
        <w:t xml:space="preserve">. Statistical analysis of changes in group mean from baseline to completion, baseline to week </w:t>
      </w:r>
      <w:r w:rsidR="0096110C">
        <w:rPr>
          <w:rFonts w:ascii="Arial" w:hAnsi="Arial" w:cs="Arial"/>
        </w:rPr>
        <w:t xml:space="preserve">8 and week 12, week 8 to 12, </w:t>
      </w:r>
      <w:r w:rsidR="00F964D8">
        <w:rPr>
          <w:rFonts w:ascii="Arial" w:hAnsi="Arial" w:cs="Arial"/>
        </w:rPr>
        <w:t xml:space="preserve">and week 12 to completion will be assessed to monitor progress and effectiveness of tapered intervention structure on behavior change. For example, if significant improvements in activity and BP are seen at week 12 but diminish by week 16, that could indicate that participants were not prepared enough to begin the independent portion of the program. </w:t>
      </w:r>
    </w:p>
    <w:p w14:paraId="548693D7" w14:textId="6736866E" w:rsidR="009121C1" w:rsidRDefault="009121C1" w:rsidP="00434188">
      <w:pPr>
        <w:spacing w:line="480" w:lineRule="auto"/>
        <w:rPr>
          <w:rFonts w:ascii="Arial" w:hAnsi="Arial" w:cs="Arial"/>
        </w:rPr>
      </w:pPr>
      <w:r>
        <w:rPr>
          <w:rFonts w:ascii="Arial" w:hAnsi="Arial" w:cs="Arial"/>
        </w:rPr>
        <w:tab/>
        <w:t xml:space="preserve">Due to weekly logs of BP readings as a crucial part of the program, any participants who do not currently have access to an automated BP cuff will be provided with one at the baseline measurement day. This will hopefully boost enrollment and adherence, as any participant who completes the program with &gt; 85% adherence will be allowed to keep their BP cuff, all others will be asked to return the device at the end of the 16 weeks. </w:t>
      </w:r>
    </w:p>
    <w:p w14:paraId="31D025AB" w14:textId="77777777" w:rsidR="009121C1" w:rsidRDefault="009121C1" w:rsidP="00434188">
      <w:pPr>
        <w:spacing w:line="480" w:lineRule="auto"/>
        <w:rPr>
          <w:rFonts w:ascii="Arial" w:hAnsi="Arial" w:cs="Arial"/>
        </w:rPr>
      </w:pPr>
    </w:p>
    <w:p w14:paraId="7E94CAC5" w14:textId="202B68B6" w:rsidR="00434188" w:rsidRDefault="00940A65" w:rsidP="002327E7">
      <w:pPr>
        <w:pStyle w:val="ListParagraph"/>
        <w:numPr>
          <w:ilvl w:val="0"/>
          <w:numId w:val="8"/>
        </w:numPr>
        <w:spacing w:line="480" w:lineRule="auto"/>
        <w:ind w:left="540"/>
        <w:rPr>
          <w:rFonts w:ascii="Arial" w:hAnsi="Arial" w:cs="Arial"/>
          <w:b/>
        </w:rPr>
      </w:pPr>
      <w:r w:rsidRPr="00940A65">
        <w:rPr>
          <w:rFonts w:ascii="Arial" w:hAnsi="Arial" w:cs="Arial"/>
          <w:b/>
        </w:rPr>
        <w:lastRenderedPageBreak/>
        <w:t>Evaluation Plan</w:t>
      </w:r>
    </w:p>
    <w:p w14:paraId="3C5CD6CC" w14:textId="72870AAD" w:rsidR="00434188" w:rsidRDefault="00434188" w:rsidP="00434188">
      <w:pPr>
        <w:spacing w:line="480" w:lineRule="auto"/>
        <w:ind w:firstLine="720"/>
        <w:rPr>
          <w:rFonts w:ascii="Arial" w:hAnsi="Arial" w:cs="Arial"/>
        </w:rPr>
      </w:pPr>
      <w:r>
        <w:rPr>
          <w:rFonts w:ascii="Arial" w:hAnsi="Arial" w:cs="Arial"/>
        </w:rPr>
        <w:t>In addition to the statistical outcome evaluation, it is important to evaluate the quality and broader effectiveness of a program. A thorough evaluation will be done at the completion of the first cohort that follows the CDC recommendations for community program evaluations.</w:t>
      </w:r>
      <w:r>
        <w:rPr>
          <w:rFonts w:ascii="Arial" w:hAnsi="Arial" w:cs="Arial"/>
        </w:rPr>
        <w:fldChar w:fldCharType="begin"/>
      </w:r>
      <w:r w:rsidR="007E173F">
        <w:rPr>
          <w:rFonts w:ascii="Arial" w:hAnsi="Arial" w:cs="Arial"/>
        </w:rPr>
        <w:instrText>ADDIN F1000_CSL_CITATION&lt;~#@#~&gt;[{"First":false,"Last":false,"URL":"https://www.cdc.gov/eval/guide/CDCEvalManual.pdf","accessed":{"date-parts":[["2019","10","30"]]},"author":[{"family":"U.S. Department of Health and Human Services Centers for Disease Control and Prevention"}],"authorYearDisplayFormat":false,"citation-label":"7705524","id":"7705524","invisible":false,"issued":{"date-parts":[["2011"]]},"publisher":"Office of the Director, Office of Strategy and Innovation.","suppress-author":false,"title":"Introduction to program evaluation for public health programs: A self-study guide.","type":"report"}]</w:instrText>
      </w:r>
      <w:r>
        <w:rPr>
          <w:rFonts w:ascii="Arial" w:hAnsi="Arial" w:cs="Arial"/>
        </w:rPr>
        <w:fldChar w:fldCharType="separate"/>
      </w:r>
      <w:r w:rsidR="007E173F" w:rsidRPr="007E173F">
        <w:rPr>
          <w:rFonts w:ascii="Arial" w:hAnsi="Arial" w:cs="Arial"/>
          <w:noProof/>
          <w:vertAlign w:val="superscript"/>
        </w:rPr>
        <w:t>54</w:t>
      </w:r>
      <w:r>
        <w:rPr>
          <w:rFonts w:ascii="Arial" w:hAnsi="Arial" w:cs="Arial"/>
        </w:rPr>
        <w:fldChar w:fldCharType="end"/>
      </w:r>
      <w:r w:rsidR="00432CC9">
        <w:rPr>
          <w:rFonts w:ascii="Arial" w:hAnsi="Arial" w:cs="Arial"/>
        </w:rPr>
        <w:t xml:space="preserve"> A group of stakeholders will be identified, most likely including a sample of participants, the CHAs and program directors, </w:t>
      </w:r>
      <w:r w:rsidR="00F67E0C">
        <w:rPr>
          <w:rFonts w:ascii="Arial" w:hAnsi="Arial" w:cs="Arial"/>
        </w:rPr>
        <w:t xml:space="preserve">friends and family members of participants, community members who did not enroll, </w:t>
      </w:r>
      <w:r w:rsidR="00011134">
        <w:rPr>
          <w:rFonts w:ascii="Arial" w:hAnsi="Arial" w:cs="Arial"/>
        </w:rPr>
        <w:t>an additional healthcare professional who was not associated with the program and who may treat patients with HTN or cardiovascular conditions commonly, a local government official such as the director of parks and recreation who may know more about the local environmental barriers, and a representative from the space chosen to hold the educational component of the program (the school, church, restaurant, or park). Each of these individuals is involved in some aspect of the program and will receive a brief overview of the program, the results, and expected long-term outcome, most likely in the form of a logic model, and then asked to complete a survey about the impacts and effectiveness of the program as it has the potential to affect each of these individuals.</w:t>
      </w:r>
      <w:r w:rsidR="00011134">
        <w:rPr>
          <w:rFonts w:ascii="Arial" w:hAnsi="Arial" w:cs="Arial"/>
        </w:rPr>
        <w:fldChar w:fldCharType="begin"/>
      </w:r>
      <w:r w:rsidR="007E173F">
        <w:rPr>
          <w:rFonts w:ascii="Arial" w:hAnsi="Arial" w:cs="Arial"/>
        </w:rPr>
        <w:instrText>ADDIN F1000_CSL_CITATION&lt;~#@#~&gt;[{"First":false,"Last":false,"URL":"https://www.cdc.gov/eval/guide/CDCEvalManual.pdf","accessed":{"date-parts":[["2019","10","30"]]},"author":[{"family":"U.S. Department of Health and Human Services Centers for Disease Control and Prevention"}],"authorYearDisplayFormat":false,"citation-label":"7705524","id":"7705524","invisible":false,"issued":{"date-parts":[["2011"]]},"publisher":"Office of the Director, Office of Strategy and Innovation.","suppress-author":false,"title":"Introduction to program evaluation for public health programs: A self-study guide.","type":"report"}]</w:instrText>
      </w:r>
      <w:r w:rsidR="00011134">
        <w:rPr>
          <w:rFonts w:ascii="Arial" w:hAnsi="Arial" w:cs="Arial"/>
        </w:rPr>
        <w:fldChar w:fldCharType="separate"/>
      </w:r>
      <w:r w:rsidR="007E173F" w:rsidRPr="007E173F">
        <w:rPr>
          <w:rFonts w:ascii="Arial" w:hAnsi="Arial" w:cs="Arial"/>
          <w:noProof/>
          <w:vertAlign w:val="superscript"/>
        </w:rPr>
        <w:t>54</w:t>
      </w:r>
      <w:r w:rsidR="00011134">
        <w:rPr>
          <w:rFonts w:ascii="Arial" w:hAnsi="Arial" w:cs="Arial"/>
        </w:rPr>
        <w:fldChar w:fldCharType="end"/>
      </w:r>
      <w:r w:rsidR="00011134">
        <w:rPr>
          <w:rFonts w:ascii="Arial" w:hAnsi="Arial" w:cs="Arial"/>
        </w:rPr>
        <w:t xml:space="preserve"> Additionally, their unique experiences or expertise may inform changes to the structure, frequency, or educational topics discussed in the program.</w:t>
      </w:r>
    </w:p>
    <w:p w14:paraId="42247CF6" w14:textId="0E57FC1E" w:rsidR="00011134" w:rsidRDefault="00011134" w:rsidP="00434188">
      <w:pPr>
        <w:spacing w:line="480" w:lineRule="auto"/>
        <w:ind w:firstLine="720"/>
        <w:rPr>
          <w:rFonts w:ascii="Arial" w:hAnsi="Arial" w:cs="Arial"/>
        </w:rPr>
      </w:pPr>
      <w:proofErr w:type="gramStart"/>
      <w:r>
        <w:rPr>
          <w:rFonts w:ascii="Arial" w:hAnsi="Arial" w:cs="Arial"/>
        </w:rPr>
        <w:t>Specifically</w:t>
      </w:r>
      <w:proofErr w:type="gramEnd"/>
      <w:r>
        <w:rPr>
          <w:rFonts w:ascii="Arial" w:hAnsi="Arial" w:cs="Arial"/>
        </w:rPr>
        <w:t xml:space="preserve"> in the evalu</w:t>
      </w:r>
      <w:r w:rsidR="00F67E0C">
        <w:rPr>
          <w:rFonts w:ascii="Arial" w:hAnsi="Arial" w:cs="Arial"/>
        </w:rPr>
        <w:t xml:space="preserve">ation, it will be important to not only get information about success of participants enrolled, but evaluate the integration of the program and receptivity of the community to the program. Survey results from family members of participants, community members who did not enroll, any drop-outs from the program, and local healthcare providers will be especially informative in this step. </w:t>
      </w:r>
      <w:r w:rsidR="000372E4">
        <w:rPr>
          <w:rFonts w:ascii="Arial" w:hAnsi="Arial" w:cs="Arial"/>
        </w:rPr>
        <w:t xml:space="preserve">These surveys </w:t>
      </w:r>
      <w:r w:rsidR="000372E4">
        <w:rPr>
          <w:rFonts w:ascii="Arial" w:hAnsi="Arial" w:cs="Arial"/>
        </w:rPr>
        <w:lastRenderedPageBreak/>
        <w:t xml:space="preserve">will include reasons for drop-out or not enrolling, largest two barriers to participation, what type of incentive would be necessary for participation, and if the use of technology (smartphone apps, fitness trackers) would have improved compliance or participation. </w:t>
      </w:r>
      <w:r w:rsidR="00F67E0C">
        <w:rPr>
          <w:rFonts w:ascii="Arial" w:hAnsi="Arial" w:cs="Arial"/>
        </w:rPr>
        <w:t>It is important that the program is tailored to suit the rural location to increase future cohort</w:t>
      </w:r>
      <w:r w:rsidR="002327E7">
        <w:rPr>
          <w:rFonts w:ascii="Arial" w:hAnsi="Arial" w:cs="Arial"/>
        </w:rPr>
        <w:t>s</w:t>
      </w:r>
      <w:r w:rsidR="00F67E0C">
        <w:rPr>
          <w:rFonts w:ascii="Arial" w:hAnsi="Arial" w:cs="Arial"/>
        </w:rPr>
        <w:t xml:space="preserve"> and impact in the community. </w:t>
      </w:r>
    </w:p>
    <w:p w14:paraId="38659F91" w14:textId="068D835F" w:rsidR="002327E7" w:rsidRDefault="00F67E0C" w:rsidP="002327E7">
      <w:pPr>
        <w:spacing w:line="480" w:lineRule="auto"/>
        <w:ind w:firstLine="720"/>
        <w:rPr>
          <w:rFonts w:ascii="Arial" w:hAnsi="Arial" w:cs="Arial"/>
        </w:rPr>
      </w:pPr>
      <w:r>
        <w:rPr>
          <w:rFonts w:ascii="Arial" w:hAnsi="Arial" w:cs="Arial"/>
        </w:rPr>
        <w:t>If the program is not meeting the established goals for the enrolled participants, this evaluation with healthcare providers and participants can be crucial in determining better structure or educational topics. For example, participants may need a more-specific training recommendation from the beginning, or my n</w:t>
      </w:r>
      <w:r w:rsidR="0036628C">
        <w:rPr>
          <w:rFonts w:ascii="Arial" w:hAnsi="Arial" w:cs="Arial"/>
        </w:rPr>
        <w:t>eed more of the educational time to be spent doing a question and answer format</w:t>
      </w:r>
      <w:r w:rsidR="002327E7">
        <w:rPr>
          <w:rFonts w:ascii="Arial" w:hAnsi="Arial" w:cs="Arial"/>
        </w:rPr>
        <w:t>, or covering different topics</w:t>
      </w:r>
      <w:r w:rsidR="0036628C">
        <w:rPr>
          <w:rFonts w:ascii="Arial" w:hAnsi="Arial" w:cs="Arial"/>
        </w:rPr>
        <w:t xml:space="preserve">. The information provided from participants will give additional insight to strengths and barriers that may not have been addressed in the original plan, such as language barriers or location/distance. </w:t>
      </w:r>
      <w:r w:rsidR="00D64F1C">
        <w:rPr>
          <w:rFonts w:ascii="Arial" w:hAnsi="Arial" w:cs="Arial"/>
        </w:rPr>
        <w:t>It is possible that the use of technology</w:t>
      </w:r>
      <w:r w:rsidR="00123C3A">
        <w:rPr>
          <w:rFonts w:ascii="Arial" w:hAnsi="Arial" w:cs="Arial"/>
        </w:rPr>
        <w:t xml:space="preserve"> such as pedometers, a smartphone app, or fitness tracking device would improve adherence and encourage activity more than handwritten logs, so this would be an important factor to evaluate based on participant reactions and opinions as well as financial feasibility. </w:t>
      </w:r>
    </w:p>
    <w:p w14:paraId="7DF58FFA" w14:textId="14A2A459" w:rsidR="002327E7" w:rsidRDefault="002327E7" w:rsidP="002327E7">
      <w:pPr>
        <w:pStyle w:val="Heading1"/>
      </w:pPr>
      <w:r>
        <w:t>Conclusion</w:t>
      </w:r>
    </w:p>
    <w:p w14:paraId="3E87B064" w14:textId="18AB143C" w:rsidR="002327E7" w:rsidRPr="002327E7" w:rsidRDefault="002327E7" w:rsidP="002327E7">
      <w:pPr>
        <w:spacing w:line="480" w:lineRule="auto"/>
        <w:rPr>
          <w:rFonts w:ascii="Arial" w:hAnsi="Arial" w:cs="Arial"/>
          <w:color w:val="000000" w:themeColor="text1"/>
        </w:rPr>
      </w:pPr>
      <w:r>
        <w:tab/>
      </w:r>
      <w:r w:rsidRPr="002327E7">
        <w:rPr>
          <w:rFonts w:ascii="Arial" w:hAnsi="Arial" w:cs="Arial"/>
          <w:color w:val="000000" w:themeColor="text1"/>
        </w:rPr>
        <w:t>A Change of Heart</w:t>
      </w:r>
      <w:r>
        <w:rPr>
          <w:rFonts w:ascii="Arial" w:hAnsi="Arial" w:cs="Arial"/>
          <w:color w:val="000000" w:themeColor="text1"/>
        </w:rPr>
        <w:t xml:space="preserve"> aims to enter into small, rural communities to produce exactly what the name implies, heart healthy behavior changes that dramatically alter risk of cardiovascular disease. </w:t>
      </w:r>
      <w:r w:rsidR="00133D48">
        <w:rPr>
          <w:rFonts w:ascii="Arial" w:hAnsi="Arial" w:cs="Arial"/>
          <w:color w:val="000000" w:themeColor="text1"/>
        </w:rPr>
        <w:t xml:space="preserve">The health impacts of reductions in BP are many and well-known. Through this preventative program, adults with HTN who are currently at significantly increased risk for many cardiovascular outcomes can reduce their risk, thereby improving quality of life as well as possibly reducing long-term healthcare costs. </w:t>
      </w:r>
      <w:r w:rsidR="00133D48">
        <w:rPr>
          <w:rFonts w:ascii="Arial" w:hAnsi="Arial" w:cs="Arial"/>
          <w:color w:val="000000" w:themeColor="text1"/>
        </w:rPr>
        <w:lastRenderedPageBreak/>
        <w:t>Furthermore, the health literacy and knowledge gains can be passed down to children, resulting in healthier communities over time</w:t>
      </w:r>
      <w:r w:rsidR="008B6C05">
        <w:rPr>
          <w:rFonts w:ascii="Arial" w:hAnsi="Arial" w:cs="Arial"/>
          <w:color w:val="000000" w:themeColor="text1"/>
        </w:rPr>
        <w:t xml:space="preserve"> and patients who are more confident and better able to advocate for their health needs</w:t>
      </w:r>
      <w:r w:rsidR="00133D48">
        <w:rPr>
          <w:rFonts w:ascii="Arial" w:hAnsi="Arial" w:cs="Arial"/>
          <w:color w:val="000000" w:themeColor="text1"/>
        </w:rPr>
        <w:t>. The unique, community</w:t>
      </w:r>
      <w:r w:rsidR="008B6C05">
        <w:rPr>
          <w:rFonts w:ascii="Arial" w:hAnsi="Arial" w:cs="Arial"/>
          <w:color w:val="000000" w:themeColor="text1"/>
        </w:rPr>
        <w:t xml:space="preserve"> </w:t>
      </w:r>
      <w:r w:rsidR="00133D48">
        <w:rPr>
          <w:rFonts w:ascii="Arial" w:hAnsi="Arial" w:cs="Arial"/>
          <w:color w:val="000000" w:themeColor="text1"/>
        </w:rPr>
        <w:t>member</w:t>
      </w:r>
      <w:r w:rsidR="008B6C05">
        <w:rPr>
          <w:rFonts w:ascii="Arial" w:hAnsi="Arial" w:cs="Arial"/>
          <w:color w:val="000000" w:themeColor="text1"/>
        </w:rPr>
        <w:t>-l</w:t>
      </w:r>
      <w:r w:rsidR="00133D48">
        <w:rPr>
          <w:rFonts w:ascii="Arial" w:hAnsi="Arial" w:cs="Arial"/>
          <w:color w:val="000000" w:themeColor="text1"/>
        </w:rPr>
        <w:t xml:space="preserve">ed and tapered structure of this program will gradually increase participant </w:t>
      </w:r>
      <w:r w:rsidR="008B6C05">
        <w:rPr>
          <w:rFonts w:ascii="Arial" w:hAnsi="Arial" w:cs="Arial"/>
          <w:color w:val="000000" w:themeColor="text1"/>
        </w:rPr>
        <w:t>responsibility</w:t>
      </w:r>
      <w:r w:rsidR="00581B99">
        <w:rPr>
          <w:rFonts w:ascii="Arial" w:hAnsi="Arial" w:cs="Arial"/>
          <w:color w:val="000000" w:themeColor="text1"/>
        </w:rPr>
        <w:t xml:space="preserve"> resulting in higher compliance and behavior change over time. This allows participants to use what they have been learning, make it applicable for their life, and take control of their health. The SEM has been engrained in all aspects of design and evaluation of the program, to better address specific barriers, cultural impacts, and the importance of relationships throughout the program. Overall, this program is flexible to meet the specific community and environmental barriers that may be present in different rural areas, but aims to consistently use established social networks to initiate physical activity and health-related confidence in adults with hypertension.</w:t>
      </w:r>
    </w:p>
    <w:p w14:paraId="05A45DA2" w14:textId="77777777" w:rsidR="00581B99" w:rsidRDefault="00581B99">
      <w:pPr>
        <w:rPr>
          <w:rFonts w:ascii="Arial" w:eastAsiaTheme="majorEastAsia" w:hAnsi="Arial" w:cs="Arial"/>
          <w:b/>
          <w:color w:val="3B3838" w:themeColor="background2" w:themeShade="40"/>
        </w:rPr>
      </w:pPr>
      <w:r>
        <w:br w:type="page"/>
      </w:r>
    </w:p>
    <w:p w14:paraId="2A3893E5" w14:textId="2AA13614" w:rsidR="0097493D" w:rsidRDefault="00CF2613" w:rsidP="0097493D">
      <w:pPr>
        <w:pStyle w:val="Heading1"/>
      </w:pPr>
      <w:r>
        <w:lastRenderedPageBreak/>
        <w:t>Bibliography</w:t>
      </w:r>
    </w:p>
    <w:p w14:paraId="7A85A58A" w14:textId="77777777" w:rsidR="007E173F" w:rsidRDefault="00CF2613">
      <w:pPr>
        <w:widowControl w:val="0"/>
        <w:autoSpaceDE w:val="0"/>
        <w:autoSpaceDN w:val="0"/>
        <w:adjustRightInd w:val="0"/>
        <w:rPr>
          <w:rFonts w:ascii="Times New Roman" w:hAnsi="Times New Roman" w:cs="Times New Roman"/>
          <w:noProof/>
        </w:rPr>
      </w:pPr>
      <w:r>
        <w:fldChar w:fldCharType="begin"/>
      </w:r>
      <w:r w:rsidR="007E173F">
        <w:instrText>ADDIN F1000_CSL_BIBLIOGRAPHY</w:instrText>
      </w:r>
      <w:r>
        <w:fldChar w:fldCharType="separate"/>
      </w:r>
    </w:p>
    <w:p w14:paraId="742C90A5" w14:textId="215FBC7B"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1. </w:t>
      </w:r>
      <w:r>
        <w:rPr>
          <w:rFonts w:ascii="Times New Roman" w:hAnsi="Times New Roman" w:cs="Times New Roman"/>
          <w:noProof/>
        </w:rPr>
        <w:tab/>
        <w:t xml:space="preserve">Callaghan T, Ferdinand AO, Akinlotan MA, Towne SD, Bolin J. The </w:t>
      </w:r>
      <w:r w:rsidR="009F4DDC">
        <w:rPr>
          <w:rFonts w:ascii="Times New Roman" w:hAnsi="Times New Roman" w:cs="Times New Roman"/>
          <w:noProof/>
        </w:rPr>
        <w:t>c</w:t>
      </w:r>
      <w:r>
        <w:rPr>
          <w:rFonts w:ascii="Times New Roman" w:hAnsi="Times New Roman" w:cs="Times New Roman"/>
          <w:noProof/>
        </w:rPr>
        <w:t xml:space="preserve">hanging </w:t>
      </w:r>
      <w:r w:rsidR="009F4DDC">
        <w:rPr>
          <w:rFonts w:ascii="Times New Roman" w:hAnsi="Times New Roman" w:cs="Times New Roman"/>
          <w:noProof/>
        </w:rPr>
        <w:t>l</w:t>
      </w:r>
      <w:r>
        <w:rPr>
          <w:rFonts w:ascii="Times New Roman" w:hAnsi="Times New Roman" w:cs="Times New Roman"/>
          <w:noProof/>
        </w:rPr>
        <w:t xml:space="preserve">andscape of </w:t>
      </w:r>
      <w:r w:rsidR="009F4DDC">
        <w:rPr>
          <w:rFonts w:ascii="Times New Roman" w:hAnsi="Times New Roman" w:cs="Times New Roman"/>
          <w:noProof/>
        </w:rPr>
        <w:t>d</w:t>
      </w:r>
      <w:r>
        <w:rPr>
          <w:rFonts w:ascii="Times New Roman" w:hAnsi="Times New Roman" w:cs="Times New Roman"/>
          <w:noProof/>
        </w:rPr>
        <w:t xml:space="preserve">iabetes </w:t>
      </w:r>
      <w:r w:rsidR="009F4DDC">
        <w:rPr>
          <w:rFonts w:ascii="Times New Roman" w:hAnsi="Times New Roman" w:cs="Times New Roman"/>
          <w:noProof/>
        </w:rPr>
        <w:t>m</w:t>
      </w:r>
      <w:r>
        <w:rPr>
          <w:rFonts w:ascii="Times New Roman" w:hAnsi="Times New Roman" w:cs="Times New Roman"/>
          <w:noProof/>
        </w:rPr>
        <w:t xml:space="preserve">ortality in the United States </w:t>
      </w:r>
      <w:r w:rsidR="009F4DDC">
        <w:rPr>
          <w:rFonts w:ascii="Times New Roman" w:hAnsi="Times New Roman" w:cs="Times New Roman"/>
          <w:noProof/>
        </w:rPr>
        <w:t>a</w:t>
      </w:r>
      <w:r>
        <w:rPr>
          <w:rFonts w:ascii="Times New Roman" w:hAnsi="Times New Roman" w:cs="Times New Roman"/>
          <w:noProof/>
        </w:rPr>
        <w:t xml:space="preserve">cross </w:t>
      </w:r>
      <w:r w:rsidR="009F4DDC">
        <w:rPr>
          <w:rFonts w:ascii="Times New Roman" w:hAnsi="Times New Roman" w:cs="Times New Roman"/>
          <w:noProof/>
        </w:rPr>
        <w:t>r</w:t>
      </w:r>
      <w:r>
        <w:rPr>
          <w:rFonts w:ascii="Times New Roman" w:hAnsi="Times New Roman" w:cs="Times New Roman"/>
          <w:noProof/>
        </w:rPr>
        <w:t xml:space="preserve">egion and </w:t>
      </w:r>
      <w:r w:rsidR="009F4DDC">
        <w:rPr>
          <w:rFonts w:ascii="Times New Roman" w:hAnsi="Times New Roman" w:cs="Times New Roman"/>
          <w:noProof/>
        </w:rPr>
        <w:t>r</w:t>
      </w:r>
      <w:r>
        <w:rPr>
          <w:rFonts w:ascii="Times New Roman" w:hAnsi="Times New Roman" w:cs="Times New Roman"/>
          <w:noProof/>
        </w:rPr>
        <w:t xml:space="preserve">urality, 1999-2016. </w:t>
      </w:r>
      <w:r>
        <w:rPr>
          <w:rFonts w:ascii="Times New Roman" w:hAnsi="Times New Roman" w:cs="Times New Roman"/>
          <w:i/>
          <w:iCs/>
          <w:noProof/>
        </w:rPr>
        <w:t>J. Rural Health</w:t>
      </w:r>
      <w:r>
        <w:rPr>
          <w:rFonts w:ascii="Times New Roman" w:hAnsi="Times New Roman" w:cs="Times New Roman"/>
          <w:noProof/>
        </w:rPr>
        <w:t xml:space="preserve"> 2019. doi:10.1111/jrh.12354.</w:t>
      </w:r>
    </w:p>
    <w:p w14:paraId="6CB61156"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2. </w:t>
      </w:r>
      <w:r>
        <w:rPr>
          <w:rFonts w:ascii="Times New Roman" w:hAnsi="Times New Roman" w:cs="Times New Roman"/>
          <w:noProof/>
        </w:rPr>
        <w:tab/>
        <w:t xml:space="preserve">Kulshreshtha A, Goyal A, Dabhadkar K, Veledar E, Vaccarino V. Urban-rural differences in coronary heart disease mortality in the United States: 1999-2009. </w:t>
      </w:r>
      <w:r>
        <w:rPr>
          <w:rFonts w:ascii="Times New Roman" w:hAnsi="Times New Roman" w:cs="Times New Roman"/>
          <w:i/>
          <w:iCs/>
          <w:noProof/>
        </w:rPr>
        <w:t>Public Health Rep</w:t>
      </w:r>
      <w:r>
        <w:rPr>
          <w:rFonts w:ascii="Times New Roman" w:hAnsi="Times New Roman" w:cs="Times New Roman"/>
          <w:noProof/>
        </w:rPr>
        <w:t xml:space="preserve"> 2014;129(1):19-29. doi:10.1177/003335491412900105.</w:t>
      </w:r>
    </w:p>
    <w:p w14:paraId="1FC3F2C6"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3. </w:t>
      </w:r>
      <w:r>
        <w:rPr>
          <w:rFonts w:ascii="Times New Roman" w:hAnsi="Times New Roman" w:cs="Times New Roman"/>
          <w:noProof/>
        </w:rPr>
        <w:tab/>
        <w:t xml:space="preserve">CDC: More obesity in U.S. rural counties than in urban counties. </w:t>
      </w:r>
      <w:r>
        <w:rPr>
          <w:rFonts w:ascii="Times New Roman" w:hAnsi="Times New Roman" w:cs="Times New Roman"/>
          <w:i/>
          <w:iCs/>
          <w:noProof/>
        </w:rPr>
        <w:t>Centers for Disease Control and Prevention</w:t>
      </w:r>
      <w:r>
        <w:rPr>
          <w:rFonts w:ascii="Times New Roman" w:hAnsi="Times New Roman" w:cs="Times New Roman"/>
          <w:noProof/>
        </w:rPr>
        <w:t xml:space="preserve"> 2018. Available at: https://www.cdc.gov/media/releases/2018/s0614-obesity-rates.html. Accessed October 26, 2019.</w:t>
      </w:r>
    </w:p>
    <w:p w14:paraId="3B456A60"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4. </w:t>
      </w:r>
      <w:r>
        <w:rPr>
          <w:rFonts w:ascii="Times New Roman" w:hAnsi="Times New Roman" w:cs="Times New Roman"/>
          <w:noProof/>
        </w:rPr>
        <w:tab/>
        <w:t>Explore High Blood Pressure in the United States | 2018 Annual Report | AHR. Available at: https://www.americashealthrankings.org/explore/annual/measure/Hypertension/state/ALL. Accessed November 15, 2019.</w:t>
      </w:r>
    </w:p>
    <w:p w14:paraId="710EB38C"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5. </w:t>
      </w:r>
      <w:r>
        <w:rPr>
          <w:rFonts w:ascii="Times New Roman" w:hAnsi="Times New Roman" w:cs="Times New Roman"/>
          <w:noProof/>
        </w:rPr>
        <w:tab/>
        <w:t xml:space="preserve">Kannel WB. Blood pressure as a cardiovascular risk factor: prevention and treatment. </w:t>
      </w:r>
      <w:r>
        <w:rPr>
          <w:rFonts w:ascii="Times New Roman" w:hAnsi="Times New Roman" w:cs="Times New Roman"/>
          <w:i/>
          <w:iCs/>
          <w:noProof/>
        </w:rPr>
        <w:t>JAMA</w:t>
      </w:r>
      <w:r>
        <w:rPr>
          <w:rFonts w:ascii="Times New Roman" w:hAnsi="Times New Roman" w:cs="Times New Roman"/>
          <w:noProof/>
        </w:rPr>
        <w:t xml:space="preserve"> 1996;275(20):1571-1576.</w:t>
      </w:r>
    </w:p>
    <w:p w14:paraId="5C0AF76C"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6. </w:t>
      </w:r>
      <w:r>
        <w:rPr>
          <w:rFonts w:ascii="Times New Roman" w:hAnsi="Times New Roman" w:cs="Times New Roman"/>
          <w:noProof/>
        </w:rPr>
        <w:tab/>
        <w:t xml:space="preserve">Kannel W. Risk stratification in hypertension: new insights from the Framingham study*1. </w:t>
      </w:r>
      <w:r>
        <w:rPr>
          <w:rFonts w:ascii="Times New Roman" w:hAnsi="Times New Roman" w:cs="Times New Roman"/>
          <w:i/>
          <w:iCs/>
          <w:noProof/>
        </w:rPr>
        <w:t>Am J Hypertens</w:t>
      </w:r>
      <w:r>
        <w:rPr>
          <w:rFonts w:ascii="Times New Roman" w:hAnsi="Times New Roman" w:cs="Times New Roman"/>
          <w:noProof/>
        </w:rPr>
        <w:t xml:space="preserve"> 2000;13(1):S3-S10. doi:10.1016/S0895-7061(99)00252-6.</w:t>
      </w:r>
    </w:p>
    <w:p w14:paraId="2BC2C3ED"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7. </w:t>
      </w:r>
      <w:r>
        <w:rPr>
          <w:rFonts w:ascii="Times New Roman" w:hAnsi="Times New Roman" w:cs="Times New Roman"/>
          <w:noProof/>
        </w:rPr>
        <w:tab/>
        <w:t xml:space="preserve">Sunkara N, H Ahsan C. Hypertension in diabetes and the risk of cardiovascular disease. </w:t>
      </w:r>
      <w:r>
        <w:rPr>
          <w:rFonts w:ascii="Times New Roman" w:hAnsi="Times New Roman" w:cs="Times New Roman"/>
          <w:i/>
          <w:iCs/>
          <w:noProof/>
        </w:rPr>
        <w:t>Cardiovasc. Endocrinol.</w:t>
      </w:r>
      <w:r>
        <w:rPr>
          <w:rFonts w:ascii="Times New Roman" w:hAnsi="Times New Roman" w:cs="Times New Roman"/>
          <w:noProof/>
        </w:rPr>
        <w:t xml:space="preserve"> 2017;6(1):33-38. doi:10.1097/XCE.0000000000000114.</w:t>
      </w:r>
    </w:p>
    <w:p w14:paraId="69E31ED5"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8. </w:t>
      </w:r>
      <w:r>
        <w:rPr>
          <w:rFonts w:ascii="Times New Roman" w:hAnsi="Times New Roman" w:cs="Times New Roman"/>
          <w:noProof/>
        </w:rPr>
        <w:tab/>
        <w:t xml:space="preserve">Thomopoulos C, Parati G, Zanchetti A. Effects of blood pressure lowering on outcome incidence in hypertension. 1. Overview, meta-analyses, and meta-regression analyses of randomized trials. </w:t>
      </w:r>
      <w:r>
        <w:rPr>
          <w:rFonts w:ascii="Times New Roman" w:hAnsi="Times New Roman" w:cs="Times New Roman"/>
          <w:i/>
          <w:iCs/>
          <w:noProof/>
        </w:rPr>
        <w:t>J Hypertens</w:t>
      </w:r>
      <w:r>
        <w:rPr>
          <w:rFonts w:ascii="Times New Roman" w:hAnsi="Times New Roman" w:cs="Times New Roman"/>
          <w:noProof/>
        </w:rPr>
        <w:t xml:space="preserve"> 2014;32(12):2285-2295. doi:10.1097/HJH.0000000000000378.</w:t>
      </w:r>
    </w:p>
    <w:p w14:paraId="4922B303"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9. </w:t>
      </w:r>
      <w:r>
        <w:rPr>
          <w:rFonts w:ascii="Times New Roman" w:hAnsi="Times New Roman" w:cs="Times New Roman"/>
          <w:noProof/>
        </w:rPr>
        <w:tab/>
        <w:t xml:space="preserve">Börjesson M, Onerup A, Lundqvist S, Dahlöf B. Physical activity and exercise lower blood pressure in individuals with hypertension: narrative review of 27 RCTs. </w:t>
      </w:r>
      <w:r>
        <w:rPr>
          <w:rFonts w:ascii="Times New Roman" w:hAnsi="Times New Roman" w:cs="Times New Roman"/>
          <w:i/>
          <w:iCs/>
          <w:noProof/>
        </w:rPr>
        <w:t>Br J Sports Med</w:t>
      </w:r>
      <w:r>
        <w:rPr>
          <w:rFonts w:ascii="Times New Roman" w:hAnsi="Times New Roman" w:cs="Times New Roman"/>
          <w:noProof/>
        </w:rPr>
        <w:t xml:space="preserve"> 2016;50(6):356-361. doi:10.1136/bjsports-2015-095786.</w:t>
      </w:r>
    </w:p>
    <w:p w14:paraId="533A4791"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10. </w:t>
      </w:r>
      <w:r>
        <w:rPr>
          <w:rFonts w:ascii="Times New Roman" w:hAnsi="Times New Roman" w:cs="Times New Roman"/>
          <w:noProof/>
        </w:rPr>
        <w:tab/>
        <w:t xml:space="preserve">Igarashi Y, Akazawa N, Maeda S. The required step count for a reduction in blood pressure: a systematic review and meta-analysis. </w:t>
      </w:r>
      <w:r>
        <w:rPr>
          <w:rFonts w:ascii="Times New Roman" w:hAnsi="Times New Roman" w:cs="Times New Roman"/>
          <w:i/>
          <w:iCs/>
          <w:noProof/>
        </w:rPr>
        <w:t>J Hum Hypertens</w:t>
      </w:r>
      <w:r>
        <w:rPr>
          <w:rFonts w:ascii="Times New Roman" w:hAnsi="Times New Roman" w:cs="Times New Roman"/>
          <w:noProof/>
        </w:rPr>
        <w:t xml:space="preserve"> 2018;32(12):814-824. doi:10.1038/s41371-018-0100-z.</w:t>
      </w:r>
    </w:p>
    <w:p w14:paraId="7DD85878"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11. </w:t>
      </w:r>
      <w:r>
        <w:rPr>
          <w:rFonts w:ascii="Times New Roman" w:hAnsi="Times New Roman" w:cs="Times New Roman"/>
          <w:noProof/>
        </w:rPr>
        <w:tab/>
        <w:t xml:space="preserve">Yuenyongchaiwat K, Pipatsitipong D, Sangprasert P. Increasing walking steps daily can reduce blood pressure and diabetes in overweight participants. </w:t>
      </w:r>
      <w:r>
        <w:rPr>
          <w:rFonts w:ascii="Times New Roman" w:hAnsi="Times New Roman" w:cs="Times New Roman"/>
          <w:i/>
          <w:iCs/>
          <w:noProof/>
        </w:rPr>
        <w:t>Diabetol. Int.</w:t>
      </w:r>
      <w:r>
        <w:rPr>
          <w:rFonts w:ascii="Times New Roman" w:hAnsi="Times New Roman" w:cs="Times New Roman"/>
          <w:noProof/>
        </w:rPr>
        <w:t xml:space="preserve"> 2018;9(1):75-79. doi:10.1007/s13340-017-0333-z.</w:t>
      </w:r>
    </w:p>
    <w:p w14:paraId="6FC6E8C7"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12. </w:t>
      </w:r>
      <w:r>
        <w:rPr>
          <w:rFonts w:ascii="Times New Roman" w:hAnsi="Times New Roman" w:cs="Times New Roman"/>
          <w:noProof/>
        </w:rPr>
        <w:tab/>
        <w:t xml:space="preserve">Arija V, Villalobos F, Pedret R, et al. Physical activity, cardiovascular health, quality of life and blood pressure control in hypertensive subjects: randomized clinical trial. </w:t>
      </w:r>
      <w:r>
        <w:rPr>
          <w:rFonts w:ascii="Times New Roman" w:hAnsi="Times New Roman" w:cs="Times New Roman"/>
          <w:i/>
          <w:iCs/>
          <w:noProof/>
        </w:rPr>
        <w:t>Health Qual Life Outcomes</w:t>
      </w:r>
      <w:r>
        <w:rPr>
          <w:rFonts w:ascii="Times New Roman" w:hAnsi="Times New Roman" w:cs="Times New Roman"/>
          <w:noProof/>
        </w:rPr>
        <w:t xml:space="preserve"> 2018;16(1):184. doi:10.1186/s12955-018-1008-6.</w:t>
      </w:r>
    </w:p>
    <w:p w14:paraId="3CDD1DCB"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13. </w:t>
      </w:r>
      <w:r>
        <w:rPr>
          <w:rFonts w:ascii="Times New Roman" w:hAnsi="Times New Roman" w:cs="Times New Roman"/>
          <w:noProof/>
        </w:rPr>
        <w:tab/>
        <w:t xml:space="preserve">Schulz AJ, Israel BA, Mentz GB, et al. Effectiveness of a walking group intervention to promote physical activity and cardiovascular health in predominantly non-Hispanic black and Hispanic urban neighborhoods: findings from the walk your heart to health intervention. </w:t>
      </w:r>
      <w:r>
        <w:rPr>
          <w:rFonts w:ascii="Times New Roman" w:hAnsi="Times New Roman" w:cs="Times New Roman"/>
          <w:i/>
          <w:iCs/>
          <w:noProof/>
        </w:rPr>
        <w:t>Health Educ Behav</w:t>
      </w:r>
      <w:r>
        <w:rPr>
          <w:rFonts w:ascii="Times New Roman" w:hAnsi="Times New Roman" w:cs="Times New Roman"/>
          <w:noProof/>
        </w:rPr>
        <w:t xml:space="preserve"> 2015;42(3):380-392. doi:10.1177/1090198114560015.</w:t>
      </w:r>
    </w:p>
    <w:p w14:paraId="09CCC632"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14. </w:t>
      </w:r>
      <w:r>
        <w:rPr>
          <w:rFonts w:ascii="Times New Roman" w:hAnsi="Times New Roman" w:cs="Times New Roman"/>
          <w:noProof/>
        </w:rPr>
        <w:tab/>
        <w:t xml:space="preserve">Blood Pressure Lowering Treatment Trialists’ Collaboration, Turnbull F, Neal B, et al. Effects of different regimens to lower blood pressure on major cardiovascular events in older and younger adults: meta-analysis of randomised trials. </w:t>
      </w:r>
      <w:r>
        <w:rPr>
          <w:rFonts w:ascii="Times New Roman" w:hAnsi="Times New Roman" w:cs="Times New Roman"/>
          <w:i/>
          <w:iCs/>
          <w:noProof/>
        </w:rPr>
        <w:t>BMJ</w:t>
      </w:r>
      <w:r>
        <w:rPr>
          <w:rFonts w:ascii="Times New Roman" w:hAnsi="Times New Roman" w:cs="Times New Roman"/>
          <w:noProof/>
        </w:rPr>
        <w:t xml:space="preserve"> 2008;336(7653):1121-1123. doi:10.1136/bmj.39548.738368.BE.</w:t>
      </w:r>
    </w:p>
    <w:p w14:paraId="0FDC30A7"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lastRenderedPageBreak/>
        <w:t xml:space="preserve">15. </w:t>
      </w:r>
      <w:r>
        <w:rPr>
          <w:rFonts w:ascii="Times New Roman" w:hAnsi="Times New Roman" w:cs="Times New Roman"/>
          <w:noProof/>
        </w:rPr>
        <w:tab/>
        <w:t xml:space="preserve">MacMahon S, Peto R, Cutler J, et al. Blood pressure, stroke, and coronary heart disease. Part 1, Prolonged differences in blood pressure: prospective observational studies corrected for the regression dilution bias. </w:t>
      </w:r>
      <w:r>
        <w:rPr>
          <w:rFonts w:ascii="Times New Roman" w:hAnsi="Times New Roman" w:cs="Times New Roman"/>
          <w:i/>
          <w:iCs/>
          <w:noProof/>
        </w:rPr>
        <w:t>The Lancet</w:t>
      </w:r>
      <w:r>
        <w:rPr>
          <w:rFonts w:ascii="Times New Roman" w:hAnsi="Times New Roman" w:cs="Times New Roman"/>
          <w:noProof/>
        </w:rPr>
        <w:t xml:space="preserve"> 1990;335(8692):765-774. doi:10.1016/0140-6736(90)90878-9.</w:t>
      </w:r>
    </w:p>
    <w:p w14:paraId="0D432AE5"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16. </w:t>
      </w:r>
      <w:r>
        <w:rPr>
          <w:rFonts w:ascii="Times New Roman" w:hAnsi="Times New Roman" w:cs="Times New Roman"/>
          <w:noProof/>
        </w:rPr>
        <w:tab/>
        <w:t xml:space="preserve">Shamizadeh T, Jahangiry L, Sarbakhsh P, Ponnet K. Social cognitive theory-based intervention to promote physical activity among prediabetic rural people: a cluster randomized controlled trial. </w:t>
      </w:r>
      <w:r>
        <w:rPr>
          <w:rFonts w:ascii="Times New Roman" w:hAnsi="Times New Roman" w:cs="Times New Roman"/>
          <w:i/>
          <w:iCs/>
          <w:noProof/>
        </w:rPr>
        <w:t>Trials</w:t>
      </w:r>
      <w:r>
        <w:rPr>
          <w:rFonts w:ascii="Times New Roman" w:hAnsi="Times New Roman" w:cs="Times New Roman"/>
          <w:noProof/>
        </w:rPr>
        <w:t xml:space="preserve"> 2019;20(1):98. doi:10.1186/s13063-019-3220-z.</w:t>
      </w:r>
    </w:p>
    <w:p w14:paraId="64D15DD1" w14:textId="058E3131"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17. </w:t>
      </w:r>
      <w:r>
        <w:rPr>
          <w:rFonts w:ascii="Times New Roman" w:hAnsi="Times New Roman" w:cs="Times New Roman"/>
          <w:noProof/>
        </w:rPr>
        <w:tab/>
        <w:t xml:space="preserve">Williams LB, Franklin B, Evans MB, Jackson C, Hill A, Minor M. Turn the </w:t>
      </w:r>
      <w:r w:rsidR="00A01A6D">
        <w:rPr>
          <w:rFonts w:ascii="Times New Roman" w:hAnsi="Times New Roman" w:cs="Times New Roman"/>
          <w:noProof/>
        </w:rPr>
        <w:t>b</w:t>
      </w:r>
      <w:r>
        <w:rPr>
          <w:rFonts w:ascii="Times New Roman" w:hAnsi="Times New Roman" w:cs="Times New Roman"/>
          <w:noProof/>
        </w:rPr>
        <w:t xml:space="preserve">eat </w:t>
      </w:r>
      <w:r w:rsidR="00A01A6D">
        <w:rPr>
          <w:rFonts w:ascii="Times New Roman" w:hAnsi="Times New Roman" w:cs="Times New Roman"/>
          <w:noProof/>
        </w:rPr>
        <w:t>a</w:t>
      </w:r>
      <w:r>
        <w:rPr>
          <w:rFonts w:ascii="Times New Roman" w:hAnsi="Times New Roman" w:cs="Times New Roman"/>
          <w:noProof/>
        </w:rPr>
        <w:t xml:space="preserve">round: </w:t>
      </w:r>
      <w:r w:rsidR="00A01A6D">
        <w:rPr>
          <w:rFonts w:ascii="Times New Roman" w:hAnsi="Times New Roman" w:cs="Times New Roman"/>
          <w:noProof/>
        </w:rPr>
        <w:t>a</w:t>
      </w:r>
      <w:r>
        <w:rPr>
          <w:rFonts w:ascii="Times New Roman" w:hAnsi="Times New Roman" w:cs="Times New Roman"/>
          <w:noProof/>
        </w:rPr>
        <w:t xml:space="preserve"> </w:t>
      </w:r>
      <w:r w:rsidR="00A01A6D">
        <w:rPr>
          <w:rFonts w:ascii="Times New Roman" w:hAnsi="Times New Roman" w:cs="Times New Roman"/>
          <w:noProof/>
        </w:rPr>
        <w:t>s</w:t>
      </w:r>
      <w:r>
        <w:rPr>
          <w:rFonts w:ascii="Times New Roman" w:hAnsi="Times New Roman" w:cs="Times New Roman"/>
          <w:noProof/>
        </w:rPr>
        <w:t xml:space="preserve">troke </w:t>
      </w:r>
      <w:r w:rsidR="00A01A6D">
        <w:rPr>
          <w:rFonts w:ascii="Times New Roman" w:hAnsi="Times New Roman" w:cs="Times New Roman"/>
          <w:noProof/>
        </w:rPr>
        <w:t>p</w:t>
      </w:r>
      <w:r>
        <w:rPr>
          <w:rFonts w:ascii="Times New Roman" w:hAnsi="Times New Roman" w:cs="Times New Roman"/>
          <w:noProof/>
        </w:rPr>
        <w:t xml:space="preserve">revention </w:t>
      </w:r>
      <w:r w:rsidR="00A01A6D">
        <w:rPr>
          <w:rFonts w:ascii="Times New Roman" w:hAnsi="Times New Roman" w:cs="Times New Roman"/>
          <w:noProof/>
        </w:rPr>
        <w:t>p</w:t>
      </w:r>
      <w:r>
        <w:rPr>
          <w:rFonts w:ascii="Times New Roman" w:hAnsi="Times New Roman" w:cs="Times New Roman"/>
          <w:noProof/>
        </w:rPr>
        <w:t xml:space="preserve">rogram for </w:t>
      </w:r>
      <w:r w:rsidR="00A01A6D">
        <w:rPr>
          <w:rFonts w:ascii="Times New Roman" w:hAnsi="Times New Roman" w:cs="Times New Roman"/>
          <w:noProof/>
        </w:rPr>
        <w:t>a</w:t>
      </w:r>
      <w:r>
        <w:rPr>
          <w:rFonts w:ascii="Times New Roman" w:hAnsi="Times New Roman" w:cs="Times New Roman"/>
          <w:noProof/>
        </w:rPr>
        <w:t>frican-</w:t>
      </w:r>
      <w:r w:rsidR="00A01A6D">
        <w:rPr>
          <w:rFonts w:ascii="Times New Roman" w:hAnsi="Times New Roman" w:cs="Times New Roman"/>
          <w:noProof/>
        </w:rPr>
        <w:t>a</w:t>
      </w:r>
      <w:r>
        <w:rPr>
          <w:rFonts w:ascii="Times New Roman" w:hAnsi="Times New Roman" w:cs="Times New Roman"/>
          <w:noProof/>
        </w:rPr>
        <w:t xml:space="preserve">merican </w:t>
      </w:r>
      <w:r w:rsidR="00A01A6D">
        <w:rPr>
          <w:rFonts w:ascii="Times New Roman" w:hAnsi="Times New Roman" w:cs="Times New Roman"/>
          <w:noProof/>
        </w:rPr>
        <w:t>c</w:t>
      </w:r>
      <w:r>
        <w:rPr>
          <w:rFonts w:ascii="Times New Roman" w:hAnsi="Times New Roman" w:cs="Times New Roman"/>
          <w:noProof/>
        </w:rPr>
        <w:t xml:space="preserve">hurches. </w:t>
      </w:r>
      <w:r>
        <w:rPr>
          <w:rFonts w:ascii="Times New Roman" w:hAnsi="Times New Roman" w:cs="Times New Roman"/>
          <w:i/>
          <w:iCs/>
          <w:noProof/>
        </w:rPr>
        <w:t>Public Health Nurs</w:t>
      </w:r>
      <w:r>
        <w:rPr>
          <w:rFonts w:ascii="Times New Roman" w:hAnsi="Times New Roman" w:cs="Times New Roman"/>
          <w:noProof/>
        </w:rPr>
        <w:t xml:space="preserve"> 2016;33(1):11-20. doi:10.1111/phn.12234.</w:t>
      </w:r>
    </w:p>
    <w:p w14:paraId="4F0917D5"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18. </w:t>
      </w:r>
      <w:r>
        <w:rPr>
          <w:rFonts w:ascii="Times New Roman" w:hAnsi="Times New Roman" w:cs="Times New Roman"/>
          <w:noProof/>
        </w:rPr>
        <w:tab/>
        <w:t xml:space="preserve">Braveman P, Egerter S, Williams DR. The social determinants of health: coming of age. </w:t>
      </w:r>
      <w:r>
        <w:rPr>
          <w:rFonts w:ascii="Times New Roman" w:hAnsi="Times New Roman" w:cs="Times New Roman"/>
          <w:i/>
          <w:iCs/>
          <w:noProof/>
        </w:rPr>
        <w:t>Annu Rev Public Health</w:t>
      </w:r>
      <w:r>
        <w:rPr>
          <w:rFonts w:ascii="Times New Roman" w:hAnsi="Times New Roman" w:cs="Times New Roman"/>
          <w:noProof/>
        </w:rPr>
        <w:t xml:space="preserve"> 2011;32:381-398. doi:10.1146/annurev-publhealth-031210-101218.</w:t>
      </w:r>
    </w:p>
    <w:p w14:paraId="2AE4185A" w14:textId="7603871B"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19. </w:t>
      </w:r>
      <w:r>
        <w:rPr>
          <w:rFonts w:ascii="Times New Roman" w:hAnsi="Times New Roman" w:cs="Times New Roman"/>
          <w:noProof/>
        </w:rPr>
        <w:tab/>
        <w:t xml:space="preserve">McLeroy KR, Bibeau D, Steckler A, Glanz K. An </w:t>
      </w:r>
      <w:r w:rsidR="0073027B">
        <w:rPr>
          <w:rFonts w:ascii="Times New Roman" w:hAnsi="Times New Roman" w:cs="Times New Roman"/>
          <w:noProof/>
        </w:rPr>
        <w:t>e</w:t>
      </w:r>
      <w:r>
        <w:rPr>
          <w:rFonts w:ascii="Times New Roman" w:hAnsi="Times New Roman" w:cs="Times New Roman"/>
          <w:noProof/>
        </w:rPr>
        <w:t xml:space="preserve">cological </w:t>
      </w:r>
      <w:r w:rsidR="0073027B">
        <w:rPr>
          <w:rFonts w:ascii="Times New Roman" w:hAnsi="Times New Roman" w:cs="Times New Roman"/>
          <w:noProof/>
        </w:rPr>
        <w:t>p</w:t>
      </w:r>
      <w:r>
        <w:rPr>
          <w:rFonts w:ascii="Times New Roman" w:hAnsi="Times New Roman" w:cs="Times New Roman"/>
          <w:noProof/>
        </w:rPr>
        <w:t xml:space="preserve">erspective on </w:t>
      </w:r>
      <w:r w:rsidR="0073027B">
        <w:rPr>
          <w:rFonts w:ascii="Times New Roman" w:hAnsi="Times New Roman" w:cs="Times New Roman"/>
          <w:noProof/>
        </w:rPr>
        <w:t>h</w:t>
      </w:r>
      <w:r>
        <w:rPr>
          <w:rFonts w:ascii="Times New Roman" w:hAnsi="Times New Roman" w:cs="Times New Roman"/>
          <w:noProof/>
        </w:rPr>
        <w:t xml:space="preserve">ealth </w:t>
      </w:r>
      <w:r w:rsidR="0073027B">
        <w:rPr>
          <w:rFonts w:ascii="Times New Roman" w:hAnsi="Times New Roman" w:cs="Times New Roman"/>
          <w:noProof/>
        </w:rPr>
        <w:t>p</w:t>
      </w:r>
      <w:r>
        <w:rPr>
          <w:rFonts w:ascii="Times New Roman" w:hAnsi="Times New Roman" w:cs="Times New Roman"/>
          <w:noProof/>
        </w:rPr>
        <w:t xml:space="preserve">romotion </w:t>
      </w:r>
      <w:r w:rsidR="0073027B">
        <w:rPr>
          <w:rFonts w:ascii="Times New Roman" w:hAnsi="Times New Roman" w:cs="Times New Roman"/>
          <w:noProof/>
        </w:rPr>
        <w:t>p</w:t>
      </w:r>
      <w:r>
        <w:rPr>
          <w:rFonts w:ascii="Times New Roman" w:hAnsi="Times New Roman" w:cs="Times New Roman"/>
          <w:noProof/>
        </w:rPr>
        <w:t xml:space="preserve">rograms. </w:t>
      </w:r>
      <w:r>
        <w:rPr>
          <w:rFonts w:ascii="Times New Roman" w:hAnsi="Times New Roman" w:cs="Times New Roman"/>
          <w:i/>
          <w:iCs/>
          <w:noProof/>
        </w:rPr>
        <w:t>Health Education &amp; Behavior</w:t>
      </w:r>
      <w:r>
        <w:rPr>
          <w:rFonts w:ascii="Times New Roman" w:hAnsi="Times New Roman" w:cs="Times New Roman"/>
          <w:noProof/>
        </w:rPr>
        <w:t xml:space="preserve"> 1988;15(4):351-377. doi:10.1177/109019818801500401.</w:t>
      </w:r>
    </w:p>
    <w:p w14:paraId="0B870399"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20. </w:t>
      </w:r>
      <w:r>
        <w:rPr>
          <w:rFonts w:ascii="Times New Roman" w:hAnsi="Times New Roman" w:cs="Times New Roman"/>
          <w:noProof/>
        </w:rPr>
        <w:tab/>
        <w:t xml:space="preserve">Fahs PS, Pribulick M, Williams IC, James GD, Rovnyak V, Seibold-Simpson SM. Promoting heart health in rural women. </w:t>
      </w:r>
      <w:r>
        <w:rPr>
          <w:rFonts w:ascii="Times New Roman" w:hAnsi="Times New Roman" w:cs="Times New Roman"/>
          <w:i/>
          <w:iCs/>
          <w:noProof/>
        </w:rPr>
        <w:t>J. Rural Health</w:t>
      </w:r>
      <w:r>
        <w:rPr>
          <w:rFonts w:ascii="Times New Roman" w:hAnsi="Times New Roman" w:cs="Times New Roman"/>
          <w:noProof/>
        </w:rPr>
        <w:t xml:space="preserve"> 2013;29(3):248-257. doi:10.1111/j.1748-0361.2012.00442.x.</w:t>
      </w:r>
    </w:p>
    <w:p w14:paraId="55A1C252"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21. </w:t>
      </w:r>
      <w:r>
        <w:rPr>
          <w:rFonts w:ascii="Times New Roman" w:hAnsi="Times New Roman" w:cs="Times New Roman"/>
          <w:noProof/>
        </w:rPr>
        <w:tab/>
        <w:t>Poverty Rate Lower in Rural America Than Urban Centers. Available at: https://www.census.gov/library/stories/2017/11/income-poverty-rural-america.html. Accessed November 18, 2019.</w:t>
      </w:r>
    </w:p>
    <w:p w14:paraId="39A8B767"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22. </w:t>
      </w:r>
      <w:r>
        <w:rPr>
          <w:rFonts w:ascii="Times New Roman" w:hAnsi="Times New Roman" w:cs="Times New Roman"/>
          <w:noProof/>
        </w:rPr>
        <w:tab/>
        <w:t xml:space="preserve">Kassavou A, Turner A, French DP. Do interventions to promote walking in groups increase physical activity? A meta-analysis. </w:t>
      </w:r>
      <w:r>
        <w:rPr>
          <w:rFonts w:ascii="Times New Roman" w:hAnsi="Times New Roman" w:cs="Times New Roman"/>
          <w:i/>
          <w:iCs/>
          <w:noProof/>
        </w:rPr>
        <w:t>Int J Behav Nutr Phys Act</w:t>
      </w:r>
      <w:r>
        <w:rPr>
          <w:rFonts w:ascii="Times New Roman" w:hAnsi="Times New Roman" w:cs="Times New Roman"/>
          <w:noProof/>
        </w:rPr>
        <w:t xml:space="preserve"> 2013;10:18. doi:10.1186/1479-5868-10-18.</w:t>
      </w:r>
    </w:p>
    <w:p w14:paraId="1890CEAD"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23. </w:t>
      </w:r>
      <w:r>
        <w:rPr>
          <w:rFonts w:ascii="Times New Roman" w:hAnsi="Times New Roman" w:cs="Times New Roman"/>
          <w:noProof/>
        </w:rPr>
        <w:tab/>
        <w:t xml:space="preserve">Pullyblank K, Strogatz D, Folta SC, et al. Effects of the strong hearts, healthy communities intervention on functional fitness of rural women. </w:t>
      </w:r>
      <w:r>
        <w:rPr>
          <w:rFonts w:ascii="Times New Roman" w:hAnsi="Times New Roman" w:cs="Times New Roman"/>
          <w:i/>
          <w:iCs/>
          <w:noProof/>
        </w:rPr>
        <w:t>J. Rural Health</w:t>
      </w:r>
      <w:r>
        <w:rPr>
          <w:rFonts w:ascii="Times New Roman" w:hAnsi="Times New Roman" w:cs="Times New Roman"/>
          <w:noProof/>
        </w:rPr>
        <w:t xml:space="preserve"> 2019. doi:10.1111/jrh.12361.</w:t>
      </w:r>
    </w:p>
    <w:p w14:paraId="065577AD"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24. </w:t>
      </w:r>
      <w:r>
        <w:rPr>
          <w:rFonts w:ascii="Times New Roman" w:hAnsi="Times New Roman" w:cs="Times New Roman"/>
          <w:noProof/>
        </w:rPr>
        <w:tab/>
        <w:t xml:space="preserve">Sidebottom AC, Sillah A, Miedema MD, et al. Changes in cardiovascular risk factors after 5 years of implementation of a population-based program to reduce cardiovascular disease: The Heart of New Ulm Project. </w:t>
      </w:r>
      <w:r>
        <w:rPr>
          <w:rFonts w:ascii="Times New Roman" w:hAnsi="Times New Roman" w:cs="Times New Roman"/>
          <w:i/>
          <w:iCs/>
          <w:noProof/>
        </w:rPr>
        <w:t>Am Heart J</w:t>
      </w:r>
      <w:r>
        <w:rPr>
          <w:rFonts w:ascii="Times New Roman" w:hAnsi="Times New Roman" w:cs="Times New Roman"/>
          <w:noProof/>
        </w:rPr>
        <w:t xml:space="preserve"> 2016;175:66-76. doi:10.1016/j.ahj.2016.02.006.</w:t>
      </w:r>
    </w:p>
    <w:p w14:paraId="17DCDD80"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25. </w:t>
      </w:r>
      <w:r>
        <w:rPr>
          <w:rFonts w:ascii="Times New Roman" w:hAnsi="Times New Roman" w:cs="Times New Roman"/>
          <w:noProof/>
        </w:rPr>
        <w:tab/>
        <w:t xml:space="preserve">Sidebottom AC, Sillah A, Vock DM, et al. Assessing the impact of the heart of New Ulm Project on cardiovascular disease risk factors: A population-based program to reduce cardiovascular disease. </w:t>
      </w:r>
      <w:r>
        <w:rPr>
          <w:rFonts w:ascii="Times New Roman" w:hAnsi="Times New Roman" w:cs="Times New Roman"/>
          <w:i/>
          <w:iCs/>
          <w:noProof/>
        </w:rPr>
        <w:t>Prev Med</w:t>
      </w:r>
      <w:r>
        <w:rPr>
          <w:rFonts w:ascii="Times New Roman" w:hAnsi="Times New Roman" w:cs="Times New Roman"/>
          <w:noProof/>
        </w:rPr>
        <w:t xml:space="preserve"> 2018;112:216-221. doi:10.1016/j.ypmed.2018.04.016.</w:t>
      </w:r>
    </w:p>
    <w:p w14:paraId="0F2A2D14"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26. </w:t>
      </w:r>
      <w:r>
        <w:rPr>
          <w:rFonts w:ascii="Times New Roman" w:hAnsi="Times New Roman" w:cs="Times New Roman"/>
          <w:noProof/>
        </w:rPr>
        <w:tab/>
        <w:t>The 6 Minute Walk Test - The Cardiology Advisor. Available at: https://www.thecardiologyadvisor.com/home/decision-support-in-medicine/cardiology/the-6-minute-walk-test/. Accessed November 18, 2019.</w:t>
      </w:r>
    </w:p>
    <w:p w14:paraId="601006DF" w14:textId="41B474D2"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27. </w:t>
      </w:r>
      <w:r>
        <w:rPr>
          <w:rFonts w:ascii="Times New Roman" w:hAnsi="Times New Roman" w:cs="Times New Roman"/>
          <w:noProof/>
        </w:rPr>
        <w:tab/>
        <w:t xml:space="preserve">Duncan MJ, Mota J, Carvalho J, Nevill AM. An </w:t>
      </w:r>
      <w:r w:rsidR="00BA3A0D">
        <w:rPr>
          <w:rFonts w:ascii="Times New Roman" w:hAnsi="Times New Roman" w:cs="Times New Roman"/>
          <w:noProof/>
        </w:rPr>
        <w:t>e</w:t>
      </w:r>
      <w:r>
        <w:rPr>
          <w:rFonts w:ascii="Times New Roman" w:hAnsi="Times New Roman" w:cs="Times New Roman"/>
          <w:noProof/>
        </w:rPr>
        <w:t xml:space="preserve">valuation of </w:t>
      </w:r>
      <w:r w:rsidR="00BA3A0D">
        <w:rPr>
          <w:rFonts w:ascii="Times New Roman" w:hAnsi="Times New Roman" w:cs="Times New Roman"/>
          <w:noProof/>
        </w:rPr>
        <w:t>p</w:t>
      </w:r>
      <w:r>
        <w:rPr>
          <w:rFonts w:ascii="Times New Roman" w:hAnsi="Times New Roman" w:cs="Times New Roman"/>
          <w:noProof/>
        </w:rPr>
        <w:t xml:space="preserve">rediction </w:t>
      </w:r>
      <w:r w:rsidR="00BA3A0D">
        <w:rPr>
          <w:rFonts w:ascii="Times New Roman" w:hAnsi="Times New Roman" w:cs="Times New Roman"/>
          <w:noProof/>
        </w:rPr>
        <w:t>e</w:t>
      </w:r>
      <w:r>
        <w:rPr>
          <w:rFonts w:ascii="Times New Roman" w:hAnsi="Times New Roman" w:cs="Times New Roman"/>
          <w:noProof/>
        </w:rPr>
        <w:t xml:space="preserve">quations for the 6 </w:t>
      </w:r>
      <w:r w:rsidR="00BA3A0D">
        <w:rPr>
          <w:rFonts w:ascii="Times New Roman" w:hAnsi="Times New Roman" w:cs="Times New Roman"/>
          <w:noProof/>
        </w:rPr>
        <w:t>m</w:t>
      </w:r>
      <w:r>
        <w:rPr>
          <w:rFonts w:ascii="Times New Roman" w:hAnsi="Times New Roman" w:cs="Times New Roman"/>
          <w:noProof/>
        </w:rPr>
        <w:t xml:space="preserve">inute </w:t>
      </w:r>
      <w:r w:rsidR="00BA3A0D">
        <w:rPr>
          <w:rFonts w:ascii="Times New Roman" w:hAnsi="Times New Roman" w:cs="Times New Roman"/>
          <w:noProof/>
        </w:rPr>
        <w:t>w</w:t>
      </w:r>
      <w:r>
        <w:rPr>
          <w:rFonts w:ascii="Times New Roman" w:hAnsi="Times New Roman" w:cs="Times New Roman"/>
          <w:noProof/>
        </w:rPr>
        <w:t xml:space="preserve">alk </w:t>
      </w:r>
      <w:r w:rsidR="00BA3A0D">
        <w:rPr>
          <w:rFonts w:ascii="Times New Roman" w:hAnsi="Times New Roman" w:cs="Times New Roman"/>
          <w:noProof/>
        </w:rPr>
        <w:t>t</w:t>
      </w:r>
      <w:r>
        <w:rPr>
          <w:rFonts w:ascii="Times New Roman" w:hAnsi="Times New Roman" w:cs="Times New Roman"/>
          <w:noProof/>
        </w:rPr>
        <w:t xml:space="preserve">est in </w:t>
      </w:r>
      <w:r w:rsidR="00BA3A0D">
        <w:rPr>
          <w:rFonts w:ascii="Times New Roman" w:hAnsi="Times New Roman" w:cs="Times New Roman"/>
          <w:noProof/>
        </w:rPr>
        <w:t>h</w:t>
      </w:r>
      <w:r>
        <w:rPr>
          <w:rFonts w:ascii="Times New Roman" w:hAnsi="Times New Roman" w:cs="Times New Roman"/>
          <w:noProof/>
        </w:rPr>
        <w:t xml:space="preserve">ealthy </w:t>
      </w:r>
      <w:r w:rsidR="00BA3A0D">
        <w:rPr>
          <w:rFonts w:ascii="Times New Roman" w:hAnsi="Times New Roman" w:cs="Times New Roman"/>
          <w:noProof/>
        </w:rPr>
        <w:t>e</w:t>
      </w:r>
      <w:r>
        <w:rPr>
          <w:rFonts w:ascii="Times New Roman" w:hAnsi="Times New Roman" w:cs="Times New Roman"/>
          <w:noProof/>
        </w:rPr>
        <w:t xml:space="preserve">uropean </w:t>
      </w:r>
      <w:r w:rsidR="00BA3A0D">
        <w:rPr>
          <w:rFonts w:ascii="Times New Roman" w:hAnsi="Times New Roman" w:cs="Times New Roman"/>
          <w:noProof/>
        </w:rPr>
        <w:t>a</w:t>
      </w:r>
      <w:r>
        <w:rPr>
          <w:rFonts w:ascii="Times New Roman" w:hAnsi="Times New Roman" w:cs="Times New Roman"/>
          <w:noProof/>
        </w:rPr>
        <w:t xml:space="preserve">dults </w:t>
      </w:r>
      <w:r w:rsidR="00BA3A0D">
        <w:rPr>
          <w:rFonts w:ascii="Times New Roman" w:hAnsi="Times New Roman" w:cs="Times New Roman"/>
          <w:noProof/>
        </w:rPr>
        <w:t>a</w:t>
      </w:r>
      <w:r>
        <w:rPr>
          <w:rFonts w:ascii="Times New Roman" w:hAnsi="Times New Roman" w:cs="Times New Roman"/>
          <w:noProof/>
        </w:rPr>
        <w:t xml:space="preserve">ged 50-85 </w:t>
      </w:r>
      <w:r w:rsidR="00BA3A0D">
        <w:rPr>
          <w:rFonts w:ascii="Times New Roman" w:hAnsi="Times New Roman" w:cs="Times New Roman"/>
          <w:noProof/>
        </w:rPr>
        <w:t>y</w:t>
      </w:r>
      <w:r>
        <w:rPr>
          <w:rFonts w:ascii="Times New Roman" w:hAnsi="Times New Roman" w:cs="Times New Roman"/>
          <w:noProof/>
        </w:rPr>
        <w:t xml:space="preserve">ears. </w:t>
      </w:r>
      <w:r>
        <w:rPr>
          <w:rFonts w:ascii="Times New Roman" w:hAnsi="Times New Roman" w:cs="Times New Roman"/>
          <w:i/>
          <w:iCs/>
          <w:noProof/>
        </w:rPr>
        <w:t>PLoS ONE</w:t>
      </w:r>
      <w:r>
        <w:rPr>
          <w:rFonts w:ascii="Times New Roman" w:hAnsi="Times New Roman" w:cs="Times New Roman"/>
          <w:noProof/>
        </w:rPr>
        <w:t xml:space="preserve"> 2015;10(9):e0139629. doi:10.1371/journal.pone.0139629.</w:t>
      </w:r>
    </w:p>
    <w:p w14:paraId="61E4721A"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28. </w:t>
      </w:r>
      <w:r>
        <w:rPr>
          <w:rFonts w:ascii="Times New Roman" w:hAnsi="Times New Roman" w:cs="Times New Roman"/>
          <w:noProof/>
        </w:rPr>
        <w:tab/>
        <w:t>6 Minute Walk Test | RehabMeasures Database. Available at: https://www.sralab.org/rehabilitation-measures/6-minute-walk-test. Accessed November 13, 2019.</w:t>
      </w:r>
    </w:p>
    <w:p w14:paraId="13FA282A"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29. </w:t>
      </w:r>
      <w:r>
        <w:rPr>
          <w:rFonts w:ascii="Times New Roman" w:hAnsi="Times New Roman" w:cs="Times New Roman"/>
          <w:noProof/>
        </w:rPr>
        <w:tab/>
        <w:t xml:space="preserve">Ramos RA, Guimarães FS, Cordovil I, de Sa Ferreira A. The six-minute walk distance is a marker of hemodynamic-related functional capacity in hypertension: a case-control study. </w:t>
      </w:r>
      <w:r>
        <w:rPr>
          <w:rFonts w:ascii="Times New Roman" w:hAnsi="Times New Roman" w:cs="Times New Roman"/>
          <w:i/>
          <w:iCs/>
          <w:noProof/>
        </w:rPr>
        <w:lastRenderedPageBreak/>
        <w:t>Hypertens Res</w:t>
      </w:r>
      <w:r>
        <w:rPr>
          <w:rFonts w:ascii="Times New Roman" w:hAnsi="Times New Roman" w:cs="Times New Roman"/>
          <w:noProof/>
        </w:rPr>
        <w:t xml:space="preserve"> 2014;37(8):746-752. doi:10.1038/hr.2014.59.</w:t>
      </w:r>
    </w:p>
    <w:p w14:paraId="7EE38921" w14:textId="1BA4B8B9"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30. </w:t>
      </w:r>
      <w:r>
        <w:rPr>
          <w:rFonts w:ascii="Times New Roman" w:hAnsi="Times New Roman" w:cs="Times New Roman"/>
          <w:noProof/>
        </w:rPr>
        <w:tab/>
        <w:t xml:space="preserve">Yazdanyar A, Aziz MM, Enright PL, et al. Association </w:t>
      </w:r>
      <w:r w:rsidR="00BA3A0D">
        <w:rPr>
          <w:rFonts w:ascii="Times New Roman" w:hAnsi="Times New Roman" w:cs="Times New Roman"/>
          <w:noProof/>
        </w:rPr>
        <w:t>b</w:t>
      </w:r>
      <w:r>
        <w:rPr>
          <w:rFonts w:ascii="Times New Roman" w:hAnsi="Times New Roman" w:cs="Times New Roman"/>
          <w:noProof/>
        </w:rPr>
        <w:t>etween 6-</w:t>
      </w:r>
      <w:r w:rsidR="00BA3A0D">
        <w:rPr>
          <w:rFonts w:ascii="Times New Roman" w:hAnsi="Times New Roman" w:cs="Times New Roman"/>
          <w:noProof/>
        </w:rPr>
        <w:t>m</w:t>
      </w:r>
      <w:r>
        <w:rPr>
          <w:rFonts w:ascii="Times New Roman" w:hAnsi="Times New Roman" w:cs="Times New Roman"/>
          <w:noProof/>
        </w:rPr>
        <w:t xml:space="preserve">inute </w:t>
      </w:r>
      <w:r w:rsidR="00BA3A0D">
        <w:rPr>
          <w:rFonts w:ascii="Times New Roman" w:hAnsi="Times New Roman" w:cs="Times New Roman"/>
          <w:noProof/>
        </w:rPr>
        <w:t>w</w:t>
      </w:r>
      <w:r>
        <w:rPr>
          <w:rFonts w:ascii="Times New Roman" w:hAnsi="Times New Roman" w:cs="Times New Roman"/>
          <w:noProof/>
        </w:rPr>
        <w:t xml:space="preserve">alk </w:t>
      </w:r>
      <w:r w:rsidR="00BA3A0D">
        <w:rPr>
          <w:rFonts w:ascii="Times New Roman" w:hAnsi="Times New Roman" w:cs="Times New Roman"/>
          <w:noProof/>
        </w:rPr>
        <w:t>t</w:t>
      </w:r>
      <w:r>
        <w:rPr>
          <w:rFonts w:ascii="Times New Roman" w:hAnsi="Times New Roman" w:cs="Times New Roman"/>
          <w:noProof/>
        </w:rPr>
        <w:t xml:space="preserve">est and </w:t>
      </w:r>
      <w:r w:rsidR="00BA3A0D">
        <w:rPr>
          <w:rFonts w:ascii="Times New Roman" w:hAnsi="Times New Roman" w:cs="Times New Roman"/>
          <w:noProof/>
        </w:rPr>
        <w:t>a</w:t>
      </w:r>
      <w:r>
        <w:rPr>
          <w:rFonts w:ascii="Times New Roman" w:hAnsi="Times New Roman" w:cs="Times New Roman"/>
          <w:noProof/>
        </w:rPr>
        <w:t>ll-</w:t>
      </w:r>
      <w:r w:rsidR="00BA3A0D">
        <w:rPr>
          <w:rFonts w:ascii="Times New Roman" w:hAnsi="Times New Roman" w:cs="Times New Roman"/>
          <w:noProof/>
        </w:rPr>
        <w:t>c</w:t>
      </w:r>
      <w:r>
        <w:rPr>
          <w:rFonts w:ascii="Times New Roman" w:hAnsi="Times New Roman" w:cs="Times New Roman"/>
          <w:noProof/>
        </w:rPr>
        <w:t xml:space="preserve">ause </w:t>
      </w:r>
      <w:r w:rsidR="00BA3A0D">
        <w:rPr>
          <w:rFonts w:ascii="Times New Roman" w:hAnsi="Times New Roman" w:cs="Times New Roman"/>
          <w:noProof/>
        </w:rPr>
        <w:t>m</w:t>
      </w:r>
      <w:r>
        <w:rPr>
          <w:rFonts w:ascii="Times New Roman" w:hAnsi="Times New Roman" w:cs="Times New Roman"/>
          <w:noProof/>
        </w:rPr>
        <w:t xml:space="preserve">ortality, </w:t>
      </w:r>
      <w:r w:rsidR="00BA3A0D">
        <w:rPr>
          <w:rFonts w:ascii="Times New Roman" w:hAnsi="Times New Roman" w:cs="Times New Roman"/>
          <w:noProof/>
        </w:rPr>
        <w:t>c</w:t>
      </w:r>
      <w:r>
        <w:rPr>
          <w:rFonts w:ascii="Times New Roman" w:hAnsi="Times New Roman" w:cs="Times New Roman"/>
          <w:noProof/>
        </w:rPr>
        <w:t xml:space="preserve">oronary </w:t>
      </w:r>
      <w:r w:rsidR="00BA3A0D">
        <w:rPr>
          <w:rFonts w:ascii="Times New Roman" w:hAnsi="Times New Roman" w:cs="Times New Roman"/>
          <w:noProof/>
        </w:rPr>
        <w:t>h</w:t>
      </w:r>
      <w:r>
        <w:rPr>
          <w:rFonts w:ascii="Times New Roman" w:hAnsi="Times New Roman" w:cs="Times New Roman"/>
          <w:noProof/>
        </w:rPr>
        <w:t xml:space="preserve">eart </w:t>
      </w:r>
      <w:r w:rsidR="00BA3A0D">
        <w:rPr>
          <w:rFonts w:ascii="Times New Roman" w:hAnsi="Times New Roman" w:cs="Times New Roman"/>
          <w:noProof/>
        </w:rPr>
        <w:t>d</w:t>
      </w:r>
      <w:r>
        <w:rPr>
          <w:rFonts w:ascii="Times New Roman" w:hAnsi="Times New Roman" w:cs="Times New Roman"/>
          <w:noProof/>
        </w:rPr>
        <w:t>isease-</w:t>
      </w:r>
      <w:r w:rsidR="00BA3A0D">
        <w:rPr>
          <w:rFonts w:ascii="Times New Roman" w:hAnsi="Times New Roman" w:cs="Times New Roman"/>
          <w:noProof/>
        </w:rPr>
        <w:t>s</w:t>
      </w:r>
      <w:r>
        <w:rPr>
          <w:rFonts w:ascii="Times New Roman" w:hAnsi="Times New Roman" w:cs="Times New Roman"/>
          <w:noProof/>
        </w:rPr>
        <w:t xml:space="preserve">pecific </w:t>
      </w:r>
      <w:r w:rsidR="00BA3A0D">
        <w:rPr>
          <w:rFonts w:ascii="Times New Roman" w:hAnsi="Times New Roman" w:cs="Times New Roman"/>
          <w:noProof/>
        </w:rPr>
        <w:t>m</w:t>
      </w:r>
      <w:r>
        <w:rPr>
          <w:rFonts w:ascii="Times New Roman" w:hAnsi="Times New Roman" w:cs="Times New Roman"/>
          <w:noProof/>
        </w:rPr>
        <w:t xml:space="preserve">ortality, and </w:t>
      </w:r>
      <w:r w:rsidR="00BA3A0D">
        <w:rPr>
          <w:rFonts w:ascii="Times New Roman" w:hAnsi="Times New Roman" w:cs="Times New Roman"/>
          <w:noProof/>
        </w:rPr>
        <w:t>i</w:t>
      </w:r>
      <w:r>
        <w:rPr>
          <w:rFonts w:ascii="Times New Roman" w:hAnsi="Times New Roman" w:cs="Times New Roman"/>
          <w:noProof/>
        </w:rPr>
        <w:t xml:space="preserve">ncident </w:t>
      </w:r>
      <w:r w:rsidR="00BA3A0D">
        <w:rPr>
          <w:rFonts w:ascii="Times New Roman" w:hAnsi="Times New Roman" w:cs="Times New Roman"/>
          <w:noProof/>
        </w:rPr>
        <w:t>c</w:t>
      </w:r>
      <w:r>
        <w:rPr>
          <w:rFonts w:ascii="Times New Roman" w:hAnsi="Times New Roman" w:cs="Times New Roman"/>
          <w:noProof/>
        </w:rPr>
        <w:t xml:space="preserve">oronary </w:t>
      </w:r>
      <w:r w:rsidR="00BA3A0D">
        <w:rPr>
          <w:rFonts w:ascii="Times New Roman" w:hAnsi="Times New Roman" w:cs="Times New Roman"/>
          <w:noProof/>
        </w:rPr>
        <w:t>h</w:t>
      </w:r>
      <w:r>
        <w:rPr>
          <w:rFonts w:ascii="Times New Roman" w:hAnsi="Times New Roman" w:cs="Times New Roman"/>
          <w:noProof/>
        </w:rPr>
        <w:t xml:space="preserve">eart </w:t>
      </w:r>
      <w:r w:rsidR="00BA3A0D">
        <w:rPr>
          <w:rFonts w:ascii="Times New Roman" w:hAnsi="Times New Roman" w:cs="Times New Roman"/>
          <w:noProof/>
        </w:rPr>
        <w:t>d</w:t>
      </w:r>
      <w:r>
        <w:rPr>
          <w:rFonts w:ascii="Times New Roman" w:hAnsi="Times New Roman" w:cs="Times New Roman"/>
          <w:noProof/>
        </w:rPr>
        <w:t xml:space="preserve">isease. </w:t>
      </w:r>
      <w:r>
        <w:rPr>
          <w:rFonts w:ascii="Times New Roman" w:hAnsi="Times New Roman" w:cs="Times New Roman"/>
          <w:i/>
          <w:iCs/>
          <w:noProof/>
        </w:rPr>
        <w:t>J Aging Health</w:t>
      </w:r>
      <w:r>
        <w:rPr>
          <w:rFonts w:ascii="Times New Roman" w:hAnsi="Times New Roman" w:cs="Times New Roman"/>
          <w:noProof/>
        </w:rPr>
        <w:t xml:space="preserve"> 2014;26(4):583-599. doi:10.1177/0898264314525665.</w:t>
      </w:r>
    </w:p>
    <w:p w14:paraId="7A10A7D4"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31. </w:t>
      </w:r>
      <w:r>
        <w:rPr>
          <w:rFonts w:ascii="Times New Roman" w:hAnsi="Times New Roman" w:cs="Times New Roman"/>
          <w:noProof/>
        </w:rPr>
        <w:tab/>
        <w:t xml:space="preserve">Sperandio EF, Arantes RL, da Silva RP, et al. Screening for physical inactivity among adults: the value of distance walked in the six-minute walk test. A cross-sectional diagnostic study. </w:t>
      </w:r>
      <w:r>
        <w:rPr>
          <w:rFonts w:ascii="Times New Roman" w:hAnsi="Times New Roman" w:cs="Times New Roman"/>
          <w:i/>
          <w:iCs/>
          <w:noProof/>
        </w:rPr>
        <w:t>Sao Paulo Med J</w:t>
      </w:r>
      <w:r>
        <w:rPr>
          <w:rFonts w:ascii="Times New Roman" w:hAnsi="Times New Roman" w:cs="Times New Roman"/>
          <w:noProof/>
        </w:rPr>
        <w:t xml:space="preserve"> 2016;134(1):56-62. doi:10.1590/1516-3180.2015.00871609.</w:t>
      </w:r>
    </w:p>
    <w:p w14:paraId="6C035F22"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32. </w:t>
      </w:r>
      <w:r>
        <w:rPr>
          <w:rFonts w:ascii="Times New Roman" w:hAnsi="Times New Roman" w:cs="Times New Roman"/>
          <w:noProof/>
        </w:rPr>
        <w:tab/>
        <w:t>The General Practice Physical Activity Questionnaire (GPPAQ) - Irritable Bowel Syndrome in Adults - NCBI Bookshelf. Available at: https://www.ncbi.nlm.nih.gov/books/NBK51962/#appendixes.app10.s14. Accessed November 18, 2019.</w:t>
      </w:r>
    </w:p>
    <w:p w14:paraId="58658393"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33. </w:t>
      </w:r>
      <w:r>
        <w:rPr>
          <w:rFonts w:ascii="Times New Roman" w:hAnsi="Times New Roman" w:cs="Times New Roman"/>
          <w:noProof/>
        </w:rPr>
        <w:tab/>
        <w:t xml:space="preserve">Smith TO, McKenna MC, Salter C, et al. A systematic review of the physical activity assessment tools used in primary care. </w:t>
      </w:r>
      <w:r>
        <w:rPr>
          <w:rFonts w:ascii="Times New Roman" w:hAnsi="Times New Roman" w:cs="Times New Roman"/>
          <w:i/>
          <w:iCs/>
          <w:noProof/>
        </w:rPr>
        <w:t>Fam Pract</w:t>
      </w:r>
      <w:r>
        <w:rPr>
          <w:rFonts w:ascii="Times New Roman" w:hAnsi="Times New Roman" w:cs="Times New Roman"/>
          <w:noProof/>
        </w:rPr>
        <w:t xml:space="preserve"> 2017;34(4):384-391. doi:10.1093/fampra/cmx011.</w:t>
      </w:r>
    </w:p>
    <w:p w14:paraId="497591B7"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34. </w:t>
      </w:r>
      <w:r>
        <w:rPr>
          <w:rFonts w:ascii="Times New Roman" w:hAnsi="Times New Roman" w:cs="Times New Roman"/>
          <w:noProof/>
        </w:rPr>
        <w:tab/>
        <w:t xml:space="preserve">Dutton SN, Bauman A, Dennis SM, Zwar N, Harris MF. Resourcing an evolution of roles in general-practice: a study to determine the validity and reliability of tools to assist nurses and patients to assess physical activity. </w:t>
      </w:r>
      <w:r>
        <w:rPr>
          <w:rFonts w:ascii="Times New Roman" w:hAnsi="Times New Roman" w:cs="Times New Roman"/>
          <w:i/>
          <w:iCs/>
          <w:noProof/>
        </w:rPr>
        <w:t>Aust J Prim Health</w:t>
      </w:r>
      <w:r>
        <w:rPr>
          <w:rFonts w:ascii="Times New Roman" w:hAnsi="Times New Roman" w:cs="Times New Roman"/>
          <w:noProof/>
        </w:rPr>
        <w:t xml:space="preserve"> 2016. doi:10.1071/PY15027.</w:t>
      </w:r>
    </w:p>
    <w:p w14:paraId="3E64083A"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35. </w:t>
      </w:r>
      <w:r>
        <w:rPr>
          <w:rFonts w:ascii="Times New Roman" w:hAnsi="Times New Roman" w:cs="Times New Roman"/>
          <w:noProof/>
        </w:rPr>
        <w:tab/>
        <w:t xml:space="preserve">Golightly YM, Allen KD, Ambrose KR, et al. Physical activity as a vital sign: A systematic review. </w:t>
      </w:r>
      <w:r>
        <w:rPr>
          <w:rFonts w:ascii="Times New Roman" w:hAnsi="Times New Roman" w:cs="Times New Roman"/>
          <w:i/>
          <w:iCs/>
          <w:noProof/>
        </w:rPr>
        <w:t>Prev Chronic Dis</w:t>
      </w:r>
      <w:r>
        <w:rPr>
          <w:rFonts w:ascii="Times New Roman" w:hAnsi="Times New Roman" w:cs="Times New Roman"/>
          <w:noProof/>
        </w:rPr>
        <w:t xml:space="preserve"> 2017;14:E123. doi:10.5888/pcd14.170030.</w:t>
      </w:r>
    </w:p>
    <w:p w14:paraId="1E9C5E62"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36. </w:t>
      </w:r>
      <w:r>
        <w:rPr>
          <w:rFonts w:ascii="Times New Roman" w:hAnsi="Times New Roman" w:cs="Times New Roman"/>
          <w:noProof/>
        </w:rPr>
        <w:tab/>
        <w:t xml:space="preserve">Khaw K-T, Jakes R, Bingham S, et al. Work and leisure time physical activity assessed using a simple, pragmatic, validated questionnaire and incident cardiovascular disease and all-cause mortality in men and women: The European Prospective Investigation into Cancer in Norfolk prospective population study. </w:t>
      </w:r>
      <w:r>
        <w:rPr>
          <w:rFonts w:ascii="Times New Roman" w:hAnsi="Times New Roman" w:cs="Times New Roman"/>
          <w:i/>
          <w:iCs/>
          <w:noProof/>
        </w:rPr>
        <w:t>Int J Epidemiol</w:t>
      </w:r>
      <w:r>
        <w:rPr>
          <w:rFonts w:ascii="Times New Roman" w:hAnsi="Times New Roman" w:cs="Times New Roman"/>
          <w:noProof/>
        </w:rPr>
        <w:t xml:space="preserve"> 2006;35(4):1034-1043. doi:10.1093/ije/dyl079.</w:t>
      </w:r>
    </w:p>
    <w:p w14:paraId="6FDD89C0" w14:textId="139EE795"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37. </w:t>
      </w:r>
      <w:r>
        <w:rPr>
          <w:rFonts w:ascii="Times New Roman" w:hAnsi="Times New Roman" w:cs="Times New Roman"/>
          <w:noProof/>
        </w:rPr>
        <w:tab/>
        <w:t xml:space="preserve">Abbott LS, Slate EH. Improving </w:t>
      </w:r>
      <w:r w:rsidR="00BA3A0D">
        <w:rPr>
          <w:rFonts w:ascii="Times New Roman" w:hAnsi="Times New Roman" w:cs="Times New Roman"/>
          <w:noProof/>
        </w:rPr>
        <w:t>c</w:t>
      </w:r>
      <w:r>
        <w:rPr>
          <w:rFonts w:ascii="Times New Roman" w:hAnsi="Times New Roman" w:cs="Times New Roman"/>
          <w:noProof/>
        </w:rPr>
        <w:t xml:space="preserve">ardiovascular </w:t>
      </w:r>
      <w:r w:rsidR="00BA3A0D">
        <w:rPr>
          <w:rFonts w:ascii="Times New Roman" w:hAnsi="Times New Roman" w:cs="Times New Roman"/>
          <w:noProof/>
        </w:rPr>
        <w:t>di</w:t>
      </w:r>
      <w:r>
        <w:rPr>
          <w:rFonts w:ascii="Times New Roman" w:hAnsi="Times New Roman" w:cs="Times New Roman"/>
          <w:noProof/>
        </w:rPr>
        <w:t xml:space="preserve">sease </w:t>
      </w:r>
      <w:r w:rsidR="00BA3A0D">
        <w:rPr>
          <w:rFonts w:ascii="Times New Roman" w:hAnsi="Times New Roman" w:cs="Times New Roman"/>
          <w:noProof/>
        </w:rPr>
        <w:t>k</w:t>
      </w:r>
      <w:r>
        <w:rPr>
          <w:rFonts w:ascii="Times New Roman" w:hAnsi="Times New Roman" w:cs="Times New Roman"/>
          <w:noProof/>
        </w:rPr>
        <w:t xml:space="preserve">nowledge among </w:t>
      </w:r>
      <w:r w:rsidR="00BA3A0D">
        <w:rPr>
          <w:rFonts w:ascii="Times New Roman" w:hAnsi="Times New Roman" w:cs="Times New Roman"/>
          <w:noProof/>
        </w:rPr>
        <w:t>r</w:t>
      </w:r>
      <w:r>
        <w:rPr>
          <w:rFonts w:ascii="Times New Roman" w:hAnsi="Times New Roman" w:cs="Times New Roman"/>
          <w:noProof/>
        </w:rPr>
        <w:t xml:space="preserve">ural </w:t>
      </w:r>
      <w:r w:rsidR="00BA3A0D">
        <w:rPr>
          <w:rFonts w:ascii="Times New Roman" w:hAnsi="Times New Roman" w:cs="Times New Roman"/>
          <w:noProof/>
        </w:rPr>
        <w:t>p</w:t>
      </w:r>
      <w:r>
        <w:rPr>
          <w:rFonts w:ascii="Times New Roman" w:hAnsi="Times New Roman" w:cs="Times New Roman"/>
          <w:noProof/>
        </w:rPr>
        <w:t xml:space="preserve">articipants: </w:t>
      </w:r>
      <w:r w:rsidR="00BA3A0D">
        <w:rPr>
          <w:rFonts w:ascii="Times New Roman" w:hAnsi="Times New Roman" w:cs="Times New Roman"/>
          <w:noProof/>
        </w:rPr>
        <w:t>t</w:t>
      </w:r>
      <w:r>
        <w:rPr>
          <w:rFonts w:ascii="Times New Roman" w:hAnsi="Times New Roman" w:cs="Times New Roman"/>
          <w:noProof/>
        </w:rPr>
        <w:t xml:space="preserve">he </w:t>
      </w:r>
      <w:r w:rsidR="00BA3A0D">
        <w:rPr>
          <w:rFonts w:ascii="Times New Roman" w:hAnsi="Times New Roman" w:cs="Times New Roman"/>
          <w:noProof/>
        </w:rPr>
        <w:t>r</w:t>
      </w:r>
      <w:r>
        <w:rPr>
          <w:rFonts w:ascii="Times New Roman" w:hAnsi="Times New Roman" w:cs="Times New Roman"/>
          <w:noProof/>
        </w:rPr>
        <w:t xml:space="preserve">esults of a </w:t>
      </w:r>
      <w:r w:rsidR="00BA3A0D">
        <w:rPr>
          <w:rFonts w:ascii="Times New Roman" w:hAnsi="Times New Roman" w:cs="Times New Roman"/>
          <w:noProof/>
        </w:rPr>
        <w:t>c</w:t>
      </w:r>
      <w:r>
        <w:rPr>
          <w:rFonts w:ascii="Times New Roman" w:hAnsi="Times New Roman" w:cs="Times New Roman"/>
          <w:noProof/>
        </w:rPr>
        <w:t xml:space="preserve">luster </w:t>
      </w:r>
      <w:r w:rsidR="00BA3A0D">
        <w:rPr>
          <w:rFonts w:ascii="Times New Roman" w:hAnsi="Times New Roman" w:cs="Times New Roman"/>
          <w:noProof/>
        </w:rPr>
        <w:t>r</w:t>
      </w:r>
      <w:r>
        <w:rPr>
          <w:rFonts w:ascii="Times New Roman" w:hAnsi="Times New Roman" w:cs="Times New Roman"/>
          <w:noProof/>
        </w:rPr>
        <w:t xml:space="preserve">andomized </w:t>
      </w:r>
      <w:r w:rsidR="00BA3A0D">
        <w:rPr>
          <w:rFonts w:ascii="Times New Roman" w:hAnsi="Times New Roman" w:cs="Times New Roman"/>
          <w:noProof/>
        </w:rPr>
        <w:t>t</w:t>
      </w:r>
      <w:r>
        <w:rPr>
          <w:rFonts w:ascii="Times New Roman" w:hAnsi="Times New Roman" w:cs="Times New Roman"/>
          <w:noProof/>
        </w:rPr>
        <w:t xml:space="preserve">rial. </w:t>
      </w:r>
      <w:r>
        <w:rPr>
          <w:rFonts w:ascii="Times New Roman" w:hAnsi="Times New Roman" w:cs="Times New Roman"/>
          <w:i/>
          <w:iCs/>
          <w:noProof/>
        </w:rPr>
        <w:t>Healthcare (Basel)</w:t>
      </w:r>
      <w:r>
        <w:rPr>
          <w:rFonts w:ascii="Times New Roman" w:hAnsi="Times New Roman" w:cs="Times New Roman"/>
          <w:noProof/>
        </w:rPr>
        <w:t xml:space="preserve"> 2018;6(3). doi:10.3390/healthcare6030071.</w:t>
      </w:r>
    </w:p>
    <w:p w14:paraId="20FA74C7" w14:textId="0DD404AC"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38. </w:t>
      </w:r>
      <w:r>
        <w:rPr>
          <w:rFonts w:ascii="Times New Roman" w:hAnsi="Times New Roman" w:cs="Times New Roman"/>
          <w:noProof/>
        </w:rPr>
        <w:tab/>
        <w:t xml:space="preserve">Hurtado M, Spinner JR, Yang M, et al. Knowledge and behavioral effects in cardiovascular health: </w:t>
      </w:r>
      <w:r w:rsidR="00BA3A0D">
        <w:rPr>
          <w:rFonts w:ascii="Times New Roman" w:hAnsi="Times New Roman" w:cs="Times New Roman"/>
          <w:noProof/>
        </w:rPr>
        <w:t>c</w:t>
      </w:r>
      <w:r>
        <w:rPr>
          <w:rFonts w:ascii="Times New Roman" w:hAnsi="Times New Roman" w:cs="Times New Roman"/>
          <w:noProof/>
        </w:rPr>
        <w:t xml:space="preserve">ommunity </w:t>
      </w:r>
      <w:r w:rsidR="00BA3A0D">
        <w:rPr>
          <w:rFonts w:ascii="Times New Roman" w:hAnsi="Times New Roman" w:cs="Times New Roman"/>
          <w:noProof/>
        </w:rPr>
        <w:t>h</w:t>
      </w:r>
      <w:r>
        <w:rPr>
          <w:rFonts w:ascii="Times New Roman" w:hAnsi="Times New Roman" w:cs="Times New Roman"/>
          <w:noProof/>
        </w:rPr>
        <w:t xml:space="preserve">ealth </w:t>
      </w:r>
      <w:r w:rsidR="00BA3A0D">
        <w:rPr>
          <w:rFonts w:ascii="Times New Roman" w:hAnsi="Times New Roman" w:cs="Times New Roman"/>
          <w:noProof/>
        </w:rPr>
        <w:t>w</w:t>
      </w:r>
      <w:r>
        <w:rPr>
          <w:rFonts w:ascii="Times New Roman" w:hAnsi="Times New Roman" w:cs="Times New Roman"/>
          <w:noProof/>
        </w:rPr>
        <w:t xml:space="preserve">orker </w:t>
      </w:r>
      <w:r w:rsidR="00BA3A0D">
        <w:rPr>
          <w:rFonts w:ascii="Times New Roman" w:hAnsi="Times New Roman" w:cs="Times New Roman"/>
          <w:noProof/>
        </w:rPr>
        <w:t>h</w:t>
      </w:r>
      <w:r>
        <w:rPr>
          <w:rFonts w:ascii="Times New Roman" w:hAnsi="Times New Roman" w:cs="Times New Roman"/>
          <w:noProof/>
        </w:rPr>
        <w:t xml:space="preserve">ealth </w:t>
      </w:r>
      <w:r w:rsidR="00BA3A0D">
        <w:rPr>
          <w:rFonts w:ascii="Times New Roman" w:hAnsi="Times New Roman" w:cs="Times New Roman"/>
          <w:noProof/>
        </w:rPr>
        <w:t>d</w:t>
      </w:r>
      <w:r>
        <w:rPr>
          <w:rFonts w:ascii="Times New Roman" w:hAnsi="Times New Roman" w:cs="Times New Roman"/>
          <w:noProof/>
        </w:rPr>
        <w:t xml:space="preserve">isparities </w:t>
      </w:r>
      <w:r w:rsidR="00BA3A0D">
        <w:rPr>
          <w:rFonts w:ascii="Times New Roman" w:hAnsi="Times New Roman" w:cs="Times New Roman"/>
          <w:noProof/>
        </w:rPr>
        <w:t>i</w:t>
      </w:r>
      <w:r>
        <w:rPr>
          <w:rFonts w:ascii="Times New Roman" w:hAnsi="Times New Roman" w:cs="Times New Roman"/>
          <w:noProof/>
        </w:rPr>
        <w:t xml:space="preserve">nitiative, 2007-2010. </w:t>
      </w:r>
      <w:r>
        <w:rPr>
          <w:rFonts w:ascii="Times New Roman" w:hAnsi="Times New Roman" w:cs="Times New Roman"/>
          <w:i/>
          <w:iCs/>
          <w:noProof/>
        </w:rPr>
        <w:t>Prev Chronic Dis</w:t>
      </w:r>
      <w:r>
        <w:rPr>
          <w:rFonts w:ascii="Times New Roman" w:hAnsi="Times New Roman" w:cs="Times New Roman"/>
          <w:noProof/>
        </w:rPr>
        <w:t xml:space="preserve"> 2014;11:E22. doi:10.5888/pcd11.130250.</w:t>
      </w:r>
    </w:p>
    <w:p w14:paraId="435EAAAB"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39. </w:t>
      </w:r>
      <w:r>
        <w:rPr>
          <w:rFonts w:ascii="Times New Roman" w:hAnsi="Times New Roman" w:cs="Times New Roman"/>
          <w:noProof/>
        </w:rPr>
        <w:tab/>
        <w:t>Community Health Worker Health Disparity Initiative. My Health Knowledge Survey. 2012. Available at: https://www.nhlbi.nih.gov/health/educational/healthdisp/pdf/resources/CHWI_MyHealthHabits_Pre_FI.pdf. Accessed December 4, 2019.</w:t>
      </w:r>
    </w:p>
    <w:p w14:paraId="21C63AB0"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40. </w:t>
      </w:r>
      <w:r>
        <w:rPr>
          <w:rFonts w:ascii="Times New Roman" w:hAnsi="Times New Roman" w:cs="Times New Roman"/>
          <w:noProof/>
        </w:rPr>
        <w:tab/>
        <w:t xml:space="preserve">Abbott LS, Slate EH, Lemacks JL. Influencing cardiovascular health habits in the rural, deep south: results of a cluster randomized trial. </w:t>
      </w:r>
      <w:r>
        <w:rPr>
          <w:rFonts w:ascii="Times New Roman" w:hAnsi="Times New Roman" w:cs="Times New Roman"/>
          <w:i/>
          <w:iCs/>
          <w:noProof/>
        </w:rPr>
        <w:t>Health Educ Res</w:t>
      </w:r>
      <w:r>
        <w:rPr>
          <w:rFonts w:ascii="Times New Roman" w:hAnsi="Times New Roman" w:cs="Times New Roman"/>
          <w:noProof/>
        </w:rPr>
        <w:t xml:space="preserve"> 2019;34(2):200-208. doi:10.1093/her/cyy052.</w:t>
      </w:r>
    </w:p>
    <w:p w14:paraId="4CC6403D"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41. </w:t>
      </w:r>
      <w:r>
        <w:rPr>
          <w:rFonts w:ascii="Times New Roman" w:hAnsi="Times New Roman" w:cs="Times New Roman"/>
          <w:noProof/>
        </w:rPr>
        <w:tab/>
        <w:t xml:space="preserve">Virdis A, Giannarelli C, Neves MF, Taddei S, Ghiadoni L. Cigarette smoking and hypertension. </w:t>
      </w:r>
      <w:r>
        <w:rPr>
          <w:rFonts w:ascii="Times New Roman" w:hAnsi="Times New Roman" w:cs="Times New Roman"/>
          <w:i/>
          <w:iCs/>
          <w:noProof/>
        </w:rPr>
        <w:t>Curr Pharm Des</w:t>
      </w:r>
      <w:r>
        <w:rPr>
          <w:rFonts w:ascii="Times New Roman" w:hAnsi="Times New Roman" w:cs="Times New Roman"/>
          <w:noProof/>
        </w:rPr>
        <w:t xml:space="preserve"> 2010;16(23):2518-2525. doi:10.2174/138161210792062920.</w:t>
      </w:r>
    </w:p>
    <w:p w14:paraId="6C9B36E1"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42. </w:t>
      </w:r>
      <w:r>
        <w:rPr>
          <w:rFonts w:ascii="Times New Roman" w:hAnsi="Times New Roman" w:cs="Times New Roman"/>
          <w:noProof/>
        </w:rPr>
        <w:tab/>
        <w:t xml:space="preserve">Carroll AJ, Huffman MD, Zhao L, et al. Associations between depressive symptoms, cigarette smoking, and cardiovascular health: Longitudinal results from CARDIA. </w:t>
      </w:r>
      <w:r>
        <w:rPr>
          <w:rFonts w:ascii="Times New Roman" w:hAnsi="Times New Roman" w:cs="Times New Roman"/>
          <w:i/>
          <w:iCs/>
          <w:noProof/>
        </w:rPr>
        <w:t>J Affect Disord</w:t>
      </w:r>
      <w:r>
        <w:rPr>
          <w:rFonts w:ascii="Times New Roman" w:hAnsi="Times New Roman" w:cs="Times New Roman"/>
          <w:noProof/>
        </w:rPr>
        <w:t xml:space="preserve"> 2020;260:583-591. doi:10.1016/j.jad.2019.09.049.</w:t>
      </w:r>
    </w:p>
    <w:p w14:paraId="199543F6"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43. </w:t>
      </w:r>
      <w:r>
        <w:rPr>
          <w:rFonts w:ascii="Times New Roman" w:hAnsi="Times New Roman" w:cs="Times New Roman"/>
          <w:noProof/>
        </w:rPr>
        <w:tab/>
        <w:t xml:space="preserve">Sylvia LG, Bernstein EE, Hubbard JL, Keating L, Anderson EJ. Practical guide to measuring physical activity. </w:t>
      </w:r>
      <w:r>
        <w:rPr>
          <w:rFonts w:ascii="Times New Roman" w:hAnsi="Times New Roman" w:cs="Times New Roman"/>
          <w:i/>
          <w:iCs/>
          <w:noProof/>
        </w:rPr>
        <w:t>J Acad Nutr Diet</w:t>
      </w:r>
      <w:r>
        <w:rPr>
          <w:rFonts w:ascii="Times New Roman" w:hAnsi="Times New Roman" w:cs="Times New Roman"/>
          <w:noProof/>
        </w:rPr>
        <w:t xml:space="preserve"> 2014;114(2):199-208. </w:t>
      </w:r>
      <w:r>
        <w:rPr>
          <w:rFonts w:ascii="Times New Roman" w:hAnsi="Times New Roman" w:cs="Times New Roman"/>
          <w:noProof/>
        </w:rPr>
        <w:lastRenderedPageBreak/>
        <w:t>doi:10.1016/j.jand.2013.09.018.</w:t>
      </w:r>
    </w:p>
    <w:p w14:paraId="0E5CEF57"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44. </w:t>
      </w:r>
      <w:r>
        <w:rPr>
          <w:rFonts w:ascii="Times New Roman" w:hAnsi="Times New Roman" w:cs="Times New Roman"/>
          <w:noProof/>
        </w:rPr>
        <w:tab/>
        <w:t>Physical Activity and Outcome Measures - Physiopedia. Available at: https://www.physio-pedia.com/Physical_Activity_and_Outcome_Measures. Accessed November 19, 2019.</w:t>
      </w:r>
    </w:p>
    <w:p w14:paraId="1E568E36"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45. </w:t>
      </w:r>
      <w:r>
        <w:rPr>
          <w:rFonts w:ascii="Times New Roman" w:hAnsi="Times New Roman" w:cs="Times New Roman"/>
          <w:noProof/>
        </w:rPr>
        <w:tab/>
        <w:t xml:space="preserve">Bravata DM, Smith-Spangler C, Sundaram V, et al. Using pedometers to increase physical activity and improve health: a systematic review. </w:t>
      </w:r>
      <w:r>
        <w:rPr>
          <w:rFonts w:ascii="Times New Roman" w:hAnsi="Times New Roman" w:cs="Times New Roman"/>
          <w:i/>
          <w:iCs/>
          <w:noProof/>
        </w:rPr>
        <w:t>JAMA</w:t>
      </w:r>
      <w:r>
        <w:rPr>
          <w:rFonts w:ascii="Times New Roman" w:hAnsi="Times New Roman" w:cs="Times New Roman"/>
          <w:noProof/>
        </w:rPr>
        <w:t xml:space="preserve"> 2007;298(19):2296-2304. doi:10.1001/jama.298.19.2296.</w:t>
      </w:r>
    </w:p>
    <w:p w14:paraId="799A6A88"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46. </w:t>
      </w:r>
      <w:r>
        <w:rPr>
          <w:rFonts w:ascii="Times New Roman" w:hAnsi="Times New Roman" w:cs="Times New Roman"/>
          <w:noProof/>
        </w:rPr>
        <w:tab/>
        <w:t xml:space="preserve">Bohannon RW, Crouch R. Minimal clinically important difference for change in 6-minute walk test distance of adults with pathology: a systematic review. </w:t>
      </w:r>
      <w:r>
        <w:rPr>
          <w:rFonts w:ascii="Times New Roman" w:hAnsi="Times New Roman" w:cs="Times New Roman"/>
          <w:i/>
          <w:iCs/>
          <w:noProof/>
        </w:rPr>
        <w:t>J Eval Clin Pract</w:t>
      </w:r>
      <w:r>
        <w:rPr>
          <w:rFonts w:ascii="Times New Roman" w:hAnsi="Times New Roman" w:cs="Times New Roman"/>
          <w:noProof/>
        </w:rPr>
        <w:t xml:space="preserve"> 2017;23(2):377-381. doi:10.1111/jep.12629.</w:t>
      </w:r>
    </w:p>
    <w:p w14:paraId="33F5D719"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47. </w:t>
      </w:r>
      <w:r>
        <w:rPr>
          <w:rFonts w:ascii="Times New Roman" w:hAnsi="Times New Roman" w:cs="Times New Roman"/>
          <w:noProof/>
        </w:rPr>
        <w:tab/>
        <w:t xml:space="preserve">Enright PL, Sherrill DL. Reference equations for the six-minute walk in healthy adults. </w:t>
      </w:r>
      <w:r>
        <w:rPr>
          <w:rFonts w:ascii="Times New Roman" w:hAnsi="Times New Roman" w:cs="Times New Roman"/>
          <w:i/>
          <w:iCs/>
          <w:noProof/>
        </w:rPr>
        <w:t>Am J Respir Crit Care Med</w:t>
      </w:r>
      <w:r>
        <w:rPr>
          <w:rFonts w:ascii="Times New Roman" w:hAnsi="Times New Roman" w:cs="Times New Roman"/>
          <w:noProof/>
        </w:rPr>
        <w:t xml:space="preserve"> 1998;158(5 Pt 1):1384-1387. doi:10.1164/ajrccm.158.5.9710086.</w:t>
      </w:r>
    </w:p>
    <w:p w14:paraId="79499EF0"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48. </w:t>
      </w:r>
      <w:r>
        <w:rPr>
          <w:rFonts w:ascii="Times New Roman" w:hAnsi="Times New Roman" w:cs="Times New Roman"/>
          <w:noProof/>
        </w:rPr>
        <w:tab/>
        <w:t xml:space="preserve">Ali MK, Echouffo-Tcheugui J, Williamson DF. How effective were lifestyle interventions in real-world settings that were modeled on the Diabetes Prevention Program? </w:t>
      </w:r>
      <w:r>
        <w:rPr>
          <w:rFonts w:ascii="Times New Roman" w:hAnsi="Times New Roman" w:cs="Times New Roman"/>
          <w:i/>
          <w:iCs/>
          <w:noProof/>
        </w:rPr>
        <w:t>Health Aff (Millwood)</w:t>
      </w:r>
      <w:r>
        <w:rPr>
          <w:rFonts w:ascii="Times New Roman" w:hAnsi="Times New Roman" w:cs="Times New Roman"/>
          <w:noProof/>
        </w:rPr>
        <w:t xml:space="preserve"> 2012;31(1):67-75. doi:10.1377/hlthaff.2011.1009.</w:t>
      </w:r>
    </w:p>
    <w:p w14:paraId="18635A9F" w14:textId="48426FB8"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49. </w:t>
      </w:r>
      <w:r>
        <w:rPr>
          <w:rFonts w:ascii="Times New Roman" w:hAnsi="Times New Roman" w:cs="Times New Roman"/>
          <w:noProof/>
        </w:rPr>
        <w:tab/>
        <w:t xml:space="preserve">McKnight T, Demuth JR, Wilson N, Leider JP, Knudson A. Assessing </w:t>
      </w:r>
      <w:r w:rsidR="000650CF">
        <w:rPr>
          <w:rFonts w:ascii="Times New Roman" w:hAnsi="Times New Roman" w:cs="Times New Roman"/>
          <w:noProof/>
        </w:rPr>
        <w:t>e</w:t>
      </w:r>
      <w:r>
        <w:rPr>
          <w:rFonts w:ascii="Times New Roman" w:hAnsi="Times New Roman" w:cs="Times New Roman"/>
          <w:noProof/>
        </w:rPr>
        <w:t xml:space="preserve">ffectiveness and </w:t>
      </w:r>
      <w:r w:rsidR="000650CF">
        <w:rPr>
          <w:rFonts w:ascii="Times New Roman" w:hAnsi="Times New Roman" w:cs="Times New Roman"/>
          <w:noProof/>
        </w:rPr>
        <w:t>c</w:t>
      </w:r>
      <w:r>
        <w:rPr>
          <w:rFonts w:ascii="Times New Roman" w:hAnsi="Times New Roman" w:cs="Times New Roman"/>
          <w:noProof/>
        </w:rPr>
        <w:t>ost-</w:t>
      </w:r>
      <w:r w:rsidR="000650CF">
        <w:rPr>
          <w:rFonts w:ascii="Times New Roman" w:hAnsi="Times New Roman" w:cs="Times New Roman"/>
          <w:noProof/>
        </w:rPr>
        <w:t>b</w:t>
      </w:r>
      <w:r>
        <w:rPr>
          <w:rFonts w:ascii="Times New Roman" w:hAnsi="Times New Roman" w:cs="Times New Roman"/>
          <w:noProof/>
        </w:rPr>
        <w:t xml:space="preserve">enefit of the </w:t>
      </w:r>
      <w:r w:rsidR="000650CF">
        <w:rPr>
          <w:rFonts w:ascii="Times New Roman" w:hAnsi="Times New Roman" w:cs="Times New Roman"/>
          <w:noProof/>
        </w:rPr>
        <w:t>t</w:t>
      </w:r>
      <w:r>
        <w:rPr>
          <w:rFonts w:ascii="Times New Roman" w:hAnsi="Times New Roman" w:cs="Times New Roman"/>
          <w:noProof/>
        </w:rPr>
        <w:t xml:space="preserve">rinity </w:t>
      </w:r>
      <w:r w:rsidR="000650CF">
        <w:rPr>
          <w:rFonts w:ascii="Times New Roman" w:hAnsi="Times New Roman" w:cs="Times New Roman"/>
          <w:noProof/>
        </w:rPr>
        <w:t>h</w:t>
      </w:r>
      <w:r>
        <w:rPr>
          <w:rFonts w:ascii="Times New Roman" w:hAnsi="Times New Roman" w:cs="Times New Roman"/>
          <w:noProof/>
        </w:rPr>
        <w:t xml:space="preserve">ospital </w:t>
      </w:r>
      <w:r w:rsidR="000650CF">
        <w:rPr>
          <w:rFonts w:ascii="Times New Roman" w:hAnsi="Times New Roman" w:cs="Times New Roman"/>
          <w:noProof/>
        </w:rPr>
        <w:t>t</w:t>
      </w:r>
      <w:r>
        <w:rPr>
          <w:rFonts w:ascii="Times New Roman" w:hAnsi="Times New Roman" w:cs="Times New Roman"/>
          <w:noProof/>
        </w:rPr>
        <w:t xml:space="preserve">win </w:t>
      </w:r>
      <w:r w:rsidR="000650CF">
        <w:rPr>
          <w:rFonts w:ascii="Times New Roman" w:hAnsi="Times New Roman" w:cs="Times New Roman"/>
          <w:noProof/>
        </w:rPr>
        <w:t>c</w:t>
      </w:r>
      <w:r>
        <w:rPr>
          <w:rFonts w:ascii="Times New Roman" w:hAnsi="Times New Roman" w:cs="Times New Roman"/>
          <w:noProof/>
        </w:rPr>
        <w:t xml:space="preserve">ity Fit For Life Program for </w:t>
      </w:r>
      <w:r w:rsidR="000650CF">
        <w:rPr>
          <w:rFonts w:ascii="Times New Roman" w:hAnsi="Times New Roman" w:cs="Times New Roman"/>
          <w:noProof/>
        </w:rPr>
        <w:t>w</w:t>
      </w:r>
      <w:r>
        <w:rPr>
          <w:rFonts w:ascii="Times New Roman" w:hAnsi="Times New Roman" w:cs="Times New Roman"/>
          <w:noProof/>
        </w:rPr>
        <w:t xml:space="preserve">eight </w:t>
      </w:r>
      <w:r w:rsidR="000650CF">
        <w:rPr>
          <w:rFonts w:ascii="Times New Roman" w:hAnsi="Times New Roman" w:cs="Times New Roman"/>
          <w:noProof/>
        </w:rPr>
        <w:t>l</w:t>
      </w:r>
      <w:r>
        <w:rPr>
          <w:rFonts w:ascii="Times New Roman" w:hAnsi="Times New Roman" w:cs="Times New Roman"/>
          <w:noProof/>
        </w:rPr>
        <w:t xml:space="preserve">oss and </w:t>
      </w:r>
      <w:r w:rsidR="000650CF">
        <w:rPr>
          <w:rFonts w:ascii="Times New Roman" w:hAnsi="Times New Roman" w:cs="Times New Roman"/>
          <w:noProof/>
        </w:rPr>
        <w:t>d</w:t>
      </w:r>
      <w:r>
        <w:rPr>
          <w:rFonts w:ascii="Times New Roman" w:hAnsi="Times New Roman" w:cs="Times New Roman"/>
          <w:noProof/>
        </w:rPr>
        <w:t xml:space="preserve">iabetes </w:t>
      </w:r>
      <w:r w:rsidR="000650CF">
        <w:rPr>
          <w:rFonts w:ascii="Times New Roman" w:hAnsi="Times New Roman" w:cs="Times New Roman"/>
          <w:noProof/>
        </w:rPr>
        <w:t>p</w:t>
      </w:r>
      <w:r>
        <w:rPr>
          <w:rFonts w:ascii="Times New Roman" w:hAnsi="Times New Roman" w:cs="Times New Roman"/>
          <w:noProof/>
        </w:rPr>
        <w:t xml:space="preserve">revention in a </w:t>
      </w:r>
      <w:r w:rsidR="000650CF">
        <w:rPr>
          <w:rFonts w:ascii="Times New Roman" w:hAnsi="Times New Roman" w:cs="Times New Roman"/>
          <w:noProof/>
        </w:rPr>
        <w:t>r</w:t>
      </w:r>
      <w:r>
        <w:rPr>
          <w:rFonts w:ascii="Times New Roman" w:hAnsi="Times New Roman" w:cs="Times New Roman"/>
          <w:noProof/>
        </w:rPr>
        <w:t xml:space="preserve">ural </w:t>
      </w:r>
      <w:r w:rsidR="000650CF">
        <w:rPr>
          <w:rFonts w:ascii="Times New Roman" w:hAnsi="Times New Roman" w:cs="Times New Roman"/>
          <w:noProof/>
        </w:rPr>
        <w:t>m</w:t>
      </w:r>
      <w:r>
        <w:rPr>
          <w:rFonts w:ascii="Times New Roman" w:hAnsi="Times New Roman" w:cs="Times New Roman"/>
          <w:noProof/>
        </w:rPr>
        <w:t xml:space="preserve">idwestern </w:t>
      </w:r>
      <w:r w:rsidR="000650CF">
        <w:rPr>
          <w:rFonts w:ascii="Times New Roman" w:hAnsi="Times New Roman" w:cs="Times New Roman"/>
          <w:noProof/>
        </w:rPr>
        <w:t>t</w:t>
      </w:r>
      <w:r>
        <w:rPr>
          <w:rFonts w:ascii="Times New Roman" w:hAnsi="Times New Roman" w:cs="Times New Roman"/>
          <w:noProof/>
        </w:rPr>
        <w:t xml:space="preserve">own. </w:t>
      </w:r>
      <w:r>
        <w:rPr>
          <w:rFonts w:ascii="Times New Roman" w:hAnsi="Times New Roman" w:cs="Times New Roman"/>
          <w:i/>
          <w:iCs/>
          <w:noProof/>
        </w:rPr>
        <w:t>Prev Chronic Dis</w:t>
      </w:r>
      <w:r>
        <w:rPr>
          <w:rFonts w:ascii="Times New Roman" w:hAnsi="Times New Roman" w:cs="Times New Roman"/>
          <w:noProof/>
        </w:rPr>
        <w:t xml:space="preserve"> 2018;15:E98. doi:10.5888/pcd15.170479.</w:t>
      </w:r>
    </w:p>
    <w:p w14:paraId="36983BF0"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50. </w:t>
      </w:r>
      <w:r>
        <w:rPr>
          <w:rFonts w:ascii="Times New Roman" w:hAnsi="Times New Roman" w:cs="Times New Roman"/>
          <w:noProof/>
        </w:rPr>
        <w:tab/>
        <w:t xml:space="preserve">Winstein CJ, Stein J, Arena R, et al. Guidelines for adult stroke rehabilitation and recovery: A guideline for healthcare professionals from the american heart association/american stroke association. </w:t>
      </w:r>
      <w:r>
        <w:rPr>
          <w:rFonts w:ascii="Times New Roman" w:hAnsi="Times New Roman" w:cs="Times New Roman"/>
          <w:i/>
          <w:iCs/>
          <w:noProof/>
        </w:rPr>
        <w:t>Stroke</w:t>
      </w:r>
      <w:r>
        <w:rPr>
          <w:rFonts w:ascii="Times New Roman" w:hAnsi="Times New Roman" w:cs="Times New Roman"/>
          <w:noProof/>
        </w:rPr>
        <w:t xml:space="preserve"> 2016;47(6):e98-e169. doi:10.1161/STR.0000000000000098.</w:t>
      </w:r>
    </w:p>
    <w:p w14:paraId="0940262E"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51. </w:t>
      </w:r>
      <w:r>
        <w:rPr>
          <w:rFonts w:ascii="Times New Roman" w:hAnsi="Times New Roman" w:cs="Times New Roman"/>
          <w:noProof/>
        </w:rPr>
        <w:tab/>
        <w:t xml:space="preserve">Freeman AM, Curran-Everett D, Sabgir D. How starting a patient education/fitness program can improve health. “Walk with a Doc” program shows you how to model healthy behaviors and strengthen the patient-physician bond. </w:t>
      </w:r>
      <w:r>
        <w:rPr>
          <w:rFonts w:ascii="Times New Roman" w:hAnsi="Times New Roman" w:cs="Times New Roman"/>
          <w:i/>
          <w:iCs/>
          <w:noProof/>
        </w:rPr>
        <w:t>Med Econ</w:t>
      </w:r>
      <w:r>
        <w:rPr>
          <w:rFonts w:ascii="Times New Roman" w:hAnsi="Times New Roman" w:cs="Times New Roman"/>
          <w:noProof/>
        </w:rPr>
        <w:t xml:space="preserve"> 2014;91(1):42-4, 47.</w:t>
      </w:r>
    </w:p>
    <w:p w14:paraId="7D056AD4"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52. </w:t>
      </w:r>
      <w:r>
        <w:rPr>
          <w:rFonts w:ascii="Times New Roman" w:hAnsi="Times New Roman" w:cs="Times New Roman"/>
          <w:noProof/>
        </w:rPr>
        <w:tab/>
        <w:t xml:space="preserve">Kurti AN, Logan H, Manini T, Dallery J. Physical activity behavior, barriers to activity, and opinions about a smartphone-based physical activity intervention among rural residents. </w:t>
      </w:r>
      <w:r>
        <w:rPr>
          <w:rFonts w:ascii="Times New Roman" w:hAnsi="Times New Roman" w:cs="Times New Roman"/>
          <w:i/>
          <w:iCs/>
          <w:noProof/>
        </w:rPr>
        <w:t>Telemed J E Health</w:t>
      </w:r>
      <w:r>
        <w:rPr>
          <w:rFonts w:ascii="Times New Roman" w:hAnsi="Times New Roman" w:cs="Times New Roman"/>
          <w:noProof/>
        </w:rPr>
        <w:t xml:space="preserve"> 2015;21(1):16-23. doi:10.1089/tmj.2014.0034.</w:t>
      </w:r>
    </w:p>
    <w:p w14:paraId="53E04917" w14:textId="77777777" w:rsidR="007E173F" w:rsidRDefault="007E173F">
      <w:pPr>
        <w:widowControl w:val="0"/>
        <w:autoSpaceDE w:val="0"/>
        <w:autoSpaceDN w:val="0"/>
        <w:adjustRightInd w:val="0"/>
        <w:ind w:left="560" w:hanging="560"/>
        <w:rPr>
          <w:rFonts w:ascii="Times New Roman" w:hAnsi="Times New Roman" w:cs="Times New Roman"/>
          <w:noProof/>
        </w:rPr>
      </w:pPr>
      <w:r>
        <w:rPr>
          <w:rFonts w:ascii="Times New Roman" w:hAnsi="Times New Roman" w:cs="Times New Roman"/>
          <w:noProof/>
        </w:rPr>
        <w:t xml:space="preserve">53. </w:t>
      </w:r>
      <w:r>
        <w:rPr>
          <w:rFonts w:ascii="Times New Roman" w:hAnsi="Times New Roman" w:cs="Times New Roman"/>
          <w:noProof/>
        </w:rPr>
        <w:tab/>
        <w:t xml:space="preserve">Kreuter MW, Lukwago SN, Bucholtz DC, Clark EM, Sanders-Thompson V. Achieving Cultural Appropriateness in Health Promotion Programs: Targeted and Tailored Approaches. </w:t>
      </w:r>
      <w:r>
        <w:rPr>
          <w:rFonts w:ascii="Times New Roman" w:hAnsi="Times New Roman" w:cs="Times New Roman"/>
          <w:i/>
          <w:iCs/>
          <w:noProof/>
        </w:rPr>
        <w:t>Health Education &amp; Behavior</w:t>
      </w:r>
      <w:r>
        <w:rPr>
          <w:rFonts w:ascii="Times New Roman" w:hAnsi="Times New Roman" w:cs="Times New Roman"/>
          <w:noProof/>
        </w:rPr>
        <w:t xml:space="preserve"> 2003;30(2):133-146. doi:10.1177/1090198102251021.</w:t>
      </w:r>
    </w:p>
    <w:p w14:paraId="5E60DDC8" w14:textId="77777777" w:rsidR="007E173F" w:rsidRDefault="007E173F">
      <w:pPr>
        <w:widowControl w:val="0"/>
        <w:autoSpaceDE w:val="0"/>
        <w:autoSpaceDN w:val="0"/>
        <w:adjustRightInd w:val="0"/>
        <w:ind w:left="560" w:hanging="560"/>
        <w:rPr>
          <w:noProof/>
        </w:rPr>
      </w:pPr>
      <w:r>
        <w:rPr>
          <w:rFonts w:ascii="Times New Roman" w:hAnsi="Times New Roman" w:cs="Times New Roman"/>
          <w:noProof/>
        </w:rPr>
        <w:t xml:space="preserve">54. </w:t>
      </w:r>
      <w:r>
        <w:rPr>
          <w:rFonts w:ascii="Times New Roman" w:hAnsi="Times New Roman" w:cs="Times New Roman"/>
          <w:noProof/>
        </w:rPr>
        <w:tab/>
        <w:t xml:space="preserve">U.S. Department of Health and Human Services Centers for Disease Control and Prevention. </w:t>
      </w:r>
      <w:r>
        <w:rPr>
          <w:rFonts w:ascii="Times New Roman" w:hAnsi="Times New Roman" w:cs="Times New Roman"/>
          <w:i/>
          <w:iCs/>
          <w:noProof/>
        </w:rPr>
        <w:t>Introduction to Program Evaluation for Public Health Programs: A Self-Study Guide.</w:t>
      </w:r>
      <w:r>
        <w:rPr>
          <w:rFonts w:ascii="Times New Roman" w:hAnsi="Times New Roman" w:cs="Times New Roman"/>
          <w:noProof/>
        </w:rPr>
        <w:t xml:space="preserve"> Office of the Director, Office of Strategy and Innovation.; 2011. Available at: https://www.cdc.gov/eval/guide/CDCEvalManual.pdf. Accessed October 30, 2019.</w:t>
      </w:r>
    </w:p>
    <w:p w14:paraId="32817A2F" w14:textId="70699E0B" w:rsidR="00335424" w:rsidRDefault="00CF2613" w:rsidP="007E173F">
      <w:pPr>
        <w:widowControl w:val="0"/>
        <w:autoSpaceDE w:val="0"/>
        <w:autoSpaceDN w:val="0"/>
        <w:adjustRightInd w:val="0"/>
      </w:pPr>
      <w:r>
        <w:fldChar w:fldCharType="end"/>
      </w:r>
    </w:p>
    <w:p w14:paraId="73D15533" w14:textId="77777777" w:rsidR="00335424" w:rsidRDefault="00335424">
      <w:r>
        <w:br w:type="page"/>
      </w:r>
    </w:p>
    <w:p w14:paraId="580614B6" w14:textId="7B3BCD15" w:rsidR="00CF2613" w:rsidRDefault="00335424" w:rsidP="00D95401">
      <w:pPr>
        <w:pStyle w:val="Heading1"/>
      </w:pPr>
      <w:r>
        <w:lastRenderedPageBreak/>
        <w:t>APPENDI</w:t>
      </w:r>
      <w:r w:rsidR="00BB7E89">
        <w:t>X</w:t>
      </w:r>
    </w:p>
    <w:p w14:paraId="76215292" w14:textId="69302936" w:rsidR="00C46D25" w:rsidRPr="00770169" w:rsidRDefault="00335424" w:rsidP="00C46D25">
      <w:pPr>
        <w:pStyle w:val="ListParagraph"/>
        <w:widowControl w:val="0"/>
        <w:numPr>
          <w:ilvl w:val="0"/>
          <w:numId w:val="6"/>
        </w:numPr>
        <w:autoSpaceDE w:val="0"/>
        <w:autoSpaceDN w:val="0"/>
        <w:adjustRightInd w:val="0"/>
        <w:rPr>
          <w:b/>
        </w:rPr>
      </w:pPr>
      <w:r>
        <w:rPr>
          <w:b/>
        </w:rPr>
        <w:t xml:space="preserve">Daily BP </w:t>
      </w:r>
      <w:r w:rsidR="00C46D25">
        <w:rPr>
          <w:b/>
        </w:rPr>
        <w:t>and Activity Log</w:t>
      </w:r>
    </w:p>
    <w:p w14:paraId="61B2AF71" w14:textId="7769AEFC" w:rsidR="00C46D25" w:rsidRDefault="00C46D25" w:rsidP="00C46D25">
      <w:pPr>
        <w:widowControl w:val="0"/>
        <w:autoSpaceDE w:val="0"/>
        <w:autoSpaceDN w:val="0"/>
        <w:adjustRightInd w:val="0"/>
        <w:rPr>
          <w:b/>
        </w:rPr>
      </w:pPr>
      <w:r>
        <w:rPr>
          <w:b/>
        </w:rPr>
        <w:t>Example</w:t>
      </w:r>
    </w:p>
    <w:tbl>
      <w:tblPr>
        <w:tblStyle w:val="TableGrid"/>
        <w:tblW w:w="8905" w:type="dxa"/>
        <w:tblInd w:w="85" w:type="dxa"/>
        <w:tblLook w:val="04A0" w:firstRow="1" w:lastRow="0" w:firstColumn="1" w:lastColumn="0" w:noHBand="0" w:noVBand="1"/>
      </w:tblPr>
      <w:tblGrid>
        <w:gridCol w:w="801"/>
        <w:gridCol w:w="1077"/>
        <w:gridCol w:w="833"/>
        <w:gridCol w:w="848"/>
        <w:gridCol w:w="831"/>
        <w:gridCol w:w="860"/>
        <w:gridCol w:w="873"/>
        <w:gridCol w:w="807"/>
        <w:gridCol w:w="896"/>
        <w:gridCol w:w="1079"/>
      </w:tblGrid>
      <w:tr w:rsidR="00C46D25" w14:paraId="09720E2C" w14:textId="77777777" w:rsidTr="00C46D25">
        <w:tc>
          <w:tcPr>
            <w:tcW w:w="801" w:type="dxa"/>
            <w:vAlign w:val="center"/>
          </w:tcPr>
          <w:p w14:paraId="1E3E5509" w14:textId="77777777" w:rsidR="00C46D25" w:rsidRPr="00335424" w:rsidRDefault="00C46D25" w:rsidP="00C46D25">
            <w:pPr>
              <w:widowControl w:val="0"/>
              <w:autoSpaceDE w:val="0"/>
              <w:autoSpaceDN w:val="0"/>
              <w:adjustRightInd w:val="0"/>
              <w:jc w:val="center"/>
              <w:rPr>
                <w:b/>
              </w:rPr>
            </w:pPr>
          </w:p>
        </w:tc>
        <w:tc>
          <w:tcPr>
            <w:tcW w:w="1077" w:type="dxa"/>
            <w:vAlign w:val="center"/>
          </w:tcPr>
          <w:p w14:paraId="5850F7B6" w14:textId="77777777" w:rsidR="00C46D25" w:rsidRDefault="00C46D25" w:rsidP="00C46D25">
            <w:pPr>
              <w:widowControl w:val="0"/>
              <w:autoSpaceDE w:val="0"/>
              <w:autoSpaceDN w:val="0"/>
              <w:adjustRightInd w:val="0"/>
              <w:jc w:val="center"/>
              <w:rPr>
                <w:b/>
              </w:rPr>
            </w:pPr>
          </w:p>
        </w:tc>
        <w:tc>
          <w:tcPr>
            <w:tcW w:w="833" w:type="dxa"/>
            <w:vAlign w:val="center"/>
          </w:tcPr>
          <w:p w14:paraId="353BD8DC" w14:textId="77777777" w:rsidR="00C46D25" w:rsidRPr="00335424" w:rsidRDefault="00C46D25" w:rsidP="00C46D25">
            <w:pPr>
              <w:widowControl w:val="0"/>
              <w:autoSpaceDE w:val="0"/>
              <w:autoSpaceDN w:val="0"/>
              <w:adjustRightInd w:val="0"/>
              <w:jc w:val="center"/>
              <w:rPr>
                <w:b/>
              </w:rPr>
            </w:pPr>
            <w:r>
              <w:rPr>
                <w:b/>
              </w:rPr>
              <w:t>Mon</w:t>
            </w:r>
          </w:p>
        </w:tc>
        <w:tc>
          <w:tcPr>
            <w:tcW w:w="848" w:type="dxa"/>
            <w:vAlign w:val="center"/>
          </w:tcPr>
          <w:p w14:paraId="53FB3E4C" w14:textId="77777777" w:rsidR="00C46D25" w:rsidRPr="00335424" w:rsidRDefault="00C46D25" w:rsidP="00C46D25">
            <w:pPr>
              <w:widowControl w:val="0"/>
              <w:autoSpaceDE w:val="0"/>
              <w:autoSpaceDN w:val="0"/>
              <w:adjustRightInd w:val="0"/>
              <w:jc w:val="center"/>
              <w:rPr>
                <w:b/>
              </w:rPr>
            </w:pPr>
            <w:r>
              <w:rPr>
                <w:b/>
              </w:rPr>
              <w:t>Tues</w:t>
            </w:r>
          </w:p>
        </w:tc>
        <w:tc>
          <w:tcPr>
            <w:tcW w:w="831" w:type="dxa"/>
            <w:vAlign w:val="center"/>
          </w:tcPr>
          <w:p w14:paraId="6891C34C" w14:textId="77777777" w:rsidR="00C46D25" w:rsidRPr="00335424" w:rsidRDefault="00C46D25" w:rsidP="00C46D25">
            <w:pPr>
              <w:widowControl w:val="0"/>
              <w:autoSpaceDE w:val="0"/>
              <w:autoSpaceDN w:val="0"/>
              <w:adjustRightInd w:val="0"/>
              <w:jc w:val="center"/>
              <w:rPr>
                <w:b/>
              </w:rPr>
            </w:pPr>
            <w:r>
              <w:rPr>
                <w:b/>
              </w:rPr>
              <w:t>Wed</w:t>
            </w:r>
          </w:p>
        </w:tc>
        <w:tc>
          <w:tcPr>
            <w:tcW w:w="860" w:type="dxa"/>
            <w:vAlign w:val="center"/>
          </w:tcPr>
          <w:p w14:paraId="3AFE24B5" w14:textId="77777777" w:rsidR="00C46D25" w:rsidRPr="00335424" w:rsidRDefault="00C46D25" w:rsidP="00C46D25">
            <w:pPr>
              <w:widowControl w:val="0"/>
              <w:autoSpaceDE w:val="0"/>
              <w:autoSpaceDN w:val="0"/>
              <w:adjustRightInd w:val="0"/>
              <w:jc w:val="center"/>
              <w:rPr>
                <w:b/>
              </w:rPr>
            </w:pPr>
            <w:r>
              <w:rPr>
                <w:b/>
              </w:rPr>
              <w:t>Thurs</w:t>
            </w:r>
          </w:p>
        </w:tc>
        <w:tc>
          <w:tcPr>
            <w:tcW w:w="873" w:type="dxa"/>
            <w:vAlign w:val="center"/>
          </w:tcPr>
          <w:p w14:paraId="42D31563" w14:textId="77777777" w:rsidR="00C46D25" w:rsidRPr="00335424" w:rsidRDefault="00C46D25" w:rsidP="00C46D25">
            <w:pPr>
              <w:widowControl w:val="0"/>
              <w:autoSpaceDE w:val="0"/>
              <w:autoSpaceDN w:val="0"/>
              <w:adjustRightInd w:val="0"/>
              <w:jc w:val="center"/>
              <w:rPr>
                <w:b/>
              </w:rPr>
            </w:pPr>
            <w:r>
              <w:rPr>
                <w:b/>
              </w:rPr>
              <w:t>Fri</w:t>
            </w:r>
          </w:p>
        </w:tc>
        <w:tc>
          <w:tcPr>
            <w:tcW w:w="807" w:type="dxa"/>
            <w:vAlign w:val="center"/>
          </w:tcPr>
          <w:p w14:paraId="36E84471" w14:textId="77777777" w:rsidR="00C46D25" w:rsidRPr="00335424" w:rsidRDefault="00C46D25" w:rsidP="00C46D25">
            <w:pPr>
              <w:widowControl w:val="0"/>
              <w:autoSpaceDE w:val="0"/>
              <w:autoSpaceDN w:val="0"/>
              <w:adjustRightInd w:val="0"/>
              <w:jc w:val="center"/>
              <w:rPr>
                <w:b/>
              </w:rPr>
            </w:pPr>
            <w:r>
              <w:rPr>
                <w:b/>
              </w:rPr>
              <w:t>Sat</w:t>
            </w:r>
          </w:p>
        </w:tc>
        <w:tc>
          <w:tcPr>
            <w:tcW w:w="896" w:type="dxa"/>
            <w:vAlign w:val="center"/>
          </w:tcPr>
          <w:p w14:paraId="079675DA" w14:textId="77777777" w:rsidR="00C46D25" w:rsidRPr="00335424" w:rsidRDefault="00C46D25" w:rsidP="00C46D25">
            <w:pPr>
              <w:widowControl w:val="0"/>
              <w:autoSpaceDE w:val="0"/>
              <w:autoSpaceDN w:val="0"/>
              <w:adjustRightInd w:val="0"/>
              <w:jc w:val="center"/>
              <w:rPr>
                <w:b/>
              </w:rPr>
            </w:pPr>
            <w:r>
              <w:rPr>
                <w:b/>
              </w:rPr>
              <w:t>Sun</w:t>
            </w:r>
          </w:p>
        </w:tc>
        <w:tc>
          <w:tcPr>
            <w:tcW w:w="1079" w:type="dxa"/>
            <w:vAlign w:val="center"/>
          </w:tcPr>
          <w:p w14:paraId="3233D4A8" w14:textId="77777777" w:rsidR="00C46D25" w:rsidRDefault="00C46D25" w:rsidP="00C46D25">
            <w:pPr>
              <w:widowControl w:val="0"/>
              <w:autoSpaceDE w:val="0"/>
              <w:autoSpaceDN w:val="0"/>
              <w:adjustRightInd w:val="0"/>
              <w:jc w:val="center"/>
              <w:rPr>
                <w:b/>
              </w:rPr>
            </w:pPr>
            <w:r>
              <w:rPr>
                <w:b/>
              </w:rPr>
              <w:t>Week Average</w:t>
            </w:r>
          </w:p>
        </w:tc>
      </w:tr>
      <w:tr w:rsidR="00C46D25" w:rsidRPr="00335424" w14:paraId="2A96E27E" w14:textId="77777777" w:rsidTr="00C46D25">
        <w:tc>
          <w:tcPr>
            <w:tcW w:w="801" w:type="dxa"/>
            <w:vMerge w:val="restart"/>
            <w:vAlign w:val="center"/>
          </w:tcPr>
          <w:p w14:paraId="779658FD" w14:textId="77777777" w:rsidR="00C46D25" w:rsidRPr="00335424" w:rsidRDefault="00C46D25" w:rsidP="00C46D25">
            <w:pPr>
              <w:widowControl w:val="0"/>
              <w:autoSpaceDE w:val="0"/>
              <w:autoSpaceDN w:val="0"/>
              <w:adjustRightInd w:val="0"/>
              <w:jc w:val="center"/>
              <w:rPr>
                <w:b/>
              </w:rPr>
            </w:pPr>
            <w:r>
              <w:rPr>
                <w:b/>
              </w:rPr>
              <w:t>Week 1</w:t>
            </w:r>
          </w:p>
        </w:tc>
        <w:tc>
          <w:tcPr>
            <w:tcW w:w="1077" w:type="dxa"/>
            <w:tcBorders>
              <w:bottom w:val="dashed" w:sz="4" w:space="0" w:color="auto"/>
            </w:tcBorders>
          </w:tcPr>
          <w:p w14:paraId="5DE0EC27" w14:textId="77777777" w:rsidR="00C46D25" w:rsidRPr="00D33D18" w:rsidRDefault="00C46D25" w:rsidP="00C46D25">
            <w:pPr>
              <w:widowControl w:val="0"/>
              <w:autoSpaceDE w:val="0"/>
              <w:autoSpaceDN w:val="0"/>
              <w:adjustRightInd w:val="0"/>
            </w:pPr>
            <w:r w:rsidRPr="00D33D18">
              <w:t>Systolic</w:t>
            </w:r>
          </w:p>
        </w:tc>
        <w:tc>
          <w:tcPr>
            <w:tcW w:w="833" w:type="dxa"/>
            <w:tcBorders>
              <w:bottom w:val="dashed" w:sz="4" w:space="0" w:color="auto"/>
            </w:tcBorders>
            <w:vAlign w:val="center"/>
          </w:tcPr>
          <w:p w14:paraId="18D072F4" w14:textId="54D5D385" w:rsidR="00C46D25" w:rsidRPr="00C46D25" w:rsidRDefault="00C46D25" w:rsidP="00C46D25">
            <w:pPr>
              <w:widowControl w:val="0"/>
              <w:autoSpaceDE w:val="0"/>
              <w:autoSpaceDN w:val="0"/>
              <w:adjustRightInd w:val="0"/>
              <w:jc w:val="center"/>
              <w:rPr>
                <w:rFonts w:ascii="Lucida Handwriting" w:hAnsi="Lucida Handwriting"/>
                <w:sz w:val="22"/>
                <w:szCs w:val="22"/>
              </w:rPr>
            </w:pPr>
            <w:r w:rsidRPr="00C46D25">
              <w:rPr>
                <w:rFonts w:ascii="Lucida Handwriting" w:hAnsi="Lucida Handwriting"/>
                <w:sz w:val="22"/>
                <w:szCs w:val="22"/>
              </w:rPr>
              <w:t>138</w:t>
            </w:r>
          </w:p>
        </w:tc>
        <w:tc>
          <w:tcPr>
            <w:tcW w:w="848" w:type="dxa"/>
            <w:tcBorders>
              <w:bottom w:val="dashed" w:sz="4" w:space="0" w:color="auto"/>
            </w:tcBorders>
            <w:vAlign w:val="center"/>
          </w:tcPr>
          <w:p w14:paraId="0FD6CBDE" w14:textId="0003C731" w:rsidR="00C46D25" w:rsidRPr="00C46D25" w:rsidRDefault="00770169" w:rsidP="00C46D25">
            <w:pPr>
              <w:widowControl w:val="0"/>
              <w:autoSpaceDE w:val="0"/>
              <w:autoSpaceDN w:val="0"/>
              <w:adjustRightInd w:val="0"/>
              <w:jc w:val="center"/>
              <w:rPr>
                <w:rFonts w:ascii="Lucida Handwriting" w:hAnsi="Lucida Handwriting"/>
                <w:sz w:val="22"/>
                <w:szCs w:val="22"/>
              </w:rPr>
            </w:pPr>
            <w:r>
              <w:rPr>
                <w:rFonts w:ascii="Lucida Handwriting" w:hAnsi="Lucida Handwriting"/>
                <w:sz w:val="22"/>
                <w:szCs w:val="22"/>
              </w:rPr>
              <w:t>140</w:t>
            </w:r>
          </w:p>
        </w:tc>
        <w:tc>
          <w:tcPr>
            <w:tcW w:w="831" w:type="dxa"/>
            <w:tcBorders>
              <w:bottom w:val="dashed" w:sz="4" w:space="0" w:color="auto"/>
            </w:tcBorders>
            <w:vAlign w:val="center"/>
          </w:tcPr>
          <w:p w14:paraId="3E57B33A" w14:textId="4286C99E" w:rsidR="00C46D25" w:rsidRPr="00C46D25" w:rsidRDefault="00770169" w:rsidP="00C46D25">
            <w:pPr>
              <w:widowControl w:val="0"/>
              <w:autoSpaceDE w:val="0"/>
              <w:autoSpaceDN w:val="0"/>
              <w:adjustRightInd w:val="0"/>
              <w:jc w:val="center"/>
              <w:rPr>
                <w:rFonts w:ascii="Lucida Handwriting" w:hAnsi="Lucida Handwriting"/>
                <w:sz w:val="22"/>
                <w:szCs w:val="22"/>
              </w:rPr>
            </w:pPr>
            <w:r>
              <w:rPr>
                <w:rFonts w:ascii="Lucida Handwriting" w:hAnsi="Lucida Handwriting"/>
                <w:sz w:val="22"/>
                <w:szCs w:val="22"/>
              </w:rPr>
              <w:t>137</w:t>
            </w:r>
          </w:p>
        </w:tc>
        <w:tc>
          <w:tcPr>
            <w:tcW w:w="860" w:type="dxa"/>
            <w:tcBorders>
              <w:bottom w:val="dashed" w:sz="4" w:space="0" w:color="auto"/>
            </w:tcBorders>
            <w:vAlign w:val="center"/>
          </w:tcPr>
          <w:p w14:paraId="45839F06" w14:textId="48A783DB" w:rsidR="00C46D25" w:rsidRPr="00C46D25" w:rsidRDefault="00770169" w:rsidP="00C46D25">
            <w:pPr>
              <w:widowControl w:val="0"/>
              <w:autoSpaceDE w:val="0"/>
              <w:autoSpaceDN w:val="0"/>
              <w:adjustRightInd w:val="0"/>
              <w:jc w:val="center"/>
              <w:rPr>
                <w:rFonts w:ascii="Lucida Handwriting" w:hAnsi="Lucida Handwriting"/>
                <w:sz w:val="22"/>
                <w:szCs w:val="22"/>
              </w:rPr>
            </w:pPr>
            <w:r>
              <w:rPr>
                <w:rFonts w:ascii="Lucida Handwriting" w:hAnsi="Lucida Handwriting"/>
                <w:sz w:val="22"/>
                <w:szCs w:val="22"/>
              </w:rPr>
              <w:t>138</w:t>
            </w:r>
          </w:p>
        </w:tc>
        <w:tc>
          <w:tcPr>
            <w:tcW w:w="873" w:type="dxa"/>
            <w:tcBorders>
              <w:bottom w:val="dashed" w:sz="4" w:space="0" w:color="auto"/>
            </w:tcBorders>
            <w:vAlign w:val="center"/>
          </w:tcPr>
          <w:p w14:paraId="657872AF" w14:textId="0C575127" w:rsidR="00C46D25" w:rsidRPr="00C46D25" w:rsidRDefault="00770169" w:rsidP="00C46D25">
            <w:pPr>
              <w:widowControl w:val="0"/>
              <w:autoSpaceDE w:val="0"/>
              <w:autoSpaceDN w:val="0"/>
              <w:adjustRightInd w:val="0"/>
              <w:jc w:val="center"/>
              <w:rPr>
                <w:rFonts w:ascii="Lucida Handwriting" w:hAnsi="Lucida Handwriting"/>
                <w:sz w:val="22"/>
                <w:szCs w:val="22"/>
              </w:rPr>
            </w:pPr>
            <w:r>
              <w:rPr>
                <w:rFonts w:ascii="Lucida Handwriting" w:hAnsi="Lucida Handwriting"/>
                <w:sz w:val="22"/>
                <w:szCs w:val="22"/>
              </w:rPr>
              <w:t>137</w:t>
            </w:r>
          </w:p>
        </w:tc>
        <w:tc>
          <w:tcPr>
            <w:tcW w:w="807" w:type="dxa"/>
            <w:tcBorders>
              <w:bottom w:val="dashed" w:sz="4" w:space="0" w:color="auto"/>
            </w:tcBorders>
            <w:vAlign w:val="center"/>
          </w:tcPr>
          <w:p w14:paraId="58D484AE" w14:textId="6674AC2B" w:rsidR="00C46D25" w:rsidRPr="00C46D25" w:rsidRDefault="00770169" w:rsidP="00C46D25">
            <w:pPr>
              <w:widowControl w:val="0"/>
              <w:autoSpaceDE w:val="0"/>
              <w:autoSpaceDN w:val="0"/>
              <w:adjustRightInd w:val="0"/>
              <w:jc w:val="center"/>
              <w:rPr>
                <w:rFonts w:ascii="Lucida Handwriting" w:hAnsi="Lucida Handwriting"/>
                <w:sz w:val="22"/>
                <w:szCs w:val="22"/>
              </w:rPr>
            </w:pPr>
            <w:r>
              <w:rPr>
                <w:rFonts w:ascii="Lucida Handwriting" w:hAnsi="Lucida Handwriting"/>
                <w:sz w:val="22"/>
                <w:szCs w:val="22"/>
              </w:rPr>
              <w:t>138</w:t>
            </w:r>
          </w:p>
        </w:tc>
        <w:tc>
          <w:tcPr>
            <w:tcW w:w="896" w:type="dxa"/>
            <w:tcBorders>
              <w:bottom w:val="dashed" w:sz="4" w:space="0" w:color="auto"/>
            </w:tcBorders>
            <w:vAlign w:val="center"/>
          </w:tcPr>
          <w:p w14:paraId="6BF2F0A2" w14:textId="46C47155" w:rsidR="00C46D25" w:rsidRPr="00C46D25" w:rsidRDefault="00770169" w:rsidP="00C46D25">
            <w:pPr>
              <w:widowControl w:val="0"/>
              <w:autoSpaceDE w:val="0"/>
              <w:autoSpaceDN w:val="0"/>
              <w:adjustRightInd w:val="0"/>
              <w:jc w:val="center"/>
              <w:rPr>
                <w:rFonts w:ascii="Lucida Handwriting" w:hAnsi="Lucida Handwriting"/>
                <w:sz w:val="22"/>
                <w:szCs w:val="22"/>
              </w:rPr>
            </w:pPr>
            <w:r>
              <w:rPr>
                <w:rFonts w:ascii="Lucida Handwriting" w:hAnsi="Lucida Handwriting"/>
                <w:sz w:val="22"/>
                <w:szCs w:val="22"/>
              </w:rPr>
              <w:t>137</w:t>
            </w:r>
          </w:p>
        </w:tc>
        <w:tc>
          <w:tcPr>
            <w:tcW w:w="1079" w:type="dxa"/>
            <w:tcBorders>
              <w:bottom w:val="dashed" w:sz="4" w:space="0" w:color="auto"/>
            </w:tcBorders>
            <w:vAlign w:val="center"/>
          </w:tcPr>
          <w:p w14:paraId="6206667E" w14:textId="017A8C5F" w:rsidR="00C46D25" w:rsidRPr="00C46D25" w:rsidRDefault="00770169" w:rsidP="00C46D25">
            <w:pPr>
              <w:widowControl w:val="0"/>
              <w:autoSpaceDE w:val="0"/>
              <w:autoSpaceDN w:val="0"/>
              <w:adjustRightInd w:val="0"/>
              <w:jc w:val="center"/>
              <w:rPr>
                <w:rFonts w:ascii="Lucida Handwriting" w:hAnsi="Lucida Handwriting"/>
                <w:sz w:val="22"/>
                <w:szCs w:val="22"/>
              </w:rPr>
            </w:pPr>
            <w:r>
              <w:rPr>
                <w:rFonts w:ascii="Lucida Handwriting" w:hAnsi="Lucida Handwriting"/>
                <w:sz w:val="22"/>
                <w:szCs w:val="22"/>
              </w:rPr>
              <w:t>137.8</w:t>
            </w:r>
          </w:p>
        </w:tc>
      </w:tr>
      <w:tr w:rsidR="00C46D25" w:rsidRPr="00335424" w14:paraId="3085090C" w14:textId="77777777" w:rsidTr="00C46D25">
        <w:tc>
          <w:tcPr>
            <w:tcW w:w="801" w:type="dxa"/>
            <w:vMerge/>
            <w:vAlign w:val="center"/>
          </w:tcPr>
          <w:p w14:paraId="797BB2C5" w14:textId="77777777" w:rsidR="00C46D25" w:rsidRPr="00335424" w:rsidRDefault="00C46D25" w:rsidP="00C46D25">
            <w:pPr>
              <w:widowControl w:val="0"/>
              <w:autoSpaceDE w:val="0"/>
              <w:autoSpaceDN w:val="0"/>
              <w:adjustRightInd w:val="0"/>
              <w:jc w:val="center"/>
              <w:rPr>
                <w:b/>
              </w:rPr>
            </w:pPr>
          </w:p>
        </w:tc>
        <w:tc>
          <w:tcPr>
            <w:tcW w:w="1077" w:type="dxa"/>
            <w:tcBorders>
              <w:top w:val="dashed" w:sz="4" w:space="0" w:color="auto"/>
            </w:tcBorders>
          </w:tcPr>
          <w:p w14:paraId="198615D9" w14:textId="77777777" w:rsidR="00C46D25" w:rsidRPr="00D33D18" w:rsidRDefault="00C46D25" w:rsidP="00C46D25">
            <w:pPr>
              <w:widowControl w:val="0"/>
              <w:autoSpaceDE w:val="0"/>
              <w:autoSpaceDN w:val="0"/>
              <w:adjustRightInd w:val="0"/>
            </w:pPr>
            <w:r w:rsidRPr="00D33D18">
              <w:t>Diastolic</w:t>
            </w:r>
          </w:p>
        </w:tc>
        <w:tc>
          <w:tcPr>
            <w:tcW w:w="833" w:type="dxa"/>
            <w:tcBorders>
              <w:top w:val="dashed" w:sz="4" w:space="0" w:color="auto"/>
            </w:tcBorders>
            <w:vAlign w:val="center"/>
          </w:tcPr>
          <w:p w14:paraId="4800D70F" w14:textId="180CA867" w:rsidR="00C46D25" w:rsidRPr="00C46D25" w:rsidRDefault="00C46D25" w:rsidP="00C46D25">
            <w:pPr>
              <w:widowControl w:val="0"/>
              <w:autoSpaceDE w:val="0"/>
              <w:autoSpaceDN w:val="0"/>
              <w:adjustRightInd w:val="0"/>
              <w:jc w:val="center"/>
              <w:rPr>
                <w:rFonts w:ascii="Lucida Handwriting" w:hAnsi="Lucida Handwriting"/>
                <w:sz w:val="22"/>
                <w:szCs w:val="22"/>
              </w:rPr>
            </w:pPr>
            <w:r w:rsidRPr="00C46D25">
              <w:rPr>
                <w:rFonts w:ascii="Lucida Handwriting" w:hAnsi="Lucida Handwriting"/>
                <w:sz w:val="22"/>
                <w:szCs w:val="22"/>
              </w:rPr>
              <w:t>8</w:t>
            </w:r>
            <w:r w:rsidR="00770169">
              <w:rPr>
                <w:rFonts w:ascii="Lucida Handwriting" w:hAnsi="Lucida Handwriting"/>
                <w:sz w:val="22"/>
                <w:szCs w:val="22"/>
              </w:rPr>
              <w:t>3</w:t>
            </w:r>
          </w:p>
        </w:tc>
        <w:tc>
          <w:tcPr>
            <w:tcW w:w="848" w:type="dxa"/>
            <w:tcBorders>
              <w:top w:val="dashed" w:sz="4" w:space="0" w:color="auto"/>
            </w:tcBorders>
            <w:vAlign w:val="center"/>
          </w:tcPr>
          <w:p w14:paraId="63474140" w14:textId="324B034D" w:rsidR="00C46D25" w:rsidRPr="00C46D25" w:rsidRDefault="00770169" w:rsidP="00C46D25">
            <w:pPr>
              <w:widowControl w:val="0"/>
              <w:autoSpaceDE w:val="0"/>
              <w:autoSpaceDN w:val="0"/>
              <w:adjustRightInd w:val="0"/>
              <w:jc w:val="center"/>
              <w:rPr>
                <w:rFonts w:ascii="Lucida Handwriting" w:hAnsi="Lucida Handwriting"/>
                <w:sz w:val="22"/>
                <w:szCs w:val="22"/>
              </w:rPr>
            </w:pPr>
            <w:r>
              <w:rPr>
                <w:rFonts w:ascii="Lucida Handwriting" w:hAnsi="Lucida Handwriting"/>
                <w:sz w:val="22"/>
                <w:szCs w:val="22"/>
              </w:rPr>
              <w:t>81</w:t>
            </w:r>
          </w:p>
        </w:tc>
        <w:tc>
          <w:tcPr>
            <w:tcW w:w="831" w:type="dxa"/>
            <w:tcBorders>
              <w:top w:val="dashed" w:sz="4" w:space="0" w:color="auto"/>
            </w:tcBorders>
            <w:vAlign w:val="center"/>
          </w:tcPr>
          <w:p w14:paraId="3F9F162E" w14:textId="36510380" w:rsidR="00C46D25" w:rsidRPr="00C46D25" w:rsidRDefault="00770169" w:rsidP="00C46D25">
            <w:pPr>
              <w:widowControl w:val="0"/>
              <w:autoSpaceDE w:val="0"/>
              <w:autoSpaceDN w:val="0"/>
              <w:adjustRightInd w:val="0"/>
              <w:jc w:val="center"/>
              <w:rPr>
                <w:rFonts w:ascii="Lucida Handwriting" w:hAnsi="Lucida Handwriting"/>
                <w:sz w:val="22"/>
                <w:szCs w:val="22"/>
              </w:rPr>
            </w:pPr>
            <w:r>
              <w:rPr>
                <w:rFonts w:ascii="Lucida Handwriting" w:hAnsi="Lucida Handwriting"/>
                <w:sz w:val="22"/>
                <w:szCs w:val="22"/>
              </w:rPr>
              <w:t>82</w:t>
            </w:r>
          </w:p>
        </w:tc>
        <w:tc>
          <w:tcPr>
            <w:tcW w:w="860" w:type="dxa"/>
            <w:tcBorders>
              <w:top w:val="dashed" w:sz="4" w:space="0" w:color="auto"/>
            </w:tcBorders>
            <w:vAlign w:val="center"/>
          </w:tcPr>
          <w:p w14:paraId="5522CC0F" w14:textId="36B0F076" w:rsidR="00C46D25" w:rsidRPr="00C46D25" w:rsidRDefault="00770169" w:rsidP="00C46D25">
            <w:pPr>
              <w:widowControl w:val="0"/>
              <w:autoSpaceDE w:val="0"/>
              <w:autoSpaceDN w:val="0"/>
              <w:adjustRightInd w:val="0"/>
              <w:jc w:val="center"/>
              <w:rPr>
                <w:rFonts w:ascii="Lucida Handwriting" w:hAnsi="Lucida Handwriting"/>
                <w:sz w:val="22"/>
                <w:szCs w:val="22"/>
              </w:rPr>
            </w:pPr>
            <w:r>
              <w:rPr>
                <w:rFonts w:ascii="Lucida Handwriting" w:hAnsi="Lucida Handwriting"/>
                <w:sz w:val="22"/>
                <w:szCs w:val="22"/>
              </w:rPr>
              <w:t>82</w:t>
            </w:r>
          </w:p>
        </w:tc>
        <w:tc>
          <w:tcPr>
            <w:tcW w:w="873" w:type="dxa"/>
            <w:tcBorders>
              <w:top w:val="dashed" w:sz="4" w:space="0" w:color="auto"/>
            </w:tcBorders>
            <w:vAlign w:val="center"/>
          </w:tcPr>
          <w:p w14:paraId="32FB4420" w14:textId="0EF42D4C" w:rsidR="00C46D25" w:rsidRPr="00C46D25" w:rsidRDefault="00770169" w:rsidP="00C46D25">
            <w:pPr>
              <w:widowControl w:val="0"/>
              <w:autoSpaceDE w:val="0"/>
              <w:autoSpaceDN w:val="0"/>
              <w:adjustRightInd w:val="0"/>
              <w:jc w:val="center"/>
              <w:rPr>
                <w:rFonts w:ascii="Lucida Handwriting" w:hAnsi="Lucida Handwriting"/>
                <w:sz w:val="22"/>
                <w:szCs w:val="22"/>
              </w:rPr>
            </w:pPr>
            <w:r>
              <w:rPr>
                <w:rFonts w:ascii="Lucida Handwriting" w:hAnsi="Lucida Handwriting"/>
                <w:sz w:val="22"/>
                <w:szCs w:val="22"/>
              </w:rPr>
              <w:t>83</w:t>
            </w:r>
          </w:p>
        </w:tc>
        <w:tc>
          <w:tcPr>
            <w:tcW w:w="807" w:type="dxa"/>
            <w:tcBorders>
              <w:top w:val="dashed" w:sz="4" w:space="0" w:color="auto"/>
            </w:tcBorders>
            <w:vAlign w:val="center"/>
          </w:tcPr>
          <w:p w14:paraId="6C714FF2" w14:textId="1AE8DC27" w:rsidR="00C46D25" w:rsidRPr="00C46D25" w:rsidRDefault="00770169" w:rsidP="00C46D25">
            <w:pPr>
              <w:widowControl w:val="0"/>
              <w:autoSpaceDE w:val="0"/>
              <w:autoSpaceDN w:val="0"/>
              <w:adjustRightInd w:val="0"/>
              <w:jc w:val="center"/>
              <w:rPr>
                <w:rFonts w:ascii="Lucida Handwriting" w:hAnsi="Lucida Handwriting"/>
                <w:sz w:val="22"/>
                <w:szCs w:val="22"/>
              </w:rPr>
            </w:pPr>
            <w:r>
              <w:rPr>
                <w:rFonts w:ascii="Lucida Handwriting" w:hAnsi="Lucida Handwriting"/>
                <w:sz w:val="22"/>
                <w:szCs w:val="22"/>
              </w:rPr>
              <w:t>82</w:t>
            </w:r>
          </w:p>
        </w:tc>
        <w:tc>
          <w:tcPr>
            <w:tcW w:w="896" w:type="dxa"/>
            <w:tcBorders>
              <w:top w:val="dashed" w:sz="4" w:space="0" w:color="auto"/>
            </w:tcBorders>
            <w:vAlign w:val="center"/>
          </w:tcPr>
          <w:p w14:paraId="5214EC53" w14:textId="2533C919" w:rsidR="00C46D25" w:rsidRPr="00C46D25" w:rsidRDefault="00770169" w:rsidP="00C46D25">
            <w:pPr>
              <w:widowControl w:val="0"/>
              <w:autoSpaceDE w:val="0"/>
              <w:autoSpaceDN w:val="0"/>
              <w:adjustRightInd w:val="0"/>
              <w:jc w:val="center"/>
              <w:rPr>
                <w:rFonts w:ascii="Lucida Handwriting" w:hAnsi="Lucida Handwriting"/>
                <w:sz w:val="22"/>
                <w:szCs w:val="22"/>
              </w:rPr>
            </w:pPr>
            <w:r>
              <w:rPr>
                <w:rFonts w:ascii="Lucida Handwriting" w:hAnsi="Lucida Handwriting"/>
                <w:sz w:val="22"/>
                <w:szCs w:val="22"/>
              </w:rPr>
              <w:t>82</w:t>
            </w:r>
          </w:p>
        </w:tc>
        <w:tc>
          <w:tcPr>
            <w:tcW w:w="1079" w:type="dxa"/>
            <w:tcBorders>
              <w:top w:val="dashed" w:sz="4" w:space="0" w:color="auto"/>
            </w:tcBorders>
            <w:vAlign w:val="center"/>
          </w:tcPr>
          <w:p w14:paraId="07BB1E46" w14:textId="07465A67" w:rsidR="00C46D25" w:rsidRPr="00C46D25" w:rsidRDefault="00770169" w:rsidP="00C46D25">
            <w:pPr>
              <w:widowControl w:val="0"/>
              <w:autoSpaceDE w:val="0"/>
              <w:autoSpaceDN w:val="0"/>
              <w:adjustRightInd w:val="0"/>
              <w:jc w:val="center"/>
              <w:rPr>
                <w:rFonts w:ascii="Lucida Handwriting" w:hAnsi="Lucida Handwriting"/>
                <w:sz w:val="22"/>
                <w:szCs w:val="22"/>
              </w:rPr>
            </w:pPr>
            <w:r>
              <w:rPr>
                <w:rFonts w:ascii="Lucida Handwriting" w:hAnsi="Lucida Handwriting"/>
                <w:sz w:val="22"/>
                <w:szCs w:val="22"/>
              </w:rPr>
              <w:t>82</w:t>
            </w:r>
          </w:p>
        </w:tc>
      </w:tr>
      <w:tr w:rsidR="00C46D25" w:rsidRPr="00335424" w14:paraId="20A5241B" w14:textId="77777777" w:rsidTr="00C46D25">
        <w:tc>
          <w:tcPr>
            <w:tcW w:w="801" w:type="dxa"/>
            <w:vMerge/>
            <w:vAlign w:val="center"/>
          </w:tcPr>
          <w:p w14:paraId="7AB8CBE0" w14:textId="77777777" w:rsidR="00C46D25" w:rsidRPr="00335424" w:rsidRDefault="00C46D25" w:rsidP="00C46D25">
            <w:pPr>
              <w:widowControl w:val="0"/>
              <w:autoSpaceDE w:val="0"/>
              <w:autoSpaceDN w:val="0"/>
              <w:adjustRightInd w:val="0"/>
              <w:jc w:val="center"/>
              <w:rPr>
                <w:b/>
              </w:rPr>
            </w:pPr>
          </w:p>
        </w:tc>
        <w:tc>
          <w:tcPr>
            <w:tcW w:w="1077" w:type="dxa"/>
            <w:tcBorders>
              <w:top w:val="dashed" w:sz="4" w:space="0" w:color="auto"/>
            </w:tcBorders>
            <w:vAlign w:val="center"/>
          </w:tcPr>
          <w:p w14:paraId="1E724B43" w14:textId="77777777" w:rsidR="00C46D25" w:rsidRPr="00D33D18" w:rsidRDefault="00C46D25" w:rsidP="00C46D25">
            <w:pPr>
              <w:widowControl w:val="0"/>
              <w:autoSpaceDE w:val="0"/>
              <w:autoSpaceDN w:val="0"/>
              <w:adjustRightInd w:val="0"/>
              <w:jc w:val="center"/>
            </w:pPr>
            <w:r w:rsidRPr="00D33D18">
              <w:t>Activity</w:t>
            </w:r>
          </w:p>
          <w:p w14:paraId="21BDF89F" w14:textId="77777777" w:rsidR="00C46D25" w:rsidRPr="00D33D18" w:rsidRDefault="00C46D25" w:rsidP="00C46D25">
            <w:pPr>
              <w:widowControl w:val="0"/>
              <w:autoSpaceDE w:val="0"/>
              <w:autoSpaceDN w:val="0"/>
              <w:adjustRightInd w:val="0"/>
              <w:jc w:val="center"/>
            </w:pPr>
          </w:p>
        </w:tc>
        <w:tc>
          <w:tcPr>
            <w:tcW w:w="833" w:type="dxa"/>
            <w:tcBorders>
              <w:top w:val="dashed" w:sz="4" w:space="0" w:color="auto"/>
            </w:tcBorders>
            <w:vAlign w:val="center"/>
          </w:tcPr>
          <w:p w14:paraId="0FF7B6D8" w14:textId="78952857" w:rsidR="00C46D25" w:rsidRPr="00770169" w:rsidRDefault="00C46D25" w:rsidP="00C46D25">
            <w:pPr>
              <w:widowControl w:val="0"/>
              <w:autoSpaceDE w:val="0"/>
              <w:autoSpaceDN w:val="0"/>
              <w:adjustRightInd w:val="0"/>
              <w:jc w:val="center"/>
              <w:rPr>
                <w:rFonts w:ascii="Lucida Handwriting" w:hAnsi="Lucida Handwriting"/>
                <w:sz w:val="21"/>
                <w:szCs w:val="22"/>
              </w:rPr>
            </w:pPr>
            <w:r w:rsidRPr="00770169">
              <w:rPr>
                <w:rFonts w:ascii="Lucida Handwriting" w:hAnsi="Lucida Handwriting"/>
                <w:sz w:val="21"/>
                <w:szCs w:val="22"/>
              </w:rPr>
              <w:t>Walk 60 min</w:t>
            </w:r>
          </w:p>
        </w:tc>
        <w:tc>
          <w:tcPr>
            <w:tcW w:w="848" w:type="dxa"/>
            <w:tcBorders>
              <w:top w:val="dashed" w:sz="4" w:space="0" w:color="auto"/>
            </w:tcBorders>
            <w:vAlign w:val="center"/>
          </w:tcPr>
          <w:p w14:paraId="2D2E3019" w14:textId="605EFC71" w:rsidR="00C46D25" w:rsidRPr="00770169" w:rsidRDefault="00C46D25" w:rsidP="00C46D25">
            <w:pPr>
              <w:widowControl w:val="0"/>
              <w:autoSpaceDE w:val="0"/>
              <w:autoSpaceDN w:val="0"/>
              <w:adjustRightInd w:val="0"/>
              <w:jc w:val="center"/>
              <w:rPr>
                <w:rFonts w:ascii="Lucida Handwriting" w:hAnsi="Lucida Handwriting"/>
                <w:sz w:val="21"/>
                <w:szCs w:val="22"/>
              </w:rPr>
            </w:pPr>
            <w:r w:rsidRPr="00770169">
              <w:rPr>
                <w:rFonts w:ascii="Lucida Handwriting" w:hAnsi="Lucida Handwriting"/>
                <w:sz w:val="21"/>
                <w:szCs w:val="22"/>
              </w:rPr>
              <w:t>none</w:t>
            </w:r>
          </w:p>
        </w:tc>
        <w:tc>
          <w:tcPr>
            <w:tcW w:w="831" w:type="dxa"/>
            <w:tcBorders>
              <w:top w:val="dashed" w:sz="4" w:space="0" w:color="auto"/>
            </w:tcBorders>
            <w:vAlign w:val="center"/>
          </w:tcPr>
          <w:p w14:paraId="5FF7E853" w14:textId="78EB5C97" w:rsidR="00C46D25" w:rsidRPr="00770169" w:rsidRDefault="00C46D25" w:rsidP="00C46D25">
            <w:pPr>
              <w:widowControl w:val="0"/>
              <w:autoSpaceDE w:val="0"/>
              <w:autoSpaceDN w:val="0"/>
              <w:adjustRightInd w:val="0"/>
              <w:jc w:val="center"/>
              <w:rPr>
                <w:rFonts w:ascii="Lucida Handwriting" w:hAnsi="Lucida Handwriting"/>
                <w:sz w:val="21"/>
                <w:szCs w:val="22"/>
              </w:rPr>
            </w:pPr>
            <w:r w:rsidRPr="00770169">
              <w:rPr>
                <w:rFonts w:ascii="Lucida Handwriting" w:hAnsi="Lucida Handwriting"/>
                <w:sz w:val="21"/>
                <w:szCs w:val="22"/>
              </w:rPr>
              <w:t>Walk 60 min</w:t>
            </w:r>
          </w:p>
        </w:tc>
        <w:tc>
          <w:tcPr>
            <w:tcW w:w="860" w:type="dxa"/>
            <w:tcBorders>
              <w:top w:val="dashed" w:sz="4" w:space="0" w:color="auto"/>
            </w:tcBorders>
            <w:vAlign w:val="center"/>
          </w:tcPr>
          <w:p w14:paraId="4498AFAA" w14:textId="0BE4F8AA" w:rsidR="00C46D25" w:rsidRPr="00770169" w:rsidRDefault="00C46D25" w:rsidP="00C46D25">
            <w:pPr>
              <w:widowControl w:val="0"/>
              <w:autoSpaceDE w:val="0"/>
              <w:autoSpaceDN w:val="0"/>
              <w:adjustRightInd w:val="0"/>
              <w:jc w:val="center"/>
              <w:rPr>
                <w:rFonts w:ascii="Lucida Handwriting" w:hAnsi="Lucida Handwriting"/>
                <w:sz w:val="21"/>
                <w:szCs w:val="22"/>
              </w:rPr>
            </w:pPr>
            <w:r w:rsidRPr="00770169">
              <w:rPr>
                <w:rFonts w:ascii="Lucida Handwriting" w:hAnsi="Lucida Handwriting"/>
                <w:sz w:val="21"/>
                <w:szCs w:val="22"/>
              </w:rPr>
              <w:t>none</w:t>
            </w:r>
          </w:p>
        </w:tc>
        <w:tc>
          <w:tcPr>
            <w:tcW w:w="873" w:type="dxa"/>
            <w:tcBorders>
              <w:top w:val="dashed" w:sz="4" w:space="0" w:color="auto"/>
            </w:tcBorders>
            <w:vAlign w:val="center"/>
          </w:tcPr>
          <w:p w14:paraId="3097DBBC" w14:textId="0ED9A2DA" w:rsidR="00C46D25" w:rsidRPr="00770169" w:rsidRDefault="00C46D25" w:rsidP="00C46D25">
            <w:pPr>
              <w:widowControl w:val="0"/>
              <w:autoSpaceDE w:val="0"/>
              <w:autoSpaceDN w:val="0"/>
              <w:adjustRightInd w:val="0"/>
              <w:jc w:val="center"/>
              <w:rPr>
                <w:rFonts w:ascii="Lucida Handwriting" w:hAnsi="Lucida Handwriting"/>
                <w:sz w:val="21"/>
                <w:szCs w:val="22"/>
              </w:rPr>
            </w:pPr>
            <w:r w:rsidRPr="00770169">
              <w:rPr>
                <w:rFonts w:ascii="Lucida Handwriting" w:hAnsi="Lucida Handwriting"/>
                <w:sz w:val="21"/>
                <w:szCs w:val="22"/>
              </w:rPr>
              <w:t>Walk 30 min</w:t>
            </w:r>
          </w:p>
        </w:tc>
        <w:tc>
          <w:tcPr>
            <w:tcW w:w="807" w:type="dxa"/>
            <w:tcBorders>
              <w:top w:val="dashed" w:sz="4" w:space="0" w:color="auto"/>
            </w:tcBorders>
            <w:vAlign w:val="center"/>
          </w:tcPr>
          <w:p w14:paraId="4CD58001" w14:textId="04FB5DF0" w:rsidR="00C46D25" w:rsidRPr="00770169" w:rsidRDefault="00C46D25" w:rsidP="00C46D25">
            <w:pPr>
              <w:widowControl w:val="0"/>
              <w:autoSpaceDE w:val="0"/>
              <w:autoSpaceDN w:val="0"/>
              <w:adjustRightInd w:val="0"/>
              <w:jc w:val="center"/>
              <w:rPr>
                <w:rFonts w:ascii="Lucida Handwriting" w:hAnsi="Lucida Handwriting"/>
                <w:sz w:val="21"/>
                <w:szCs w:val="22"/>
              </w:rPr>
            </w:pPr>
            <w:r w:rsidRPr="00770169">
              <w:rPr>
                <w:rFonts w:ascii="Lucida Handwriting" w:hAnsi="Lucida Handwriting"/>
                <w:sz w:val="21"/>
                <w:szCs w:val="22"/>
              </w:rPr>
              <w:t>Walk 15 min</w:t>
            </w:r>
          </w:p>
        </w:tc>
        <w:tc>
          <w:tcPr>
            <w:tcW w:w="896" w:type="dxa"/>
            <w:tcBorders>
              <w:top w:val="dashed" w:sz="4" w:space="0" w:color="auto"/>
            </w:tcBorders>
            <w:vAlign w:val="center"/>
          </w:tcPr>
          <w:p w14:paraId="359C95DC" w14:textId="360A5D06" w:rsidR="00C46D25" w:rsidRPr="00770169" w:rsidRDefault="00C46D25" w:rsidP="00C46D25">
            <w:pPr>
              <w:widowControl w:val="0"/>
              <w:autoSpaceDE w:val="0"/>
              <w:autoSpaceDN w:val="0"/>
              <w:adjustRightInd w:val="0"/>
              <w:jc w:val="center"/>
              <w:rPr>
                <w:rFonts w:ascii="Lucida Handwriting" w:hAnsi="Lucida Handwriting"/>
                <w:sz w:val="21"/>
                <w:szCs w:val="22"/>
              </w:rPr>
            </w:pPr>
            <w:r w:rsidRPr="00770169">
              <w:rPr>
                <w:rFonts w:ascii="Lucida Handwriting" w:hAnsi="Lucida Handwriting"/>
                <w:sz w:val="21"/>
                <w:szCs w:val="22"/>
              </w:rPr>
              <w:t>none</w:t>
            </w:r>
          </w:p>
        </w:tc>
        <w:tc>
          <w:tcPr>
            <w:tcW w:w="1079" w:type="dxa"/>
            <w:tcBorders>
              <w:top w:val="dashed" w:sz="4" w:space="0" w:color="auto"/>
            </w:tcBorders>
            <w:vAlign w:val="center"/>
          </w:tcPr>
          <w:p w14:paraId="532DD730" w14:textId="02B6151E" w:rsidR="00C46D25" w:rsidRPr="00770169" w:rsidRDefault="00770169" w:rsidP="00C46D25">
            <w:pPr>
              <w:widowControl w:val="0"/>
              <w:autoSpaceDE w:val="0"/>
              <w:autoSpaceDN w:val="0"/>
              <w:adjustRightInd w:val="0"/>
              <w:jc w:val="center"/>
              <w:rPr>
                <w:rFonts w:ascii="Lucida Handwriting" w:hAnsi="Lucida Handwriting"/>
                <w:sz w:val="21"/>
                <w:szCs w:val="22"/>
              </w:rPr>
            </w:pPr>
            <w:r w:rsidRPr="00770169">
              <w:rPr>
                <w:rFonts w:ascii="Lucida Handwriting" w:hAnsi="Lucida Handwriting"/>
                <w:sz w:val="21"/>
                <w:szCs w:val="22"/>
              </w:rPr>
              <w:t>Total: 2</w:t>
            </w:r>
            <w:r>
              <w:rPr>
                <w:rFonts w:ascii="Lucida Handwriting" w:hAnsi="Lucida Handwriting"/>
                <w:sz w:val="21"/>
                <w:szCs w:val="22"/>
              </w:rPr>
              <w:t xml:space="preserve">.75 </w:t>
            </w:r>
            <w:proofErr w:type="spellStart"/>
            <w:r>
              <w:rPr>
                <w:rFonts w:ascii="Lucida Handwriting" w:hAnsi="Lucida Handwriting"/>
                <w:sz w:val="21"/>
                <w:szCs w:val="22"/>
              </w:rPr>
              <w:t>hr</w:t>
            </w:r>
            <w:proofErr w:type="spellEnd"/>
          </w:p>
        </w:tc>
      </w:tr>
    </w:tbl>
    <w:p w14:paraId="2C6AF4CE" w14:textId="77777777" w:rsidR="00C46D25" w:rsidRDefault="00C46D25" w:rsidP="00C46D25">
      <w:pPr>
        <w:widowControl w:val="0"/>
        <w:autoSpaceDE w:val="0"/>
        <w:autoSpaceDN w:val="0"/>
        <w:adjustRightInd w:val="0"/>
        <w:rPr>
          <w:b/>
        </w:rPr>
      </w:pPr>
    </w:p>
    <w:p w14:paraId="7A07A0FE" w14:textId="77E12B8F" w:rsidR="00C46D25" w:rsidRPr="00C46D25" w:rsidRDefault="00C46D25" w:rsidP="00C46D25">
      <w:pPr>
        <w:widowControl w:val="0"/>
        <w:autoSpaceDE w:val="0"/>
        <w:autoSpaceDN w:val="0"/>
        <w:adjustRightInd w:val="0"/>
        <w:rPr>
          <w:b/>
        </w:rPr>
      </w:pPr>
      <w:r>
        <w:rPr>
          <w:b/>
        </w:rPr>
        <w:t>Participant Log</w:t>
      </w:r>
    </w:p>
    <w:tbl>
      <w:tblPr>
        <w:tblStyle w:val="TableGrid"/>
        <w:tblW w:w="8905" w:type="dxa"/>
        <w:tblInd w:w="85" w:type="dxa"/>
        <w:tblLook w:val="04A0" w:firstRow="1" w:lastRow="0" w:firstColumn="1" w:lastColumn="0" w:noHBand="0" w:noVBand="1"/>
      </w:tblPr>
      <w:tblGrid>
        <w:gridCol w:w="801"/>
        <w:gridCol w:w="1077"/>
        <w:gridCol w:w="833"/>
        <w:gridCol w:w="832"/>
        <w:gridCol w:w="833"/>
        <w:gridCol w:w="861"/>
        <w:gridCol w:w="878"/>
        <w:gridCol w:w="810"/>
        <w:gridCol w:w="900"/>
        <w:gridCol w:w="1080"/>
      </w:tblGrid>
      <w:tr w:rsidR="00C46D25" w14:paraId="64EED69C" w14:textId="09D47EF0" w:rsidTr="00C46D25">
        <w:tc>
          <w:tcPr>
            <w:tcW w:w="801" w:type="dxa"/>
            <w:vAlign w:val="center"/>
          </w:tcPr>
          <w:p w14:paraId="29B43441" w14:textId="77777777" w:rsidR="00C46D25" w:rsidRPr="00335424" w:rsidRDefault="00C46D25" w:rsidP="00335424">
            <w:pPr>
              <w:widowControl w:val="0"/>
              <w:autoSpaceDE w:val="0"/>
              <w:autoSpaceDN w:val="0"/>
              <w:adjustRightInd w:val="0"/>
              <w:jc w:val="center"/>
              <w:rPr>
                <w:b/>
              </w:rPr>
            </w:pPr>
          </w:p>
        </w:tc>
        <w:tc>
          <w:tcPr>
            <w:tcW w:w="1077" w:type="dxa"/>
            <w:vAlign w:val="center"/>
          </w:tcPr>
          <w:p w14:paraId="4EC0D7BF" w14:textId="77777777" w:rsidR="00C46D25" w:rsidRDefault="00C46D25" w:rsidP="00C46D25">
            <w:pPr>
              <w:widowControl w:val="0"/>
              <w:autoSpaceDE w:val="0"/>
              <w:autoSpaceDN w:val="0"/>
              <w:adjustRightInd w:val="0"/>
              <w:jc w:val="center"/>
              <w:rPr>
                <w:b/>
              </w:rPr>
            </w:pPr>
          </w:p>
        </w:tc>
        <w:tc>
          <w:tcPr>
            <w:tcW w:w="833" w:type="dxa"/>
            <w:vAlign w:val="center"/>
          </w:tcPr>
          <w:p w14:paraId="01456534" w14:textId="184CA0C8" w:rsidR="00C46D25" w:rsidRPr="00335424" w:rsidRDefault="00C46D25" w:rsidP="00C46D25">
            <w:pPr>
              <w:widowControl w:val="0"/>
              <w:autoSpaceDE w:val="0"/>
              <w:autoSpaceDN w:val="0"/>
              <w:adjustRightInd w:val="0"/>
              <w:jc w:val="center"/>
              <w:rPr>
                <w:b/>
              </w:rPr>
            </w:pPr>
            <w:r>
              <w:rPr>
                <w:b/>
              </w:rPr>
              <w:t>Mon</w:t>
            </w:r>
          </w:p>
        </w:tc>
        <w:tc>
          <w:tcPr>
            <w:tcW w:w="832" w:type="dxa"/>
            <w:vAlign w:val="center"/>
          </w:tcPr>
          <w:p w14:paraId="5E4834B9" w14:textId="3A2DF0D0" w:rsidR="00C46D25" w:rsidRPr="00335424" w:rsidRDefault="00C46D25" w:rsidP="00C46D25">
            <w:pPr>
              <w:widowControl w:val="0"/>
              <w:autoSpaceDE w:val="0"/>
              <w:autoSpaceDN w:val="0"/>
              <w:adjustRightInd w:val="0"/>
              <w:jc w:val="center"/>
              <w:rPr>
                <w:b/>
              </w:rPr>
            </w:pPr>
            <w:r>
              <w:rPr>
                <w:b/>
              </w:rPr>
              <w:t>Tues</w:t>
            </w:r>
          </w:p>
        </w:tc>
        <w:tc>
          <w:tcPr>
            <w:tcW w:w="833" w:type="dxa"/>
            <w:vAlign w:val="center"/>
          </w:tcPr>
          <w:p w14:paraId="131B8194" w14:textId="74B5CF03" w:rsidR="00C46D25" w:rsidRPr="00335424" w:rsidRDefault="00C46D25" w:rsidP="00C46D25">
            <w:pPr>
              <w:widowControl w:val="0"/>
              <w:autoSpaceDE w:val="0"/>
              <w:autoSpaceDN w:val="0"/>
              <w:adjustRightInd w:val="0"/>
              <w:jc w:val="center"/>
              <w:rPr>
                <w:b/>
              </w:rPr>
            </w:pPr>
            <w:r>
              <w:rPr>
                <w:b/>
              </w:rPr>
              <w:t>Wed</w:t>
            </w:r>
          </w:p>
        </w:tc>
        <w:tc>
          <w:tcPr>
            <w:tcW w:w="861" w:type="dxa"/>
            <w:vAlign w:val="center"/>
          </w:tcPr>
          <w:p w14:paraId="2146C25D" w14:textId="740C6B2E" w:rsidR="00C46D25" w:rsidRPr="00335424" w:rsidRDefault="00C46D25" w:rsidP="00C46D25">
            <w:pPr>
              <w:widowControl w:val="0"/>
              <w:autoSpaceDE w:val="0"/>
              <w:autoSpaceDN w:val="0"/>
              <w:adjustRightInd w:val="0"/>
              <w:jc w:val="center"/>
              <w:rPr>
                <w:b/>
              </w:rPr>
            </w:pPr>
            <w:r>
              <w:rPr>
                <w:b/>
              </w:rPr>
              <w:t>Thurs</w:t>
            </w:r>
          </w:p>
        </w:tc>
        <w:tc>
          <w:tcPr>
            <w:tcW w:w="878" w:type="dxa"/>
            <w:vAlign w:val="center"/>
          </w:tcPr>
          <w:p w14:paraId="329B3B15" w14:textId="249EEBD4" w:rsidR="00C46D25" w:rsidRPr="00335424" w:rsidRDefault="00C46D25" w:rsidP="00C46D25">
            <w:pPr>
              <w:widowControl w:val="0"/>
              <w:autoSpaceDE w:val="0"/>
              <w:autoSpaceDN w:val="0"/>
              <w:adjustRightInd w:val="0"/>
              <w:jc w:val="center"/>
              <w:rPr>
                <w:b/>
              </w:rPr>
            </w:pPr>
            <w:r>
              <w:rPr>
                <w:b/>
              </w:rPr>
              <w:t>Fri</w:t>
            </w:r>
          </w:p>
        </w:tc>
        <w:tc>
          <w:tcPr>
            <w:tcW w:w="810" w:type="dxa"/>
            <w:vAlign w:val="center"/>
          </w:tcPr>
          <w:p w14:paraId="0836718B" w14:textId="21C1BC13" w:rsidR="00C46D25" w:rsidRPr="00335424" w:rsidRDefault="00C46D25" w:rsidP="00C46D25">
            <w:pPr>
              <w:widowControl w:val="0"/>
              <w:autoSpaceDE w:val="0"/>
              <w:autoSpaceDN w:val="0"/>
              <w:adjustRightInd w:val="0"/>
              <w:jc w:val="center"/>
              <w:rPr>
                <w:b/>
              </w:rPr>
            </w:pPr>
            <w:r>
              <w:rPr>
                <w:b/>
              </w:rPr>
              <w:t>Sat</w:t>
            </w:r>
          </w:p>
        </w:tc>
        <w:tc>
          <w:tcPr>
            <w:tcW w:w="900" w:type="dxa"/>
            <w:vAlign w:val="center"/>
          </w:tcPr>
          <w:p w14:paraId="2BAE9DF7" w14:textId="457AA535" w:rsidR="00C46D25" w:rsidRPr="00335424" w:rsidRDefault="00C46D25" w:rsidP="00C46D25">
            <w:pPr>
              <w:widowControl w:val="0"/>
              <w:autoSpaceDE w:val="0"/>
              <w:autoSpaceDN w:val="0"/>
              <w:adjustRightInd w:val="0"/>
              <w:jc w:val="center"/>
              <w:rPr>
                <w:b/>
              </w:rPr>
            </w:pPr>
            <w:r>
              <w:rPr>
                <w:b/>
              </w:rPr>
              <w:t>Sun</w:t>
            </w:r>
          </w:p>
        </w:tc>
        <w:tc>
          <w:tcPr>
            <w:tcW w:w="1080" w:type="dxa"/>
            <w:vAlign w:val="center"/>
          </w:tcPr>
          <w:p w14:paraId="38167862" w14:textId="74749EA8" w:rsidR="00C46D25" w:rsidRDefault="00C46D25" w:rsidP="00C46D25">
            <w:pPr>
              <w:widowControl w:val="0"/>
              <w:autoSpaceDE w:val="0"/>
              <w:autoSpaceDN w:val="0"/>
              <w:adjustRightInd w:val="0"/>
              <w:jc w:val="center"/>
              <w:rPr>
                <w:b/>
              </w:rPr>
            </w:pPr>
            <w:r>
              <w:rPr>
                <w:b/>
              </w:rPr>
              <w:t>Week Average</w:t>
            </w:r>
          </w:p>
        </w:tc>
      </w:tr>
      <w:tr w:rsidR="00C46D25" w14:paraId="54DCC8E7" w14:textId="51150E1C" w:rsidTr="00770169">
        <w:tc>
          <w:tcPr>
            <w:tcW w:w="801" w:type="dxa"/>
            <w:vMerge w:val="restart"/>
            <w:vAlign w:val="center"/>
          </w:tcPr>
          <w:p w14:paraId="39ABFC42" w14:textId="39FDBA8A" w:rsidR="00C46D25" w:rsidRPr="00335424" w:rsidRDefault="00C46D25" w:rsidP="00335424">
            <w:pPr>
              <w:widowControl w:val="0"/>
              <w:autoSpaceDE w:val="0"/>
              <w:autoSpaceDN w:val="0"/>
              <w:adjustRightInd w:val="0"/>
              <w:jc w:val="center"/>
              <w:rPr>
                <w:b/>
              </w:rPr>
            </w:pPr>
            <w:r>
              <w:rPr>
                <w:b/>
              </w:rPr>
              <w:t>Week 1</w:t>
            </w:r>
          </w:p>
        </w:tc>
        <w:tc>
          <w:tcPr>
            <w:tcW w:w="1077" w:type="dxa"/>
            <w:tcBorders>
              <w:bottom w:val="dashed" w:sz="4" w:space="0" w:color="auto"/>
            </w:tcBorders>
            <w:vAlign w:val="center"/>
          </w:tcPr>
          <w:p w14:paraId="3DEA0A9F" w14:textId="61A1483E" w:rsidR="00C46D25" w:rsidRPr="00770169" w:rsidRDefault="00C46D25" w:rsidP="00770169">
            <w:pPr>
              <w:widowControl w:val="0"/>
              <w:autoSpaceDE w:val="0"/>
              <w:autoSpaceDN w:val="0"/>
              <w:adjustRightInd w:val="0"/>
              <w:jc w:val="center"/>
            </w:pPr>
            <w:r w:rsidRPr="00770169">
              <w:t>Systolic</w:t>
            </w:r>
          </w:p>
        </w:tc>
        <w:tc>
          <w:tcPr>
            <w:tcW w:w="833" w:type="dxa"/>
            <w:tcBorders>
              <w:bottom w:val="dashed" w:sz="4" w:space="0" w:color="auto"/>
            </w:tcBorders>
          </w:tcPr>
          <w:p w14:paraId="15F944CC" w14:textId="572191FA" w:rsidR="00C46D25" w:rsidRPr="00335424" w:rsidRDefault="00C46D25" w:rsidP="00335424">
            <w:pPr>
              <w:widowControl w:val="0"/>
              <w:autoSpaceDE w:val="0"/>
              <w:autoSpaceDN w:val="0"/>
              <w:adjustRightInd w:val="0"/>
              <w:rPr>
                <w:b/>
              </w:rPr>
            </w:pPr>
          </w:p>
        </w:tc>
        <w:tc>
          <w:tcPr>
            <w:tcW w:w="832" w:type="dxa"/>
            <w:tcBorders>
              <w:bottom w:val="dashed" w:sz="4" w:space="0" w:color="auto"/>
            </w:tcBorders>
          </w:tcPr>
          <w:p w14:paraId="16D11144" w14:textId="77777777" w:rsidR="00C46D25" w:rsidRPr="00335424" w:rsidRDefault="00C46D25" w:rsidP="00335424">
            <w:pPr>
              <w:widowControl w:val="0"/>
              <w:autoSpaceDE w:val="0"/>
              <w:autoSpaceDN w:val="0"/>
              <w:adjustRightInd w:val="0"/>
              <w:rPr>
                <w:b/>
              </w:rPr>
            </w:pPr>
          </w:p>
        </w:tc>
        <w:tc>
          <w:tcPr>
            <w:tcW w:w="833" w:type="dxa"/>
            <w:tcBorders>
              <w:bottom w:val="dashed" w:sz="4" w:space="0" w:color="auto"/>
            </w:tcBorders>
          </w:tcPr>
          <w:p w14:paraId="6D90184B" w14:textId="77777777" w:rsidR="00C46D25" w:rsidRPr="00335424" w:rsidRDefault="00C46D25" w:rsidP="00335424">
            <w:pPr>
              <w:widowControl w:val="0"/>
              <w:autoSpaceDE w:val="0"/>
              <w:autoSpaceDN w:val="0"/>
              <w:adjustRightInd w:val="0"/>
              <w:rPr>
                <w:b/>
              </w:rPr>
            </w:pPr>
          </w:p>
        </w:tc>
        <w:tc>
          <w:tcPr>
            <w:tcW w:w="861" w:type="dxa"/>
            <w:tcBorders>
              <w:bottom w:val="dashed" w:sz="4" w:space="0" w:color="auto"/>
            </w:tcBorders>
          </w:tcPr>
          <w:p w14:paraId="4C00F719" w14:textId="77777777" w:rsidR="00C46D25" w:rsidRPr="00335424" w:rsidRDefault="00C46D25" w:rsidP="00335424">
            <w:pPr>
              <w:widowControl w:val="0"/>
              <w:autoSpaceDE w:val="0"/>
              <w:autoSpaceDN w:val="0"/>
              <w:adjustRightInd w:val="0"/>
              <w:rPr>
                <w:b/>
              </w:rPr>
            </w:pPr>
          </w:p>
        </w:tc>
        <w:tc>
          <w:tcPr>
            <w:tcW w:w="878" w:type="dxa"/>
            <w:tcBorders>
              <w:bottom w:val="dashed" w:sz="4" w:space="0" w:color="auto"/>
            </w:tcBorders>
          </w:tcPr>
          <w:p w14:paraId="5C144BAD" w14:textId="77777777" w:rsidR="00C46D25" w:rsidRPr="00335424" w:rsidRDefault="00C46D25" w:rsidP="00335424">
            <w:pPr>
              <w:widowControl w:val="0"/>
              <w:autoSpaceDE w:val="0"/>
              <w:autoSpaceDN w:val="0"/>
              <w:adjustRightInd w:val="0"/>
              <w:rPr>
                <w:b/>
              </w:rPr>
            </w:pPr>
          </w:p>
        </w:tc>
        <w:tc>
          <w:tcPr>
            <w:tcW w:w="810" w:type="dxa"/>
            <w:tcBorders>
              <w:bottom w:val="dashed" w:sz="4" w:space="0" w:color="auto"/>
            </w:tcBorders>
          </w:tcPr>
          <w:p w14:paraId="11A824A3" w14:textId="77777777" w:rsidR="00C46D25" w:rsidRPr="00335424" w:rsidRDefault="00C46D25" w:rsidP="00335424">
            <w:pPr>
              <w:widowControl w:val="0"/>
              <w:autoSpaceDE w:val="0"/>
              <w:autoSpaceDN w:val="0"/>
              <w:adjustRightInd w:val="0"/>
              <w:rPr>
                <w:b/>
              </w:rPr>
            </w:pPr>
          </w:p>
        </w:tc>
        <w:tc>
          <w:tcPr>
            <w:tcW w:w="900" w:type="dxa"/>
            <w:tcBorders>
              <w:bottom w:val="dashed" w:sz="4" w:space="0" w:color="auto"/>
            </w:tcBorders>
          </w:tcPr>
          <w:p w14:paraId="7A922D32" w14:textId="77777777" w:rsidR="00C46D25" w:rsidRPr="00335424" w:rsidRDefault="00C46D25" w:rsidP="00335424">
            <w:pPr>
              <w:widowControl w:val="0"/>
              <w:autoSpaceDE w:val="0"/>
              <w:autoSpaceDN w:val="0"/>
              <w:adjustRightInd w:val="0"/>
              <w:rPr>
                <w:b/>
              </w:rPr>
            </w:pPr>
          </w:p>
        </w:tc>
        <w:tc>
          <w:tcPr>
            <w:tcW w:w="1080" w:type="dxa"/>
            <w:tcBorders>
              <w:bottom w:val="dashed" w:sz="4" w:space="0" w:color="auto"/>
            </w:tcBorders>
          </w:tcPr>
          <w:p w14:paraId="2FCB1F17" w14:textId="77777777" w:rsidR="00C46D25" w:rsidRPr="00335424" w:rsidRDefault="00C46D25" w:rsidP="00335424">
            <w:pPr>
              <w:widowControl w:val="0"/>
              <w:autoSpaceDE w:val="0"/>
              <w:autoSpaceDN w:val="0"/>
              <w:adjustRightInd w:val="0"/>
              <w:rPr>
                <w:b/>
              </w:rPr>
            </w:pPr>
          </w:p>
        </w:tc>
      </w:tr>
      <w:tr w:rsidR="00C46D25" w14:paraId="1B64D14A" w14:textId="1E7483CF" w:rsidTr="00770169">
        <w:tc>
          <w:tcPr>
            <w:tcW w:w="801" w:type="dxa"/>
            <w:vMerge/>
            <w:vAlign w:val="center"/>
          </w:tcPr>
          <w:p w14:paraId="35143BEE" w14:textId="77777777" w:rsidR="00C46D25" w:rsidRPr="00335424" w:rsidRDefault="00C46D25" w:rsidP="00335424">
            <w:pPr>
              <w:widowControl w:val="0"/>
              <w:autoSpaceDE w:val="0"/>
              <w:autoSpaceDN w:val="0"/>
              <w:adjustRightInd w:val="0"/>
              <w:jc w:val="center"/>
              <w:rPr>
                <w:b/>
              </w:rPr>
            </w:pPr>
          </w:p>
        </w:tc>
        <w:tc>
          <w:tcPr>
            <w:tcW w:w="1077" w:type="dxa"/>
            <w:tcBorders>
              <w:top w:val="dashed" w:sz="4" w:space="0" w:color="auto"/>
            </w:tcBorders>
            <w:vAlign w:val="center"/>
          </w:tcPr>
          <w:p w14:paraId="467F0AA6" w14:textId="18EE392D" w:rsidR="00C46D25" w:rsidRPr="00770169" w:rsidRDefault="00C46D25" w:rsidP="00770169">
            <w:pPr>
              <w:widowControl w:val="0"/>
              <w:autoSpaceDE w:val="0"/>
              <w:autoSpaceDN w:val="0"/>
              <w:adjustRightInd w:val="0"/>
              <w:jc w:val="center"/>
            </w:pPr>
            <w:r w:rsidRPr="00770169">
              <w:t>Diastolic</w:t>
            </w:r>
          </w:p>
        </w:tc>
        <w:tc>
          <w:tcPr>
            <w:tcW w:w="833" w:type="dxa"/>
            <w:tcBorders>
              <w:top w:val="dashed" w:sz="4" w:space="0" w:color="auto"/>
            </w:tcBorders>
          </w:tcPr>
          <w:p w14:paraId="644BF685" w14:textId="56A657B1" w:rsidR="00C46D25" w:rsidRPr="00335424" w:rsidRDefault="00C46D25" w:rsidP="00335424">
            <w:pPr>
              <w:widowControl w:val="0"/>
              <w:autoSpaceDE w:val="0"/>
              <w:autoSpaceDN w:val="0"/>
              <w:adjustRightInd w:val="0"/>
              <w:rPr>
                <w:b/>
              </w:rPr>
            </w:pPr>
          </w:p>
        </w:tc>
        <w:tc>
          <w:tcPr>
            <w:tcW w:w="832" w:type="dxa"/>
            <w:tcBorders>
              <w:top w:val="dashed" w:sz="4" w:space="0" w:color="auto"/>
            </w:tcBorders>
          </w:tcPr>
          <w:p w14:paraId="513D3D15" w14:textId="77777777" w:rsidR="00C46D25" w:rsidRPr="00335424" w:rsidRDefault="00C46D25" w:rsidP="00335424">
            <w:pPr>
              <w:widowControl w:val="0"/>
              <w:autoSpaceDE w:val="0"/>
              <w:autoSpaceDN w:val="0"/>
              <w:adjustRightInd w:val="0"/>
              <w:rPr>
                <w:b/>
              </w:rPr>
            </w:pPr>
          </w:p>
        </w:tc>
        <w:tc>
          <w:tcPr>
            <w:tcW w:w="833" w:type="dxa"/>
            <w:tcBorders>
              <w:top w:val="dashed" w:sz="4" w:space="0" w:color="auto"/>
            </w:tcBorders>
          </w:tcPr>
          <w:p w14:paraId="355D36A1" w14:textId="77777777" w:rsidR="00C46D25" w:rsidRPr="00335424" w:rsidRDefault="00C46D25" w:rsidP="00335424">
            <w:pPr>
              <w:widowControl w:val="0"/>
              <w:autoSpaceDE w:val="0"/>
              <w:autoSpaceDN w:val="0"/>
              <w:adjustRightInd w:val="0"/>
              <w:rPr>
                <w:b/>
              </w:rPr>
            </w:pPr>
          </w:p>
        </w:tc>
        <w:tc>
          <w:tcPr>
            <w:tcW w:w="861" w:type="dxa"/>
            <w:tcBorders>
              <w:top w:val="dashed" w:sz="4" w:space="0" w:color="auto"/>
            </w:tcBorders>
          </w:tcPr>
          <w:p w14:paraId="54059CD2" w14:textId="77777777" w:rsidR="00C46D25" w:rsidRPr="00335424" w:rsidRDefault="00C46D25" w:rsidP="00335424">
            <w:pPr>
              <w:widowControl w:val="0"/>
              <w:autoSpaceDE w:val="0"/>
              <w:autoSpaceDN w:val="0"/>
              <w:adjustRightInd w:val="0"/>
              <w:rPr>
                <w:b/>
              </w:rPr>
            </w:pPr>
          </w:p>
        </w:tc>
        <w:tc>
          <w:tcPr>
            <w:tcW w:w="878" w:type="dxa"/>
            <w:tcBorders>
              <w:top w:val="dashed" w:sz="4" w:space="0" w:color="auto"/>
            </w:tcBorders>
          </w:tcPr>
          <w:p w14:paraId="765E186D" w14:textId="77777777" w:rsidR="00C46D25" w:rsidRPr="00335424" w:rsidRDefault="00C46D25" w:rsidP="00335424">
            <w:pPr>
              <w:widowControl w:val="0"/>
              <w:autoSpaceDE w:val="0"/>
              <w:autoSpaceDN w:val="0"/>
              <w:adjustRightInd w:val="0"/>
              <w:rPr>
                <w:b/>
              </w:rPr>
            </w:pPr>
          </w:p>
        </w:tc>
        <w:tc>
          <w:tcPr>
            <w:tcW w:w="810" w:type="dxa"/>
            <w:tcBorders>
              <w:top w:val="dashed" w:sz="4" w:space="0" w:color="auto"/>
            </w:tcBorders>
          </w:tcPr>
          <w:p w14:paraId="12DBFC45" w14:textId="77777777" w:rsidR="00C46D25" w:rsidRPr="00335424" w:rsidRDefault="00C46D25" w:rsidP="00335424">
            <w:pPr>
              <w:widowControl w:val="0"/>
              <w:autoSpaceDE w:val="0"/>
              <w:autoSpaceDN w:val="0"/>
              <w:adjustRightInd w:val="0"/>
              <w:rPr>
                <w:b/>
              </w:rPr>
            </w:pPr>
          </w:p>
        </w:tc>
        <w:tc>
          <w:tcPr>
            <w:tcW w:w="900" w:type="dxa"/>
            <w:tcBorders>
              <w:top w:val="dashed" w:sz="4" w:space="0" w:color="auto"/>
            </w:tcBorders>
          </w:tcPr>
          <w:p w14:paraId="1C69A17C" w14:textId="77777777" w:rsidR="00C46D25" w:rsidRPr="00335424" w:rsidRDefault="00C46D25" w:rsidP="00335424">
            <w:pPr>
              <w:widowControl w:val="0"/>
              <w:autoSpaceDE w:val="0"/>
              <w:autoSpaceDN w:val="0"/>
              <w:adjustRightInd w:val="0"/>
              <w:rPr>
                <w:b/>
              </w:rPr>
            </w:pPr>
          </w:p>
        </w:tc>
        <w:tc>
          <w:tcPr>
            <w:tcW w:w="1080" w:type="dxa"/>
            <w:tcBorders>
              <w:top w:val="dashed" w:sz="4" w:space="0" w:color="auto"/>
            </w:tcBorders>
          </w:tcPr>
          <w:p w14:paraId="76F1567E" w14:textId="77777777" w:rsidR="00C46D25" w:rsidRPr="00335424" w:rsidRDefault="00C46D25" w:rsidP="00335424">
            <w:pPr>
              <w:widowControl w:val="0"/>
              <w:autoSpaceDE w:val="0"/>
              <w:autoSpaceDN w:val="0"/>
              <w:adjustRightInd w:val="0"/>
              <w:rPr>
                <w:b/>
              </w:rPr>
            </w:pPr>
          </w:p>
        </w:tc>
      </w:tr>
      <w:tr w:rsidR="00C46D25" w14:paraId="7A236490" w14:textId="77777777" w:rsidTr="00770169">
        <w:tc>
          <w:tcPr>
            <w:tcW w:w="801" w:type="dxa"/>
            <w:vMerge/>
            <w:vAlign w:val="center"/>
          </w:tcPr>
          <w:p w14:paraId="4DD35A49" w14:textId="77777777" w:rsidR="00C46D25" w:rsidRPr="00335424" w:rsidRDefault="00C46D25" w:rsidP="00335424">
            <w:pPr>
              <w:widowControl w:val="0"/>
              <w:autoSpaceDE w:val="0"/>
              <w:autoSpaceDN w:val="0"/>
              <w:adjustRightInd w:val="0"/>
              <w:jc w:val="center"/>
              <w:rPr>
                <w:b/>
              </w:rPr>
            </w:pPr>
          </w:p>
        </w:tc>
        <w:tc>
          <w:tcPr>
            <w:tcW w:w="1077" w:type="dxa"/>
            <w:tcBorders>
              <w:top w:val="dashed" w:sz="4" w:space="0" w:color="auto"/>
            </w:tcBorders>
            <w:vAlign w:val="center"/>
          </w:tcPr>
          <w:p w14:paraId="1E14AF07" w14:textId="77777777" w:rsidR="00C46D25" w:rsidRPr="00770169" w:rsidRDefault="00C46D25" w:rsidP="00770169">
            <w:pPr>
              <w:widowControl w:val="0"/>
              <w:autoSpaceDE w:val="0"/>
              <w:autoSpaceDN w:val="0"/>
              <w:adjustRightInd w:val="0"/>
              <w:jc w:val="center"/>
            </w:pPr>
            <w:r w:rsidRPr="00770169">
              <w:t>Activity</w:t>
            </w:r>
          </w:p>
          <w:p w14:paraId="403B8D38" w14:textId="6D84E366" w:rsidR="00C46D25" w:rsidRPr="00770169" w:rsidRDefault="00C46D25" w:rsidP="00770169">
            <w:pPr>
              <w:widowControl w:val="0"/>
              <w:autoSpaceDE w:val="0"/>
              <w:autoSpaceDN w:val="0"/>
              <w:adjustRightInd w:val="0"/>
              <w:jc w:val="center"/>
            </w:pPr>
          </w:p>
        </w:tc>
        <w:tc>
          <w:tcPr>
            <w:tcW w:w="833" w:type="dxa"/>
            <w:tcBorders>
              <w:top w:val="dashed" w:sz="4" w:space="0" w:color="auto"/>
            </w:tcBorders>
          </w:tcPr>
          <w:p w14:paraId="47A569FF" w14:textId="77777777" w:rsidR="00C46D25" w:rsidRPr="00335424" w:rsidRDefault="00C46D25" w:rsidP="00335424">
            <w:pPr>
              <w:widowControl w:val="0"/>
              <w:autoSpaceDE w:val="0"/>
              <w:autoSpaceDN w:val="0"/>
              <w:adjustRightInd w:val="0"/>
              <w:rPr>
                <w:b/>
              </w:rPr>
            </w:pPr>
          </w:p>
        </w:tc>
        <w:tc>
          <w:tcPr>
            <w:tcW w:w="832" w:type="dxa"/>
            <w:tcBorders>
              <w:top w:val="dashed" w:sz="4" w:space="0" w:color="auto"/>
            </w:tcBorders>
          </w:tcPr>
          <w:p w14:paraId="2FE02E82" w14:textId="77777777" w:rsidR="00C46D25" w:rsidRPr="00335424" w:rsidRDefault="00C46D25" w:rsidP="00335424">
            <w:pPr>
              <w:widowControl w:val="0"/>
              <w:autoSpaceDE w:val="0"/>
              <w:autoSpaceDN w:val="0"/>
              <w:adjustRightInd w:val="0"/>
              <w:rPr>
                <w:b/>
              </w:rPr>
            </w:pPr>
          </w:p>
        </w:tc>
        <w:tc>
          <w:tcPr>
            <w:tcW w:w="833" w:type="dxa"/>
            <w:tcBorders>
              <w:top w:val="dashed" w:sz="4" w:space="0" w:color="auto"/>
            </w:tcBorders>
          </w:tcPr>
          <w:p w14:paraId="46650705" w14:textId="77777777" w:rsidR="00C46D25" w:rsidRPr="00335424" w:rsidRDefault="00C46D25" w:rsidP="00335424">
            <w:pPr>
              <w:widowControl w:val="0"/>
              <w:autoSpaceDE w:val="0"/>
              <w:autoSpaceDN w:val="0"/>
              <w:adjustRightInd w:val="0"/>
              <w:rPr>
                <w:b/>
              </w:rPr>
            </w:pPr>
          </w:p>
        </w:tc>
        <w:tc>
          <w:tcPr>
            <w:tcW w:w="861" w:type="dxa"/>
            <w:tcBorders>
              <w:top w:val="dashed" w:sz="4" w:space="0" w:color="auto"/>
            </w:tcBorders>
          </w:tcPr>
          <w:p w14:paraId="2CCB23D5" w14:textId="77777777" w:rsidR="00C46D25" w:rsidRPr="00335424" w:rsidRDefault="00C46D25" w:rsidP="00335424">
            <w:pPr>
              <w:widowControl w:val="0"/>
              <w:autoSpaceDE w:val="0"/>
              <w:autoSpaceDN w:val="0"/>
              <w:adjustRightInd w:val="0"/>
              <w:rPr>
                <w:b/>
              </w:rPr>
            </w:pPr>
          </w:p>
        </w:tc>
        <w:tc>
          <w:tcPr>
            <w:tcW w:w="878" w:type="dxa"/>
            <w:tcBorders>
              <w:top w:val="dashed" w:sz="4" w:space="0" w:color="auto"/>
            </w:tcBorders>
          </w:tcPr>
          <w:p w14:paraId="082A7421" w14:textId="77777777" w:rsidR="00C46D25" w:rsidRPr="00335424" w:rsidRDefault="00C46D25" w:rsidP="00335424">
            <w:pPr>
              <w:widowControl w:val="0"/>
              <w:autoSpaceDE w:val="0"/>
              <w:autoSpaceDN w:val="0"/>
              <w:adjustRightInd w:val="0"/>
              <w:rPr>
                <w:b/>
              </w:rPr>
            </w:pPr>
          </w:p>
        </w:tc>
        <w:tc>
          <w:tcPr>
            <w:tcW w:w="810" w:type="dxa"/>
            <w:tcBorders>
              <w:top w:val="dashed" w:sz="4" w:space="0" w:color="auto"/>
            </w:tcBorders>
          </w:tcPr>
          <w:p w14:paraId="5FB5CFFB" w14:textId="77777777" w:rsidR="00C46D25" w:rsidRPr="00335424" w:rsidRDefault="00C46D25" w:rsidP="00335424">
            <w:pPr>
              <w:widowControl w:val="0"/>
              <w:autoSpaceDE w:val="0"/>
              <w:autoSpaceDN w:val="0"/>
              <w:adjustRightInd w:val="0"/>
              <w:rPr>
                <w:b/>
              </w:rPr>
            </w:pPr>
          </w:p>
        </w:tc>
        <w:tc>
          <w:tcPr>
            <w:tcW w:w="900" w:type="dxa"/>
            <w:tcBorders>
              <w:top w:val="dashed" w:sz="4" w:space="0" w:color="auto"/>
            </w:tcBorders>
          </w:tcPr>
          <w:p w14:paraId="5CF8C0A6" w14:textId="77777777" w:rsidR="00C46D25" w:rsidRPr="00335424" w:rsidRDefault="00C46D25" w:rsidP="00335424">
            <w:pPr>
              <w:widowControl w:val="0"/>
              <w:autoSpaceDE w:val="0"/>
              <w:autoSpaceDN w:val="0"/>
              <w:adjustRightInd w:val="0"/>
              <w:rPr>
                <w:b/>
              </w:rPr>
            </w:pPr>
          </w:p>
        </w:tc>
        <w:tc>
          <w:tcPr>
            <w:tcW w:w="1080" w:type="dxa"/>
            <w:tcBorders>
              <w:top w:val="dashed" w:sz="4" w:space="0" w:color="auto"/>
            </w:tcBorders>
          </w:tcPr>
          <w:p w14:paraId="4E0392CB" w14:textId="77777777" w:rsidR="00C46D25" w:rsidRPr="00335424" w:rsidRDefault="00C46D25" w:rsidP="00335424">
            <w:pPr>
              <w:widowControl w:val="0"/>
              <w:autoSpaceDE w:val="0"/>
              <w:autoSpaceDN w:val="0"/>
              <w:adjustRightInd w:val="0"/>
              <w:rPr>
                <w:b/>
              </w:rPr>
            </w:pPr>
          </w:p>
        </w:tc>
      </w:tr>
      <w:tr w:rsidR="00C46D25" w14:paraId="58A8BDBE" w14:textId="239005C1" w:rsidTr="00770169">
        <w:tc>
          <w:tcPr>
            <w:tcW w:w="801" w:type="dxa"/>
            <w:vMerge w:val="restart"/>
            <w:vAlign w:val="center"/>
          </w:tcPr>
          <w:p w14:paraId="05BDC30D" w14:textId="3B70F71D" w:rsidR="00C46D25" w:rsidRPr="00335424" w:rsidRDefault="00C46D25" w:rsidP="00335424">
            <w:pPr>
              <w:widowControl w:val="0"/>
              <w:autoSpaceDE w:val="0"/>
              <w:autoSpaceDN w:val="0"/>
              <w:adjustRightInd w:val="0"/>
              <w:jc w:val="center"/>
              <w:rPr>
                <w:b/>
              </w:rPr>
            </w:pPr>
            <w:r>
              <w:rPr>
                <w:b/>
              </w:rPr>
              <w:t>Week 2</w:t>
            </w:r>
          </w:p>
        </w:tc>
        <w:tc>
          <w:tcPr>
            <w:tcW w:w="1077" w:type="dxa"/>
            <w:tcBorders>
              <w:bottom w:val="dashed" w:sz="4" w:space="0" w:color="auto"/>
            </w:tcBorders>
            <w:vAlign w:val="center"/>
          </w:tcPr>
          <w:p w14:paraId="2DBCEF82" w14:textId="3450683E" w:rsidR="00C46D25" w:rsidRPr="00770169" w:rsidRDefault="00C46D25" w:rsidP="00770169">
            <w:pPr>
              <w:widowControl w:val="0"/>
              <w:autoSpaceDE w:val="0"/>
              <w:autoSpaceDN w:val="0"/>
              <w:adjustRightInd w:val="0"/>
              <w:jc w:val="center"/>
            </w:pPr>
            <w:r w:rsidRPr="00770169">
              <w:t>Systolic</w:t>
            </w:r>
          </w:p>
        </w:tc>
        <w:tc>
          <w:tcPr>
            <w:tcW w:w="833" w:type="dxa"/>
            <w:tcBorders>
              <w:bottom w:val="dashed" w:sz="4" w:space="0" w:color="auto"/>
            </w:tcBorders>
          </w:tcPr>
          <w:p w14:paraId="5BF081EB" w14:textId="12C86AFC" w:rsidR="00C46D25" w:rsidRPr="00335424" w:rsidRDefault="00C46D25" w:rsidP="00335424">
            <w:pPr>
              <w:widowControl w:val="0"/>
              <w:autoSpaceDE w:val="0"/>
              <w:autoSpaceDN w:val="0"/>
              <w:adjustRightInd w:val="0"/>
              <w:rPr>
                <w:b/>
              </w:rPr>
            </w:pPr>
          </w:p>
        </w:tc>
        <w:tc>
          <w:tcPr>
            <w:tcW w:w="832" w:type="dxa"/>
            <w:tcBorders>
              <w:bottom w:val="dashed" w:sz="4" w:space="0" w:color="auto"/>
            </w:tcBorders>
          </w:tcPr>
          <w:p w14:paraId="34B4F70D" w14:textId="77777777" w:rsidR="00C46D25" w:rsidRPr="00335424" w:rsidRDefault="00C46D25" w:rsidP="00335424">
            <w:pPr>
              <w:widowControl w:val="0"/>
              <w:autoSpaceDE w:val="0"/>
              <w:autoSpaceDN w:val="0"/>
              <w:adjustRightInd w:val="0"/>
              <w:rPr>
                <w:b/>
              </w:rPr>
            </w:pPr>
          </w:p>
        </w:tc>
        <w:tc>
          <w:tcPr>
            <w:tcW w:w="833" w:type="dxa"/>
            <w:tcBorders>
              <w:bottom w:val="dashed" w:sz="4" w:space="0" w:color="auto"/>
            </w:tcBorders>
          </w:tcPr>
          <w:p w14:paraId="1D769008" w14:textId="77777777" w:rsidR="00C46D25" w:rsidRPr="00335424" w:rsidRDefault="00C46D25" w:rsidP="00335424">
            <w:pPr>
              <w:widowControl w:val="0"/>
              <w:autoSpaceDE w:val="0"/>
              <w:autoSpaceDN w:val="0"/>
              <w:adjustRightInd w:val="0"/>
              <w:rPr>
                <w:b/>
              </w:rPr>
            </w:pPr>
          </w:p>
        </w:tc>
        <w:tc>
          <w:tcPr>
            <w:tcW w:w="861" w:type="dxa"/>
            <w:tcBorders>
              <w:bottom w:val="dashed" w:sz="4" w:space="0" w:color="auto"/>
            </w:tcBorders>
          </w:tcPr>
          <w:p w14:paraId="6880425E" w14:textId="77777777" w:rsidR="00C46D25" w:rsidRPr="00335424" w:rsidRDefault="00C46D25" w:rsidP="00335424">
            <w:pPr>
              <w:widowControl w:val="0"/>
              <w:autoSpaceDE w:val="0"/>
              <w:autoSpaceDN w:val="0"/>
              <w:adjustRightInd w:val="0"/>
              <w:rPr>
                <w:b/>
              </w:rPr>
            </w:pPr>
          </w:p>
        </w:tc>
        <w:tc>
          <w:tcPr>
            <w:tcW w:w="878" w:type="dxa"/>
            <w:tcBorders>
              <w:bottom w:val="dashed" w:sz="4" w:space="0" w:color="auto"/>
            </w:tcBorders>
          </w:tcPr>
          <w:p w14:paraId="1B7F0A95" w14:textId="77777777" w:rsidR="00C46D25" w:rsidRPr="00335424" w:rsidRDefault="00C46D25" w:rsidP="00335424">
            <w:pPr>
              <w:widowControl w:val="0"/>
              <w:autoSpaceDE w:val="0"/>
              <w:autoSpaceDN w:val="0"/>
              <w:adjustRightInd w:val="0"/>
              <w:rPr>
                <w:b/>
              </w:rPr>
            </w:pPr>
          </w:p>
        </w:tc>
        <w:tc>
          <w:tcPr>
            <w:tcW w:w="810" w:type="dxa"/>
            <w:tcBorders>
              <w:bottom w:val="dashed" w:sz="4" w:space="0" w:color="auto"/>
            </w:tcBorders>
          </w:tcPr>
          <w:p w14:paraId="73C5C853" w14:textId="77777777" w:rsidR="00C46D25" w:rsidRPr="00335424" w:rsidRDefault="00C46D25" w:rsidP="00335424">
            <w:pPr>
              <w:widowControl w:val="0"/>
              <w:autoSpaceDE w:val="0"/>
              <w:autoSpaceDN w:val="0"/>
              <w:adjustRightInd w:val="0"/>
              <w:rPr>
                <w:b/>
              </w:rPr>
            </w:pPr>
          </w:p>
        </w:tc>
        <w:tc>
          <w:tcPr>
            <w:tcW w:w="900" w:type="dxa"/>
            <w:tcBorders>
              <w:bottom w:val="dashed" w:sz="4" w:space="0" w:color="auto"/>
            </w:tcBorders>
          </w:tcPr>
          <w:p w14:paraId="05A2FBF6" w14:textId="77777777" w:rsidR="00C46D25" w:rsidRPr="00335424" w:rsidRDefault="00C46D25" w:rsidP="00335424">
            <w:pPr>
              <w:widowControl w:val="0"/>
              <w:autoSpaceDE w:val="0"/>
              <w:autoSpaceDN w:val="0"/>
              <w:adjustRightInd w:val="0"/>
              <w:rPr>
                <w:b/>
              </w:rPr>
            </w:pPr>
          </w:p>
        </w:tc>
        <w:tc>
          <w:tcPr>
            <w:tcW w:w="1080" w:type="dxa"/>
            <w:tcBorders>
              <w:bottom w:val="dashed" w:sz="4" w:space="0" w:color="auto"/>
            </w:tcBorders>
          </w:tcPr>
          <w:p w14:paraId="673978D4" w14:textId="77777777" w:rsidR="00C46D25" w:rsidRPr="00335424" w:rsidRDefault="00C46D25" w:rsidP="00335424">
            <w:pPr>
              <w:widowControl w:val="0"/>
              <w:autoSpaceDE w:val="0"/>
              <w:autoSpaceDN w:val="0"/>
              <w:adjustRightInd w:val="0"/>
              <w:rPr>
                <w:b/>
              </w:rPr>
            </w:pPr>
          </w:p>
        </w:tc>
      </w:tr>
      <w:tr w:rsidR="00C46D25" w14:paraId="6065E0DF" w14:textId="22DD544E" w:rsidTr="00770169">
        <w:tc>
          <w:tcPr>
            <w:tcW w:w="801" w:type="dxa"/>
            <w:vMerge/>
            <w:vAlign w:val="center"/>
          </w:tcPr>
          <w:p w14:paraId="6B7D6034" w14:textId="77777777" w:rsidR="00C46D25" w:rsidRDefault="00C46D25" w:rsidP="00335424">
            <w:pPr>
              <w:widowControl w:val="0"/>
              <w:autoSpaceDE w:val="0"/>
              <w:autoSpaceDN w:val="0"/>
              <w:adjustRightInd w:val="0"/>
              <w:jc w:val="center"/>
              <w:rPr>
                <w:b/>
              </w:rPr>
            </w:pPr>
          </w:p>
        </w:tc>
        <w:tc>
          <w:tcPr>
            <w:tcW w:w="1077" w:type="dxa"/>
            <w:tcBorders>
              <w:top w:val="dashed" w:sz="4" w:space="0" w:color="auto"/>
            </w:tcBorders>
            <w:vAlign w:val="center"/>
          </w:tcPr>
          <w:p w14:paraId="43E09DAE" w14:textId="3F70BDE1" w:rsidR="00C46D25" w:rsidRPr="00770169" w:rsidRDefault="00C46D25" w:rsidP="00770169">
            <w:pPr>
              <w:widowControl w:val="0"/>
              <w:autoSpaceDE w:val="0"/>
              <w:autoSpaceDN w:val="0"/>
              <w:adjustRightInd w:val="0"/>
              <w:jc w:val="center"/>
            </w:pPr>
            <w:r w:rsidRPr="00770169">
              <w:t>Diastolic</w:t>
            </w:r>
          </w:p>
        </w:tc>
        <w:tc>
          <w:tcPr>
            <w:tcW w:w="833" w:type="dxa"/>
            <w:tcBorders>
              <w:top w:val="dashed" w:sz="4" w:space="0" w:color="auto"/>
            </w:tcBorders>
          </w:tcPr>
          <w:p w14:paraId="1B0E008B" w14:textId="77777777" w:rsidR="00C46D25" w:rsidRPr="00335424" w:rsidRDefault="00C46D25" w:rsidP="00335424">
            <w:pPr>
              <w:widowControl w:val="0"/>
              <w:autoSpaceDE w:val="0"/>
              <w:autoSpaceDN w:val="0"/>
              <w:adjustRightInd w:val="0"/>
              <w:rPr>
                <w:b/>
              </w:rPr>
            </w:pPr>
          </w:p>
        </w:tc>
        <w:tc>
          <w:tcPr>
            <w:tcW w:w="832" w:type="dxa"/>
            <w:tcBorders>
              <w:top w:val="dashed" w:sz="4" w:space="0" w:color="auto"/>
            </w:tcBorders>
          </w:tcPr>
          <w:p w14:paraId="0337904B" w14:textId="77777777" w:rsidR="00C46D25" w:rsidRPr="00335424" w:rsidRDefault="00C46D25" w:rsidP="00335424">
            <w:pPr>
              <w:widowControl w:val="0"/>
              <w:autoSpaceDE w:val="0"/>
              <w:autoSpaceDN w:val="0"/>
              <w:adjustRightInd w:val="0"/>
              <w:rPr>
                <w:b/>
              </w:rPr>
            </w:pPr>
          </w:p>
        </w:tc>
        <w:tc>
          <w:tcPr>
            <w:tcW w:w="833" w:type="dxa"/>
            <w:tcBorders>
              <w:top w:val="dashed" w:sz="4" w:space="0" w:color="auto"/>
            </w:tcBorders>
          </w:tcPr>
          <w:p w14:paraId="05A73EC7" w14:textId="77777777" w:rsidR="00C46D25" w:rsidRPr="00335424" w:rsidRDefault="00C46D25" w:rsidP="00335424">
            <w:pPr>
              <w:widowControl w:val="0"/>
              <w:autoSpaceDE w:val="0"/>
              <w:autoSpaceDN w:val="0"/>
              <w:adjustRightInd w:val="0"/>
              <w:rPr>
                <w:b/>
              </w:rPr>
            </w:pPr>
          </w:p>
        </w:tc>
        <w:tc>
          <w:tcPr>
            <w:tcW w:w="861" w:type="dxa"/>
            <w:tcBorders>
              <w:top w:val="dashed" w:sz="4" w:space="0" w:color="auto"/>
            </w:tcBorders>
          </w:tcPr>
          <w:p w14:paraId="7C200E3E" w14:textId="77777777" w:rsidR="00C46D25" w:rsidRPr="00335424" w:rsidRDefault="00C46D25" w:rsidP="00335424">
            <w:pPr>
              <w:widowControl w:val="0"/>
              <w:autoSpaceDE w:val="0"/>
              <w:autoSpaceDN w:val="0"/>
              <w:adjustRightInd w:val="0"/>
              <w:rPr>
                <w:b/>
              </w:rPr>
            </w:pPr>
          </w:p>
        </w:tc>
        <w:tc>
          <w:tcPr>
            <w:tcW w:w="878" w:type="dxa"/>
            <w:tcBorders>
              <w:top w:val="dashed" w:sz="4" w:space="0" w:color="auto"/>
            </w:tcBorders>
          </w:tcPr>
          <w:p w14:paraId="74CF48F6" w14:textId="77777777" w:rsidR="00C46D25" w:rsidRPr="00335424" w:rsidRDefault="00C46D25" w:rsidP="00335424">
            <w:pPr>
              <w:widowControl w:val="0"/>
              <w:autoSpaceDE w:val="0"/>
              <w:autoSpaceDN w:val="0"/>
              <w:adjustRightInd w:val="0"/>
              <w:rPr>
                <w:b/>
              </w:rPr>
            </w:pPr>
          </w:p>
        </w:tc>
        <w:tc>
          <w:tcPr>
            <w:tcW w:w="810" w:type="dxa"/>
            <w:tcBorders>
              <w:top w:val="dashed" w:sz="4" w:space="0" w:color="auto"/>
            </w:tcBorders>
          </w:tcPr>
          <w:p w14:paraId="4F2EFE60" w14:textId="77777777" w:rsidR="00C46D25" w:rsidRPr="00335424" w:rsidRDefault="00C46D25" w:rsidP="00335424">
            <w:pPr>
              <w:widowControl w:val="0"/>
              <w:autoSpaceDE w:val="0"/>
              <w:autoSpaceDN w:val="0"/>
              <w:adjustRightInd w:val="0"/>
              <w:rPr>
                <w:b/>
              </w:rPr>
            </w:pPr>
          </w:p>
        </w:tc>
        <w:tc>
          <w:tcPr>
            <w:tcW w:w="900" w:type="dxa"/>
            <w:tcBorders>
              <w:top w:val="dashed" w:sz="4" w:space="0" w:color="auto"/>
            </w:tcBorders>
          </w:tcPr>
          <w:p w14:paraId="58E19033" w14:textId="77777777" w:rsidR="00C46D25" w:rsidRPr="00335424" w:rsidRDefault="00C46D25" w:rsidP="00335424">
            <w:pPr>
              <w:widowControl w:val="0"/>
              <w:autoSpaceDE w:val="0"/>
              <w:autoSpaceDN w:val="0"/>
              <w:adjustRightInd w:val="0"/>
              <w:rPr>
                <w:b/>
              </w:rPr>
            </w:pPr>
          </w:p>
        </w:tc>
        <w:tc>
          <w:tcPr>
            <w:tcW w:w="1080" w:type="dxa"/>
            <w:tcBorders>
              <w:top w:val="dashed" w:sz="4" w:space="0" w:color="auto"/>
            </w:tcBorders>
          </w:tcPr>
          <w:p w14:paraId="1FF7EE68" w14:textId="77777777" w:rsidR="00C46D25" w:rsidRPr="00335424" w:rsidRDefault="00C46D25" w:rsidP="00335424">
            <w:pPr>
              <w:widowControl w:val="0"/>
              <w:autoSpaceDE w:val="0"/>
              <w:autoSpaceDN w:val="0"/>
              <w:adjustRightInd w:val="0"/>
              <w:rPr>
                <w:b/>
              </w:rPr>
            </w:pPr>
          </w:p>
        </w:tc>
      </w:tr>
      <w:tr w:rsidR="00C46D25" w14:paraId="39D03D20" w14:textId="77777777" w:rsidTr="00770169">
        <w:tc>
          <w:tcPr>
            <w:tcW w:w="801" w:type="dxa"/>
            <w:vMerge/>
            <w:vAlign w:val="center"/>
          </w:tcPr>
          <w:p w14:paraId="12E7A96D" w14:textId="77777777" w:rsidR="00C46D25" w:rsidRDefault="00C46D25" w:rsidP="00335424">
            <w:pPr>
              <w:widowControl w:val="0"/>
              <w:autoSpaceDE w:val="0"/>
              <w:autoSpaceDN w:val="0"/>
              <w:adjustRightInd w:val="0"/>
              <w:jc w:val="center"/>
              <w:rPr>
                <w:b/>
              </w:rPr>
            </w:pPr>
          </w:p>
        </w:tc>
        <w:tc>
          <w:tcPr>
            <w:tcW w:w="1077" w:type="dxa"/>
            <w:tcBorders>
              <w:top w:val="dashed" w:sz="4" w:space="0" w:color="auto"/>
            </w:tcBorders>
            <w:vAlign w:val="center"/>
          </w:tcPr>
          <w:p w14:paraId="2C8C743E" w14:textId="77777777" w:rsidR="00C46D25" w:rsidRPr="00770169" w:rsidRDefault="00C46D25" w:rsidP="00770169">
            <w:pPr>
              <w:widowControl w:val="0"/>
              <w:autoSpaceDE w:val="0"/>
              <w:autoSpaceDN w:val="0"/>
              <w:adjustRightInd w:val="0"/>
              <w:jc w:val="center"/>
            </w:pPr>
            <w:r w:rsidRPr="00770169">
              <w:t>Activity</w:t>
            </w:r>
          </w:p>
          <w:p w14:paraId="5C5B6A2D" w14:textId="77777777" w:rsidR="00C46D25" w:rsidRPr="00770169" w:rsidRDefault="00C46D25" w:rsidP="00770169">
            <w:pPr>
              <w:widowControl w:val="0"/>
              <w:autoSpaceDE w:val="0"/>
              <w:autoSpaceDN w:val="0"/>
              <w:adjustRightInd w:val="0"/>
              <w:jc w:val="center"/>
            </w:pPr>
          </w:p>
        </w:tc>
        <w:tc>
          <w:tcPr>
            <w:tcW w:w="833" w:type="dxa"/>
            <w:tcBorders>
              <w:top w:val="dashed" w:sz="4" w:space="0" w:color="auto"/>
            </w:tcBorders>
          </w:tcPr>
          <w:p w14:paraId="3A05274D" w14:textId="77777777" w:rsidR="00C46D25" w:rsidRPr="00335424" w:rsidRDefault="00C46D25" w:rsidP="00335424">
            <w:pPr>
              <w:widowControl w:val="0"/>
              <w:autoSpaceDE w:val="0"/>
              <w:autoSpaceDN w:val="0"/>
              <w:adjustRightInd w:val="0"/>
              <w:rPr>
                <w:b/>
              </w:rPr>
            </w:pPr>
          </w:p>
        </w:tc>
        <w:tc>
          <w:tcPr>
            <w:tcW w:w="832" w:type="dxa"/>
            <w:tcBorders>
              <w:top w:val="dashed" w:sz="4" w:space="0" w:color="auto"/>
            </w:tcBorders>
          </w:tcPr>
          <w:p w14:paraId="72C17E79" w14:textId="77777777" w:rsidR="00C46D25" w:rsidRPr="00335424" w:rsidRDefault="00C46D25" w:rsidP="00335424">
            <w:pPr>
              <w:widowControl w:val="0"/>
              <w:autoSpaceDE w:val="0"/>
              <w:autoSpaceDN w:val="0"/>
              <w:adjustRightInd w:val="0"/>
              <w:rPr>
                <w:b/>
              </w:rPr>
            </w:pPr>
          </w:p>
        </w:tc>
        <w:tc>
          <w:tcPr>
            <w:tcW w:w="833" w:type="dxa"/>
            <w:tcBorders>
              <w:top w:val="dashed" w:sz="4" w:space="0" w:color="auto"/>
            </w:tcBorders>
          </w:tcPr>
          <w:p w14:paraId="041DEF6E" w14:textId="77777777" w:rsidR="00C46D25" w:rsidRPr="00335424" w:rsidRDefault="00C46D25" w:rsidP="00335424">
            <w:pPr>
              <w:widowControl w:val="0"/>
              <w:autoSpaceDE w:val="0"/>
              <w:autoSpaceDN w:val="0"/>
              <w:adjustRightInd w:val="0"/>
              <w:rPr>
                <w:b/>
              </w:rPr>
            </w:pPr>
          </w:p>
        </w:tc>
        <w:tc>
          <w:tcPr>
            <w:tcW w:w="861" w:type="dxa"/>
            <w:tcBorders>
              <w:top w:val="dashed" w:sz="4" w:space="0" w:color="auto"/>
            </w:tcBorders>
          </w:tcPr>
          <w:p w14:paraId="0B771206" w14:textId="77777777" w:rsidR="00C46D25" w:rsidRPr="00335424" w:rsidRDefault="00C46D25" w:rsidP="00335424">
            <w:pPr>
              <w:widowControl w:val="0"/>
              <w:autoSpaceDE w:val="0"/>
              <w:autoSpaceDN w:val="0"/>
              <w:adjustRightInd w:val="0"/>
              <w:rPr>
                <w:b/>
              </w:rPr>
            </w:pPr>
          </w:p>
        </w:tc>
        <w:tc>
          <w:tcPr>
            <w:tcW w:w="878" w:type="dxa"/>
            <w:tcBorders>
              <w:top w:val="dashed" w:sz="4" w:space="0" w:color="auto"/>
            </w:tcBorders>
          </w:tcPr>
          <w:p w14:paraId="71FB3975" w14:textId="77777777" w:rsidR="00C46D25" w:rsidRPr="00335424" w:rsidRDefault="00C46D25" w:rsidP="00335424">
            <w:pPr>
              <w:widowControl w:val="0"/>
              <w:autoSpaceDE w:val="0"/>
              <w:autoSpaceDN w:val="0"/>
              <w:adjustRightInd w:val="0"/>
              <w:rPr>
                <w:b/>
              </w:rPr>
            </w:pPr>
          </w:p>
        </w:tc>
        <w:tc>
          <w:tcPr>
            <w:tcW w:w="810" w:type="dxa"/>
            <w:tcBorders>
              <w:top w:val="dashed" w:sz="4" w:space="0" w:color="auto"/>
            </w:tcBorders>
          </w:tcPr>
          <w:p w14:paraId="4DD83012" w14:textId="77777777" w:rsidR="00C46D25" w:rsidRPr="00335424" w:rsidRDefault="00C46D25" w:rsidP="00335424">
            <w:pPr>
              <w:widowControl w:val="0"/>
              <w:autoSpaceDE w:val="0"/>
              <w:autoSpaceDN w:val="0"/>
              <w:adjustRightInd w:val="0"/>
              <w:rPr>
                <w:b/>
              </w:rPr>
            </w:pPr>
          </w:p>
        </w:tc>
        <w:tc>
          <w:tcPr>
            <w:tcW w:w="900" w:type="dxa"/>
            <w:tcBorders>
              <w:top w:val="dashed" w:sz="4" w:space="0" w:color="auto"/>
            </w:tcBorders>
          </w:tcPr>
          <w:p w14:paraId="79B8F209" w14:textId="77777777" w:rsidR="00C46D25" w:rsidRPr="00335424" w:rsidRDefault="00C46D25" w:rsidP="00335424">
            <w:pPr>
              <w:widowControl w:val="0"/>
              <w:autoSpaceDE w:val="0"/>
              <w:autoSpaceDN w:val="0"/>
              <w:adjustRightInd w:val="0"/>
              <w:rPr>
                <w:b/>
              </w:rPr>
            </w:pPr>
          </w:p>
        </w:tc>
        <w:tc>
          <w:tcPr>
            <w:tcW w:w="1080" w:type="dxa"/>
            <w:tcBorders>
              <w:top w:val="dashed" w:sz="4" w:space="0" w:color="auto"/>
            </w:tcBorders>
          </w:tcPr>
          <w:p w14:paraId="472A38C2" w14:textId="77777777" w:rsidR="00C46D25" w:rsidRPr="00335424" w:rsidRDefault="00C46D25" w:rsidP="00335424">
            <w:pPr>
              <w:widowControl w:val="0"/>
              <w:autoSpaceDE w:val="0"/>
              <w:autoSpaceDN w:val="0"/>
              <w:adjustRightInd w:val="0"/>
              <w:rPr>
                <w:b/>
              </w:rPr>
            </w:pPr>
          </w:p>
        </w:tc>
      </w:tr>
      <w:tr w:rsidR="00C46D25" w14:paraId="4CB574FE" w14:textId="0581DCDC" w:rsidTr="00770169">
        <w:tc>
          <w:tcPr>
            <w:tcW w:w="801" w:type="dxa"/>
            <w:vMerge w:val="restart"/>
            <w:vAlign w:val="center"/>
          </w:tcPr>
          <w:p w14:paraId="30B19E3E" w14:textId="5A125F31" w:rsidR="00C46D25" w:rsidRDefault="00C46D25" w:rsidP="00335424">
            <w:pPr>
              <w:widowControl w:val="0"/>
              <w:autoSpaceDE w:val="0"/>
              <w:autoSpaceDN w:val="0"/>
              <w:adjustRightInd w:val="0"/>
              <w:jc w:val="center"/>
              <w:rPr>
                <w:b/>
              </w:rPr>
            </w:pPr>
            <w:r>
              <w:rPr>
                <w:b/>
              </w:rPr>
              <w:t>Week 3</w:t>
            </w:r>
          </w:p>
        </w:tc>
        <w:tc>
          <w:tcPr>
            <w:tcW w:w="1077" w:type="dxa"/>
            <w:tcBorders>
              <w:bottom w:val="dashed" w:sz="4" w:space="0" w:color="auto"/>
            </w:tcBorders>
            <w:vAlign w:val="center"/>
          </w:tcPr>
          <w:p w14:paraId="291080B3" w14:textId="6AB5523F" w:rsidR="00C46D25" w:rsidRPr="00770169" w:rsidRDefault="00C46D25" w:rsidP="00770169">
            <w:pPr>
              <w:widowControl w:val="0"/>
              <w:autoSpaceDE w:val="0"/>
              <w:autoSpaceDN w:val="0"/>
              <w:adjustRightInd w:val="0"/>
              <w:jc w:val="center"/>
            </w:pPr>
            <w:r w:rsidRPr="00770169">
              <w:t>Systolic</w:t>
            </w:r>
          </w:p>
        </w:tc>
        <w:tc>
          <w:tcPr>
            <w:tcW w:w="833" w:type="dxa"/>
            <w:tcBorders>
              <w:bottom w:val="dashed" w:sz="4" w:space="0" w:color="auto"/>
            </w:tcBorders>
          </w:tcPr>
          <w:p w14:paraId="79261423" w14:textId="77777777" w:rsidR="00C46D25" w:rsidRPr="00335424" w:rsidRDefault="00C46D25" w:rsidP="00335424">
            <w:pPr>
              <w:widowControl w:val="0"/>
              <w:autoSpaceDE w:val="0"/>
              <w:autoSpaceDN w:val="0"/>
              <w:adjustRightInd w:val="0"/>
              <w:rPr>
                <w:b/>
              </w:rPr>
            </w:pPr>
          </w:p>
        </w:tc>
        <w:tc>
          <w:tcPr>
            <w:tcW w:w="832" w:type="dxa"/>
            <w:tcBorders>
              <w:bottom w:val="dashed" w:sz="4" w:space="0" w:color="auto"/>
            </w:tcBorders>
          </w:tcPr>
          <w:p w14:paraId="44DF7CFF" w14:textId="77777777" w:rsidR="00C46D25" w:rsidRPr="00335424" w:rsidRDefault="00C46D25" w:rsidP="00335424">
            <w:pPr>
              <w:widowControl w:val="0"/>
              <w:autoSpaceDE w:val="0"/>
              <w:autoSpaceDN w:val="0"/>
              <w:adjustRightInd w:val="0"/>
              <w:rPr>
                <w:b/>
              </w:rPr>
            </w:pPr>
          </w:p>
        </w:tc>
        <w:tc>
          <w:tcPr>
            <w:tcW w:w="833" w:type="dxa"/>
            <w:tcBorders>
              <w:bottom w:val="dashed" w:sz="4" w:space="0" w:color="auto"/>
            </w:tcBorders>
          </w:tcPr>
          <w:p w14:paraId="4CCB2D42" w14:textId="77777777" w:rsidR="00C46D25" w:rsidRPr="00335424" w:rsidRDefault="00C46D25" w:rsidP="00335424">
            <w:pPr>
              <w:widowControl w:val="0"/>
              <w:autoSpaceDE w:val="0"/>
              <w:autoSpaceDN w:val="0"/>
              <w:adjustRightInd w:val="0"/>
              <w:rPr>
                <w:b/>
              </w:rPr>
            </w:pPr>
          </w:p>
        </w:tc>
        <w:tc>
          <w:tcPr>
            <w:tcW w:w="861" w:type="dxa"/>
            <w:tcBorders>
              <w:bottom w:val="dashed" w:sz="4" w:space="0" w:color="auto"/>
            </w:tcBorders>
          </w:tcPr>
          <w:p w14:paraId="29942906" w14:textId="77777777" w:rsidR="00C46D25" w:rsidRPr="00335424" w:rsidRDefault="00C46D25" w:rsidP="00335424">
            <w:pPr>
              <w:widowControl w:val="0"/>
              <w:autoSpaceDE w:val="0"/>
              <w:autoSpaceDN w:val="0"/>
              <w:adjustRightInd w:val="0"/>
              <w:rPr>
                <w:b/>
              </w:rPr>
            </w:pPr>
          </w:p>
        </w:tc>
        <w:tc>
          <w:tcPr>
            <w:tcW w:w="878" w:type="dxa"/>
            <w:tcBorders>
              <w:bottom w:val="dashed" w:sz="4" w:space="0" w:color="auto"/>
            </w:tcBorders>
          </w:tcPr>
          <w:p w14:paraId="33F6A22C" w14:textId="77777777" w:rsidR="00C46D25" w:rsidRPr="00335424" w:rsidRDefault="00C46D25" w:rsidP="00335424">
            <w:pPr>
              <w:widowControl w:val="0"/>
              <w:autoSpaceDE w:val="0"/>
              <w:autoSpaceDN w:val="0"/>
              <w:adjustRightInd w:val="0"/>
              <w:rPr>
                <w:b/>
              </w:rPr>
            </w:pPr>
          </w:p>
        </w:tc>
        <w:tc>
          <w:tcPr>
            <w:tcW w:w="810" w:type="dxa"/>
            <w:tcBorders>
              <w:bottom w:val="dashed" w:sz="4" w:space="0" w:color="auto"/>
            </w:tcBorders>
          </w:tcPr>
          <w:p w14:paraId="17B84768" w14:textId="77777777" w:rsidR="00C46D25" w:rsidRPr="00335424" w:rsidRDefault="00C46D25" w:rsidP="00335424">
            <w:pPr>
              <w:widowControl w:val="0"/>
              <w:autoSpaceDE w:val="0"/>
              <w:autoSpaceDN w:val="0"/>
              <w:adjustRightInd w:val="0"/>
              <w:rPr>
                <w:b/>
              </w:rPr>
            </w:pPr>
          </w:p>
        </w:tc>
        <w:tc>
          <w:tcPr>
            <w:tcW w:w="900" w:type="dxa"/>
            <w:tcBorders>
              <w:bottom w:val="dashed" w:sz="4" w:space="0" w:color="auto"/>
            </w:tcBorders>
          </w:tcPr>
          <w:p w14:paraId="139816F5" w14:textId="77777777" w:rsidR="00C46D25" w:rsidRPr="00335424" w:rsidRDefault="00C46D25" w:rsidP="00335424">
            <w:pPr>
              <w:widowControl w:val="0"/>
              <w:autoSpaceDE w:val="0"/>
              <w:autoSpaceDN w:val="0"/>
              <w:adjustRightInd w:val="0"/>
              <w:rPr>
                <w:b/>
              </w:rPr>
            </w:pPr>
          </w:p>
        </w:tc>
        <w:tc>
          <w:tcPr>
            <w:tcW w:w="1080" w:type="dxa"/>
            <w:tcBorders>
              <w:bottom w:val="dashed" w:sz="4" w:space="0" w:color="auto"/>
            </w:tcBorders>
          </w:tcPr>
          <w:p w14:paraId="62028590" w14:textId="77777777" w:rsidR="00C46D25" w:rsidRPr="00335424" w:rsidRDefault="00C46D25" w:rsidP="00335424">
            <w:pPr>
              <w:widowControl w:val="0"/>
              <w:autoSpaceDE w:val="0"/>
              <w:autoSpaceDN w:val="0"/>
              <w:adjustRightInd w:val="0"/>
              <w:rPr>
                <w:b/>
              </w:rPr>
            </w:pPr>
          </w:p>
        </w:tc>
      </w:tr>
      <w:tr w:rsidR="00C46D25" w14:paraId="5BFBC1B2" w14:textId="15CAD482" w:rsidTr="00770169">
        <w:tc>
          <w:tcPr>
            <w:tcW w:w="801" w:type="dxa"/>
            <w:vMerge/>
            <w:vAlign w:val="center"/>
          </w:tcPr>
          <w:p w14:paraId="0DBEF651" w14:textId="77777777" w:rsidR="00C46D25" w:rsidRDefault="00C46D25" w:rsidP="00335424">
            <w:pPr>
              <w:widowControl w:val="0"/>
              <w:autoSpaceDE w:val="0"/>
              <w:autoSpaceDN w:val="0"/>
              <w:adjustRightInd w:val="0"/>
              <w:jc w:val="center"/>
              <w:rPr>
                <w:b/>
              </w:rPr>
            </w:pPr>
          </w:p>
        </w:tc>
        <w:tc>
          <w:tcPr>
            <w:tcW w:w="1077" w:type="dxa"/>
            <w:tcBorders>
              <w:top w:val="dashed" w:sz="4" w:space="0" w:color="auto"/>
            </w:tcBorders>
            <w:vAlign w:val="center"/>
          </w:tcPr>
          <w:p w14:paraId="71FC2A1C" w14:textId="749F4ADC" w:rsidR="00C46D25" w:rsidRPr="00770169" w:rsidRDefault="00C46D25" w:rsidP="00770169">
            <w:pPr>
              <w:widowControl w:val="0"/>
              <w:autoSpaceDE w:val="0"/>
              <w:autoSpaceDN w:val="0"/>
              <w:adjustRightInd w:val="0"/>
              <w:jc w:val="center"/>
            </w:pPr>
            <w:r w:rsidRPr="00770169">
              <w:t>Diastolic</w:t>
            </w:r>
          </w:p>
        </w:tc>
        <w:tc>
          <w:tcPr>
            <w:tcW w:w="833" w:type="dxa"/>
            <w:tcBorders>
              <w:top w:val="dashed" w:sz="4" w:space="0" w:color="auto"/>
            </w:tcBorders>
          </w:tcPr>
          <w:p w14:paraId="71E86636" w14:textId="77777777" w:rsidR="00C46D25" w:rsidRPr="00335424" w:rsidRDefault="00C46D25" w:rsidP="00335424">
            <w:pPr>
              <w:widowControl w:val="0"/>
              <w:autoSpaceDE w:val="0"/>
              <w:autoSpaceDN w:val="0"/>
              <w:adjustRightInd w:val="0"/>
              <w:rPr>
                <w:b/>
              </w:rPr>
            </w:pPr>
          </w:p>
        </w:tc>
        <w:tc>
          <w:tcPr>
            <w:tcW w:w="832" w:type="dxa"/>
            <w:tcBorders>
              <w:top w:val="dashed" w:sz="4" w:space="0" w:color="auto"/>
            </w:tcBorders>
          </w:tcPr>
          <w:p w14:paraId="7BA61123" w14:textId="77777777" w:rsidR="00C46D25" w:rsidRPr="00335424" w:rsidRDefault="00C46D25" w:rsidP="00335424">
            <w:pPr>
              <w:widowControl w:val="0"/>
              <w:autoSpaceDE w:val="0"/>
              <w:autoSpaceDN w:val="0"/>
              <w:adjustRightInd w:val="0"/>
              <w:rPr>
                <w:b/>
              </w:rPr>
            </w:pPr>
          </w:p>
        </w:tc>
        <w:tc>
          <w:tcPr>
            <w:tcW w:w="833" w:type="dxa"/>
            <w:tcBorders>
              <w:top w:val="dashed" w:sz="4" w:space="0" w:color="auto"/>
            </w:tcBorders>
          </w:tcPr>
          <w:p w14:paraId="2CEC5EBB" w14:textId="77777777" w:rsidR="00C46D25" w:rsidRPr="00335424" w:rsidRDefault="00C46D25" w:rsidP="00335424">
            <w:pPr>
              <w:widowControl w:val="0"/>
              <w:autoSpaceDE w:val="0"/>
              <w:autoSpaceDN w:val="0"/>
              <w:adjustRightInd w:val="0"/>
              <w:rPr>
                <w:b/>
              </w:rPr>
            </w:pPr>
          </w:p>
        </w:tc>
        <w:tc>
          <w:tcPr>
            <w:tcW w:w="861" w:type="dxa"/>
            <w:tcBorders>
              <w:top w:val="dashed" w:sz="4" w:space="0" w:color="auto"/>
            </w:tcBorders>
          </w:tcPr>
          <w:p w14:paraId="02FAFEE2" w14:textId="77777777" w:rsidR="00C46D25" w:rsidRPr="00335424" w:rsidRDefault="00C46D25" w:rsidP="00335424">
            <w:pPr>
              <w:widowControl w:val="0"/>
              <w:autoSpaceDE w:val="0"/>
              <w:autoSpaceDN w:val="0"/>
              <w:adjustRightInd w:val="0"/>
              <w:rPr>
                <w:b/>
              </w:rPr>
            </w:pPr>
          </w:p>
        </w:tc>
        <w:tc>
          <w:tcPr>
            <w:tcW w:w="878" w:type="dxa"/>
            <w:tcBorders>
              <w:top w:val="dashed" w:sz="4" w:space="0" w:color="auto"/>
            </w:tcBorders>
          </w:tcPr>
          <w:p w14:paraId="7210DA7F" w14:textId="77777777" w:rsidR="00C46D25" w:rsidRPr="00335424" w:rsidRDefault="00C46D25" w:rsidP="00335424">
            <w:pPr>
              <w:widowControl w:val="0"/>
              <w:autoSpaceDE w:val="0"/>
              <w:autoSpaceDN w:val="0"/>
              <w:adjustRightInd w:val="0"/>
              <w:rPr>
                <w:b/>
              </w:rPr>
            </w:pPr>
          </w:p>
        </w:tc>
        <w:tc>
          <w:tcPr>
            <w:tcW w:w="810" w:type="dxa"/>
            <w:tcBorders>
              <w:top w:val="dashed" w:sz="4" w:space="0" w:color="auto"/>
            </w:tcBorders>
          </w:tcPr>
          <w:p w14:paraId="0B9B3566" w14:textId="77777777" w:rsidR="00C46D25" w:rsidRPr="00335424" w:rsidRDefault="00C46D25" w:rsidP="00335424">
            <w:pPr>
              <w:widowControl w:val="0"/>
              <w:autoSpaceDE w:val="0"/>
              <w:autoSpaceDN w:val="0"/>
              <w:adjustRightInd w:val="0"/>
              <w:rPr>
                <w:b/>
              </w:rPr>
            </w:pPr>
          </w:p>
        </w:tc>
        <w:tc>
          <w:tcPr>
            <w:tcW w:w="900" w:type="dxa"/>
            <w:tcBorders>
              <w:top w:val="dashed" w:sz="4" w:space="0" w:color="auto"/>
            </w:tcBorders>
          </w:tcPr>
          <w:p w14:paraId="5C5C4CD0" w14:textId="77777777" w:rsidR="00C46D25" w:rsidRPr="00335424" w:rsidRDefault="00C46D25" w:rsidP="00335424">
            <w:pPr>
              <w:widowControl w:val="0"/>
              <w:autoSpaceDE w:val="0"/>
              <w:autoSpaceDN w:val="0"/>
              <w:adjustRightInd w:val="0"/>
              <w:rPr>
                <w:b/>
              </w:rPr>
            </w:pPr>
          </w:p>
        </w:tc>
        <w:tc>
          <w:tcPr>
            <w:tcW w:w="1080" w:type="dxa"/>
            <w:tcBorders>
              <w:top w:val="dashed" w:sz="4" w:space="0" w:color="auto"/>
            </w:tcBorders>
          </w:tcPr>
          <w:p w14:paraId="214747FC" w14:textId="77777777" w:rsidR="00C46D25" w:rsidRPr="00335424" w:rsidRDefault="00C46D25" w:rsidP="00335424">
            <w:pPr>
              <w:widowControl w:val="0"/>
              <w:autoSpaceDE w:val="0"/>
              <w:autoSpaceDN w:val="0"/>
              <w:adjustRightInd w:val="0"/>
              <w:rPr>
                <w:b/>
              </w:rPr>
            </w:pPr>
          </w:p>
        </w:tc>
      </w:tr>
      <w:tr w:rsidR="00C46D25" w14:paraId="0EED2216" w14:textId="77777777" w:rsidTr="00770169">
        <w:tc>
          <w:tcPr>
            <w:tcW w:w="801" w:type="dxa"/>
            <w:vMerge/>
            <w:vAlign w:val="center"/>
          </w:tcPr>
          <w:p w14:paraId="56024DD1" w14:textId="77777777" w:rsidR="00C46D25" w:rsidRDefault="00C46D25" w:rsidP="00335424">
            <w:pPr>
              <w:widowControl w:val="0"/>
              <w:autoSpaceDE w:val="0"/>
              <w:autoSpaceDN w:val="0"/>
              <w:adjustRightInd w:val="0"/>
              <w:jc w:val="center"/>
              <w:rPr>
                <w:b/>
              </w:rPr>
            </w:pPr>
          </w:p>
        </w:tc>
        <w:tc>
          <w:tcPr>
            <w:tcW w:w="1077" w:type="dxa"/>
            <w:tcBorders>
              <w:top w:val="dashed" w:sz="4" w:space="0" w:color="auto"/>
            </w:tcBorders>
            <w:vAlign w:val="center"/>
          </w:tcPr>
          <w:p w14:paraId="72497663" w14:textId="77777777" w:rsidR="00C46D25" w:rsidRPr="00770169" w:rsidRDefault="00C46D25" w:rsidP="00770169">
            <w:pPr>
              <w:widowControl w:val="0"/>
              <w:autoSpaceDE w:val="0"/>
              <w:autoSpaceDN w:val="0"/>
              <w:adjustRightInd w:val="0"/>
              <w:jc w:val="center"/>
            </w:pPr>
            <w:r w:rsidRPr="00770169">
              <w:t>Activity</w:t>
            </w:r>
          </w:p>
          <w:p w14:paraId="317037F3" w14:textId="77777777" w:rsidR="00C46D25" w:rsidRPr="00770169" w:rsidRDefault="00C46D25" w:rsidP="00770169">
            <w:pPr>
              <w:widowControl w:val="0"/>
              <w:autoSpaceDE w:val="0"/>
              <w:autoSpaceDN w:val="0"/>
              <w:adjustRightInd w:val="0"/>
              <w:jc w:val="center"/>
            </w:pPr>
          </w:p>
        </w:tc>
        <w:tc>
          <w:tcPr>
            <w:tcW w:w="833" w:type="dxa"/>
            <w:tcBorders>
              <w:top w:val="dashed" w:sz="4" w:space="0" w:color="auto"/>
            </w:tcBorders>
          </w:tcPr>
          <w:p w14:paraId="391F23C5" w14:textId="77777777" w:rsidR="00C46D25" w:rsidRPr="00335424" w:rsidRDefault="00C46D25" w:rsidP="00335424">
            <w:pPr>
              <w:widowControl w:val="0"/>
              <w:autoSpaceDE w:val="0"/>
              <w:autoSpaceDN w:val="0"/>
              <w:adjustRightInd w:val="0"/>
              <w:rPr>
                <w:b/>
              </w:rPr>
            </w:pPr>
          </w:p>
        </w:tc>
        <w:tc>
          <w:tcPr>
            <w:tcW w:w="832" w:type="dxa"/>
            <w:tcBorders>
              <w:top w:val="dashed" w:sz="4" w:space="0" w:color="auto"/>
            </w:tcBorders>
          </w:tcPr>
          <w:p w14:paraId="7AAC02C5" w14:textId="77777777" w:rsidR="00C46D25" w:rsidRPr="00335424" w:rsidRDefault="00C46D25" w:rsidP="00335424">
            <w:pPr>
              <w:widowControl w:val="0"/>
              <w:autoSpaceDE w:val="0"/>
              <w:autoSpaceDN w:val="0"/>
              <w:adjustRightInd w:val="0"/>
              <w:rPr>
                <w:b/>
              </w:rPr>
            </w:pPr>
          </w:p>
        </w:tc>
        <w:tc>
          <w:tcPr>
            <w:tcW w:w="833" w:type="dxa"/>
            <w:tcBorders>
              <w:top w:val="dashed" w:sz="4" w:space="0" w:color="auto"/>
            </w:tcBorders>
          </w:tcPr>
          <w:p w14:paraId="33F34756" w14:textId="77777777" w:rsidR="00C46D25" w:rsidRPr="00335424" w:rsidRDefault="00C46D25" w:rsidP="00335424">
            <w:pPr>
              <w:widowControl w:val="0"/>
              <w:autoSpaceDE w:val="0"/>
              <w:autoSpaceDN w:val="0"/>
              <w:adjustRightInd w:val="0"/>
              <w:rPr>
                <w:b/>
              </w:rPr>
            </w:pPr>
          </w:p>
        </w:tc>
        <w:tc>
          <w:tcPr>
            <w:tcW w:w="861" w:type="dxa"/>
            <w:tcBorders>
              <w:top w:val="dashed" w:sz="4" w:space="0" w:color="auto"/>
            </w:tcBorders>
          </w:tcPr>
          <w:p w14:paraId="17048D2E" w14:textId="77777777" w:rsidR="00C46D25" w:rsidRPr="00335424" w:rsidRDefault="00C46D25" w:rsidP="00335424">
            <w:pPr>
              <w:widowControl w:val="0"/>
              <w:autoSpaceDE w:val="0"/>
              <w:autoSpaceDN w:val="0"/>
              <w:adjustRightInd w:val="0"/>
              <w:rPr>
                <w:b/>
              </w:rPr>
            </w:pPr>
          </w:p>
        </w:tc>
        <w:tc>
          <w:tcPr>
            <w:tcW w:w="878" w:type="dxa"/>
            <w:tcBorders>
              <w:top w:val="dashed" w:sz="4" w:space="0" w:color="auto"/>
            </w:tcBorders>
          </w:tcPr>
          <w:p w14:paraId="24A8D682" w14:textId="77777777" w:rsidR="00C46D25" w:rsidRPr="00335424" w:rsidRDefault="00C46D25" w:rsidP="00335424">
            <w:pPr>
              <w:widowControl w:val="0"/>
              <w:autoSpaceDE w:val="0"/>
              <w:autoSpaceDN w:val="0"/>
              <w:adjustRightInd w:val="0"/>
              <w:rPr>
                <w:b/>
              </w:rPr>
            </w:pPr>
          </w:p>
        </w:tc>
        <w:tc>
          <w:tcPr>
            <w:tcW w:w="810" w:type="dxa"/>
            <w:tcBorders>
              <w:top w:val="dashed" w:sz="4" w:space="0" w:color="auto"/>
            </w:tcBorders>
          </w:tcPr>
          <w:p w14:paraId="7C3A06ED" w14:textId="77777777" w:rsidR="00C46D25" w:rsidRPr="00335424" w:rsidRDefault="00C46D25" w:rsidP="00335424">
            <w:pPr>
              <w:widowControl w:val="0"/>
              <w:autoSpaceDE w:val="0"/>
              <w:autoSpaceDN w:val="0"/>
              <w:adjustRightInd w:val="0"/>
              <w:rPr>
                <w:b/>
              </w:rPr>
            </w:pPr>
          </w:p>
        </w:tc>
        <w:tc>
          <w:tcPr>
            <w:tcW w:w="900" w:type="dxa"/>
            <w:tcBorders>
              <w:top w:val="dashed" w:sz="4" w:space="0" w:color="auto"/>
            </w:tcBorders>
          </w:tcPr>
          <w:p w14:paraId="592899CC" w14:textId="77777777" w:rsidR="00C46D25" w:rsidRPr="00335424" w:rsidRDefault="00C46D25" w:rsidP="00335424">
            <w:pPr>
              <w:widowControl w:val="0"/>
              <w:autoSpaceDE w:val="0"/>
              <w:autoSpaceDN w:val="0"/>
              <w:adjustRightInd w:val="0"/>
              <w:rPr>
                <w:b/>
              </w:rPr>
            </w:pPr>
          </w:p>
        </w:tc>
        <w:tc>
          <w:tcPr>
            <w:tcW w:w="1080" w:type="dxa"/>
            <w:tcBorders>
              <w:top w:val="dashed" w:sz="4" w:space="0" w:color="auto"/>
            </w:tcBorders>
          </w:tcPr>
          <w:p w14:paraId="05A10FF0" w14:textId="77777777" w:rsidR="00C46D25" w:rsidRPr="00335424" w:rsidRDefault="00C46D25" w:rsidP="00335424">
            <w:pPr>
              <w:widowControl w:val="0"/>
              <w:autoSpaceDE w:val="0"/>
              <w:autoSpaceDN w:val="0"/>
              <w:adjustRightInd w:val="0"/>
              <w:rPr>
                <w:b/>
              </w:rPr>
            </w:pPr>
          </w:p>
        </w:tc>
      </w:tr>
      <w:tr w:rsidR="00C46D25" w14:paraId="60A85962" w14:textId="46A15055" w:rsidTr="00770169">
        <w:tc>
          <w:tcPr>
            <w:tcW w:w="801" w:type="dxa"/>
            <w:vMerge w:val="restart"/>
            <w:vAlign w:val="center"/>
          </w:tcPr>
          <w:p w14:paraId="61BCDCE2" w14:textId="1AB284DB" w:rsidR="00C46D25" w:rsidRDefault="00C46D25" w:rsidP="00335424">
            <w:pPr>
              <w:widowControl w:val="0"/>
              <w:autoSpaceDE w:val="0"/>
              <w:autoSpaceDN w:val="0"/>
              <w:adjustRightInd w:val="0"/>
              <w:jc w:val="center"/>
              <w:rPr>
                <w:b/>
              </w:rPr>
            </w:pPr>
            <w:r>
              <w:rPr>
                <w:b/>
              </w:rPr>
              <w:t>Week 4</w:t>
            </w:r>
          </w:p>
        </w:tc>
        <w:tc>
          <w:tcPr>
            <w:tcW w:w="1077" w:type="dxa"/>
            <w:tcBorders>
              <w:bottom w:val="dashed" w:sz="4" w:space="0" w:color="auto"/>
            </w:tcBorders>
            <w:vAlign w:val="center"/>
          </w:tcPr>
          <w:p w14:paraId="2572B0E8" w14:textId="2413D0D5" w:rsidR="00C46D25" w:rsidRPr="00770169" w:rsidRDefault="00C46D25" w:rsidP="00770169">
            <w:pPr>
              <w:widowControl w:val="0"/>
              <w:autoSpaceDE w:val="0"/>
              <w:autoSpaceDN w:val="0"/>
              <w:adjustRightInd w:val="0"/>
              <w:jc w:val="center"/>
            </w:pPr>
            <w:r w:rsidRPr="00770169">
              <w:t>Systolic</w:t>
            </w:r>
          </w:p>
        </w:tc>
        <w:tc>
          <w:tcPr>
            <w:tcW w:w="833" w:type="dxa"/>
            <w:tcBorders>
              <w:bottom w:val="dashed" w:sz="4" w:space="0" w:color="auto"/>
            </w:tcBorders>
          </w:tcPr>
          <w:p w14:paraId="3BF96FDA" w14:textId="77777777" w:rsidR="00C46D25" w:rsidRPr="00335424" w:rsidRDefault="00C46D25" w:rsidP="00335424">
            <w:pPr>
              <w:widowControl w:val="0"/>
              <w:autoSpaceDE w:val="0"/>
              <w:autoSpaceDN w:val="0"/>
              <w:adjustRightInd w:val="0"/>
              <w:rPr>
                <w:b/>
              </w:rPr>
            </w:pPr>
          </w:p>
        </w:tc>
        <w:tc>
          <w:tcPr>
            <w:tcW w:w="832" w:type="dxa"/>
            <w:tcBorders>
              <w:bottom w:val="dashed" w:sz="4" w:space="0" w:color="auto"/>
            </w:tcBorders>
          </w:tcPr>
          <w:p w14:paraId="6B44C12E" w14:textId="77777777" w:rsidR="00C46D25" w:rsidRPr="00335424" w:rsidRDefault="00C46D25" w:rsidP="00335424">
            <w:pPr>
              <w:widowControl w:val="0"/>
              <w:autoSpaceDE w:val="0"/>
              <w:autoSpaceDN w:val="0"/>
              <w:adjustRightInd w:val="0"/>
              <w:rPr>
                <w:b/>
              </w:rPr>
            </w:pPr>
          </w:p>
        </w:tc>
        <w:tc>
          <w:tcPr>
            <w:tcW w:w="833" w:type="dxa"/>
            <w:tcBorders>
              <w:bottom w:val="dashed" w:sz="4" w:space="0" w:color="auto"/>
            </w:tcBorders>
          </w:tcPr>
          <w:p w14:paraId="47B3EA63" w14:textId="77777777" w:rsidR="00C46D25" w:rsidRPr="00335424" w:rsidRDefault="00C46D25" w:rsidP="00335424">
            <w:pPr>
              <w:widowControl w:val="0"/>
              <w:autoSpaceDE w:val="0"/>
              <w:autoSpaceDN w:val="0"/>
              <w:adjustRightInd w:val="0"/>
              <w:rPr>
                <w:b/>
              </w:rPr>
            </w:pPr>
          </w:p>
        </w:tc>
        <w:tc>
          <w:tcPr>
            <w:tcW w:w="861" w:type="dxa"/>
            <w:tcBorders>
              <w:bottom w:val="dashed" w:sz="4" w:space="0" w:color="auto"/>
            </w:tcBorders>
          </w:tcPr>
          <w:p w14:paraId="5C33A85D" w14:textId="77777777" w:rsidR="00C46D25" w:rsidRPr="00335424" w:rsidRDefault="00C46D25" w:rsidP="00335424">
            <w:pPr>
              <w:widowControl w:val="0"/>
              <w:autoSpaceDE w:val="0"/>
              <w:autoSpaceDN w:val="0"/>
              <w:adjustRightInd w:val="0"/>
              <w:rPr>
                <w:b/>
              </w:rPr>
            </w:pPr>
          </w:p>
        </w:tc>
        <w:tc>
          <w:tcPr>
            <w:tcW w:w="878" w:type="dxa"/>
            <w:tcBorders>
              <w:bottom w:val="dashed" w:sz="4" w:space="0" w:color="auto"/>
            </w:tcBorders>
          </w:tcPr>
          <w:p w14:paraId="44CECDCE" w14:textId="77777777" w:rsidR="00C46D25" w:rsidRPr="00335424" w:rsidRDefault="00C46D25" w:rsidP="00335424">
            <w:pPr>
              <w:widowControl w:val="0"/>
              <w:autoSpaceDE w:val="0"/>
              <w:autoSpaceDN w:val="0"/>
              <w:adjustRightInd w:val="0"/>
              <w:rPr>
                <w:b/>
              </w:rPr>
            </w:pPr>
          </w:p>
        </w:tc>
        <w:tc>
          <w:tcPr>
            <w:tcW w:w="810" w:type="dxa"/>
            <w:tcBorders>
              <w:bottom w:val="dashed" w:sz="4" w:space="0" w:color="auto"/>
            </w:tcBorders>
          </w:tcPr>
          <w:p w14:paraId="4CBA1F64" w14:textId="77777777" w:rsidR="00C46D25" w:rsidRPr="00335424" w:rsidRDefault="00C46D25" w:rsidP="00335424">
            <w:pPr>
              <w:widowControl w:val="0"/>
              <w:autoSpaceDE w:val="0"/>
              <w:autoSpaceDN w:val="0"/>
              <w:adjustRightInd w:val="0"/>
              <w:rPr>
                <w:b/>
              </w:rPr>
            </w:pPr>
          </w:p>
        </w:tc>
        <w:tc>
          <w:tcPr>
            <w:tcW w:w="900" w:type="dxa"/>
            <w:tcBorders>
              <w:bottom w:val="dashed" w:sz="4" w:space="0" w:color="auto"/>
            </w:tcBorders>
          </w:tcPr>
          <w:p w14:paraId="1B532B14" w14:textId="77777777" w:rsidR="00C46D25" w:rsidRPr="00335424" w:rsidRDefault="00C46D25" w:rsidP="00335424">
            <w:pPr>
              <w:widowControl w:val="0"/>
              <w:autoSpaceDE w:val="0"/>
              <w:autoSpaceDN w:val="0"/>
              <w:adjustRightInd w:val="0"/>
              <w:rPr>
                <w:b/>
              </w:rPr>
            </w:pPr>
          </w:p>
        </w:tc>
        <w:tc>
          <w:tcPr>
            <w:tcW w:w="1080" w:type="dxa"/>
            <w:tcBorders>
              <w:bottom w:val="dashed" w:sz="4" w:space="0" w:color="auto"/>
            </w:tcBorders>
          </w:tcPr>
          <w:p w14:paraId="3593B927" w14:textId="77777777" w:rsidR="00C46D25" w:rsidRPr="00335424" w:rsidRDefault="00C46D25" w:rsidP="00335424">
            <w:pPr>
              <w:widowControl w:val="0"/>
              <w:autoSpaceDE w:val="0"/>
              <w:autoSpaceDN w:val="0"/>
              <w:adjustRightInd w:val="0"/>
              <w:rPr>
                <w:b/>
              </w:rPr>
            </w:pPr>
          </w:p>
        </w:tc>
      </w:tr>
      <w:tr w:rsidR="00C46D25" w14:paraId="62B1BC5D" w14:textId="7F32D2B3" w:rsidTr="00770169">
        <w:tc>
          <w:tcPr>
            <w:tcW w:w="801" w:type="dxa"/>
            <w:vMerge/>
            <w:vAlign w:val="center"/>
          </w:tcPr>
          <w:p w14:paraId="408C8243" w14:textId="77777777" w:rsidR="00C46D25" w:rsidRDefault="00C46D25" w:rsidP="00335424">
            <w:pPr>
              <w:widowControl w:val="0"/>
              <w:autoSpaceDE w:val="0"/>
              <w:autoSpaceDN w:val="0"/>
              <w:adjustRightInd w:val="0"/>
              <w:jc w:val="center"/>
              <w:rPr>
                <w:b/>
              </w:rPr>
            </w:pPr>
          </w:p>
        </w:tc>
        <w:tc>
          <w:tcPr>
            <w:tcW w:w="1077" w:type="dxa"/>
            <w:tcBorders>
              <w:top w:val="dashed" w:sz="4" w:space="0" w:color="auto"/>
            </w:tcBorders>
            <w:vAlign w:val="center"/>
          </w:tcPr>
          <w:p w14:paraId="696E2E10" w14:textId="273F415D" w:rsidR="00C46D25" w:rsidRPr="00770169" w:rsidRDefault="00C46D25" w:rsidP="00770169">
            <w:pPr>
              <w:widowControl w:val="0"/>
              <w:autoSpaceDE w:val="0"/>
              <w:autoSpaceDN w:val="0"/>
              <w:adjustRightInd w:val="0"/>
              <w:jc w:val="center"/>
            </w:pPr>
            <w:r w:rsidRPr="00770169">
              <w:t>Diastolic</w:t>
            </w:r>
          </w:p>
        </w:tc>
        <w:tc>
          <w:tcPr>
            <w:tcW w:w="833" w:type="dxa"/>
            <w:tcBorders>
              <w:top w:val="dashed" w:sz="4" w:space="0" w:color="auto"/>
            </w:tcBorders>
          </w:tcPr>
          <w:p w14:paraId="42EA00F7" w14:textId="77777777" w:rsidR="00C46D25" w:rsidRPr="00335424" w:rsidRDefault="00C46D25" w:rsidP="00335424">
            <w:pPr>
              <w:widowControl w:val="0"/>
              <w:autoSpaceDE w:val="0"/>
              <w:autoSpaceDN w:val="0"/>
              <w:adjustRightInd w:val="0"/>
              <w:rPr>
                <w:b/>
              </w:rPr>
            </w:pPr>
          </w:p>
        </w:tc>
        <w:tc>
          <w:tcPr>
            <w:tcW w:w="832" w:type="dxa"/>
            <w:tcBorders>
              <w:top w:val="dashed" w:sz="4" w:space="0" w:color="auto"/>
            </w:tcBorders>
          </w:tcPr>
          <w:p w14:paraId="2633E5D0" w14:textId="77777777" w:rsidR="00C46D25" w:rsidRPr="00335424" w:rsidRDefault="00C46D25" w:rsidP="00335424">
            <w:pPr>
              <w:widowControl w:val="0"/>
              <w:autoSpaceDE w:val="0"/>
              <w:autoSpaceDN w:val="0"/>
              <w:adjustRightInd w:val="0"/>
              <w:rPr>
                <w:b/>
              </w:rPr>
            </w:pPr>
          </w:p>
        </w:tc>
        <w:tc>
          <w:tcPr>
            <w:tcW w:w="833" w:type="dxa"/>
            <w:tcBorders>
              <w:top w:val="dashed" w:sz="4" w:space="0" w:color="auto"/>
            </w:tcBorders>
          </w:tcPr>
          <w:p w14:paraId="30042D7D" w14:textId="77777777" w:rsidR="00C46D25" w:rsidRPr="00335424" w:rsidRDefault="00C46D25" w:rsidP="00335424">
            <w:pPr>
              <w:widowControl w:val="0"/>
              <w:autoSpaceDE w:val="0"/>
              <w:autoSpaceDN w:val="0"/>
              <w:adjustRightInd w:val="0"/>
              <w:rPr>
                <w:b/>
              </w:rPr>
            </w:pPr>
          </w:p>
        </w:tc>
        <w:tc>
          <w:tcPr>
            <w:tcW w:w="861" w:type="dxa"/>
            <w:tcBorders>
              <w:top w:val="dashed" w:sz="4" w:space="0" w:color="auto"/>
            </w:tcBorders>
          </w:tcPr>
          <w:p w14:paraId="2B51CE7B" w14:textId="77777777" w:rsidR="00C46D25" w:rsidRPr="00335424" w:rsidRDefault="00C46D25" w:rsidP="00335424">
            <w:pPr>
              <w:widowControl w:val="0"/>
              <w:autoSpaceDE w:val="0"/>
              <w:autoSpaceDN w:val="0"/>
              <w:adjustRightInd w:val="0"/>
              <w:rPr>
                <w:b/>
              </w:rPr>
            </w:pPr>
          </w:p>
        </w:tc>
        <w:tc>
          <w:tcPr>
            <w:tcW w:w="878" w:type="dxa"/>
            <w:tcBorders>
              <w:top w:val="dashed" w:sz="4" w:space="0" w:color="auto"/>
            </w:tcBorders>
          </w:tcPr>
          <w:p w14:paraId="7C6B15C1" w14:textId="77777777" w:rsidR="00C46D25" w:rsidRPr="00335424" w:rsidRDefault="00C46D25" w:rsidP="00335424">
            <w:pPr>
              <w:widowControl w:val="0"/>
              <w:autoSpaceDE w:val="0"/>
              <w:autoSpaceDN w:val="0"/>
              <w:adjustRightInd w:val="0"/>
              <w:rPr>
                <w:b/>
              </w:rPr>
            </w:pPr>
          </w:p>
        </w:tc>
        <w:tc>
          <w:tcPr>
            <w:tcW w:w="810" w:type="dxa"/>
            <w:tcBorders>
              <w:top w:val="dashed" w:sz="4" w:space="0" w:color="auto"/>
            </w:tcBorders>
          </w:tcPr>
          <w:p w14:paraId="332E7B7C" w14:textId="77777777" w:rsidR="00C46D25" w:rsidRPr="00335424" w:rsidRDefault="00C46D25" w:rsidP="00335424">
            <w:pPr>
              <w:widowControl w:val="0"/>
              <w:autoSpaceDE w:val="0"/>
              <w:autoSpaceDN w:val="0"/>
              <w:adjustRightInd w:val="0"/>
              <w:rPr>
                <w:b/>
              </w:rPr>
            </w:pPr>
          </w:p>
        </w:tc>
        <w:tc>
          <w:tcPr>
            <w:tcW w:w="900" w:type="dxa"/>
            <w:tcBorders>
              <w:top w:val="dashed" w:sz="4" w:space="0" w:color="auto"/>
            </w:tcBorders>
          </w:tcPr>
          <w:p w14:paraId="19440CF4" w14:textId="77777777" w:rsidR="00C46D25" w:rsidRPr="00335424" w:rsidRDefault="00C46D25" w:rsidP="00335424">
            <w:pPr>
              <w:widowControl w:val="0"/>
              <w:autoSpaceDE w:val="0"/>
              <w:autoSpaceDN w:val="0"/>
              <w:adjustRightInd w:val="0"/>
              <w:rPr>
                <w:b/>
              </w:rPr>
            </w:pPr>
          </w:p>
        </w:tc>
        <w:tc>
          <w:tcPr>
            <w:tcW w:w="1080" w:type="dxa"/>
            <w:tcBorders>
              <w:top w:val="dashed" w:sz="4" w:space="0" w:color="auto"/>
            </w:tcBorders>
          </w:tcPr>
          <w:p w14:paraId="5BCA0C72" w14:textId="77777777" w:rsidR="00C46D25" w:rsidRPr="00335424" w:rsidRDefault="00C46D25" w:rsidP="00335424">
            <w:pPr>
              <w:widowControl w:val="0"/>
              <w:autoSpaceDE w:val="0"/>
              <w:autoSpaceDN w:val="0"/>
              <w:adjustRightInd w:val="0"/>
              <w:rPr>
                <w:b/>
              </w:rPr>
            </w:pPr>
          </w:p>
        </w:tc>
      </w:tr>
      <w:tr w:rsidR="00C46D25" w14:paraId="33BF6CC7" w14:textId="77777777" w:rsidTr="00770169">
        <w:tc>
          <w:tcPr>
            <w:tcW w:w="801" w:type="dxa"/>
            <w:vMerge/>
            <w:vAlign w:val="center"/>
          </w:tcPr>
          <w:p w14:paraId="7D73054D" w14:textId="77777777" w:rsidR="00C46D25" w:rsidRDefault="00C46D25" w:rsidP="00335424">
            <w:pPr>
              <w:widowControl w:val="0"/>
              <w:autoSpaceDE w:val="0"/>
              <w:autoSpaceDN w:val="0"/>
              <w:adjustRightInd w:val="0"/>
              <w:jc w:val="center"/>
              <w:rPr>
                <w:b/>
              </w:rPr>
            </w:pPr>
          </w:p>
        </w:tc>
        <w:tc>
          <w:tcPr>
            <w:tcW w:w="1077" w:type="dxa"/>
            <w:tcBorders>
              <w:top w:val="dashed" w:sz="4" w:space="0" w:color="auto"/>
            </w:tcBorders>
            <w:vAlign w:val="center"/>
          </w:tcPr>
          <w:p w14:paraId="1632F938" w14:textId="77777777" w:rsidR="00C46D25" w:rsidRPr="00770169" w:rsidRDefault="00C46D25" w:rsidP="00770169">
            <w:pPr>
              <w:widowControl w:val="0"/>
              <w:autoSpaceDE w:val="0"/>
              <w:autoSpaceDN w:val="0"/>
              <w:adjustRightInd w:val="0"/>
              <w:jc w:val="center"/>
            </w:pPr>
            <w:r w:rsidRPr="00770169">
              <w:t>Activity</w:t>
            </w:r>
          </w:p>
          <w:p w14:paraId="409F5721" w14:textId="77777777" w:rsidR="00C46D25" w:rsidRPr="00770169" w:rsidRDefault="00C46D25" w:rsidP="00770169">
            <w:pPr>
              <w:widowControl w:val="0"/>
              <w:autoSpaceDE w:val="0"/>
              <w:autoSpaceDN w:val="0"/>
              <w:adjustRightInd w:val="0"/>
              <w:jc w:val="center"/>
            </w:pPr>
          </w:p>
        </w:tc>
        <w:tc>
          <w:tcPr>
            <w:tcW w:w="833" w:type="dxa"/>
            <w:tcBorders>
              <w:top w:val="dashed" w:sz="4" w:space="0" w:color="auto"/>
            </w:tcBorders>
          </w:tcPr>
          <w:p w14:paraId="3BDE6614" w14:textId="77777777" w:rsidR="00C46D25" w:rsidRPr="00335424" w:rsidRDefault="00C46D25" w:rsidP="00335424">
            <w:pPr>
              <w:widowControl w:val="0"/>
              <w:autoSpaceDE w:val="0"/>
              <w:autoSpaceDN w:val="0"/>
              <w:adjustRightInd w:val="0"/>
              <w:rPr>
                <w:b/>
              </w:rPr>
            </w:pPr>
          </w:p>
        </w:tc>
        <w:tc>
          <w:tcPr>
            <w:tcW w:w="832" w:type="dxa"/>
            <w:tcBorders>
              <w:top w:val="dashed" w:sz="4" w:space="0" w:color="auto"/>
            </w:tcBorders>
          </w:tcPr>
          <w:p w14:paraId="5DFEE5FB" w14:textId="77777777" w:rsidR="00C46D25" w:rsidRPr="00335424" w:rsidRDefault="00C46D25" w:rsidP="00335424">
            <w:pPr>
              <w:widowControl w:val="0"/>
              <w:autoSpaceDE w:val="0"/>
              <w:autoSpaceDN w:val="0"/>
              <w:adjustRightInd w:val="0"/>
              <w:rPr>
                <w:b/>
              </w:rPr>
            </w:pPr>
          </w:p>
        </w:tc>
        <w:tc>
          <w:tcPr>
            <w:tcW w:w="833" w:type="dxa"/>
            <w:tcBorders>
              <w:top w:val="dashed" w:sz="4" w:space="0" w:color="auto"/>
            </w:tcBorders>
          </w:tcPr>
          <w:p w14:paraId="16C9AA6C" w14:textId="77777777" w:rsidR="00C46D25" w:rsidRPr="00335424" w:rsidRDefault="00C46D25" w:rsidP="00335424">
            <w:pPr>
              <w:widowControl w:val="0"/>
              <w:autoSpaceDE w:val="0"/>
              <w:autoSpaceDN w:val="0"/>
              <w:adjustRightInd w:val="0"/>
              <w:rPr>
                <w:b/>
              </w:rPr>
            </w:pPr>
          </w:p>
        </w:tc>
        <w:tc>
          <w:tcPr>
            <w:tcW w:w="861" w:type="dxa"/>
            <w:tcBorders>
              <w:top w:val="dashed" w:sz="4" w:space="0" w:color="auto"/>
            </w:tcBorders>
          </w:tcPr>
          <w:p w14:paraId="519BBBB6" w14:textId="77777777" w:rsidR="00C46D25" w:rsidRPr="00335424" w:rsidRDefault="00C46D25" w:rsidP="00335424">
            <w:pPr>
              <w:widowControl w:val="0"/>
              <w:autoSpaceDE w:val="0"/>
              <w:autoSpaceDN w:val="0"/>
              <w:adjustRightInd w:val="0"/>
              <w:rPr>
                <w:b/>
              </w:rPr>
            </w:pPr>
          </w:p>
        </w:tc>
        <w:tc>
          <w:tcPr>
            <w:tcW w:w="878" w:type="dxa"/>
            <w:tcBorders>
              <w:top w:val="dashed" w:sz="4" w:space="0" w:color="auto"/>
            </w:tcBorders>
          </w:tcPr>
          <w:p w14:paraId="5E7D2416" w14:textId="77777777" w:rsidR="00C46D25" w:rsidRPr="00335424" w:rsidRDefault="00C46D25" w:rsidP="00335424">
            <w:pPr>
              <w:widowControl w:val="0"/>
              <w:autoSpaceDE w:val="0"/>
              <w:autoSpaceDN w:val="0"/>
              <w:adjustRightInd w:val="0"/>
              <w:rPr>
                <w:b/>
              </w:rPr>
            </w:pPr>
          </w:p>
        </w:tc>
        <w:tc>
          <w:tcPr>
            <w:tcW w:w="810" w:type="dxa"/>
            <w:tcBorders>
              <w:top w:val="dashed" w:sz="4" w:space="0" w:color="auto"/>
            </w:tcBorders>
          </w:tcPr>
          <w:p w14:paraId="01DE3A36" w14:textId="77777777" w:rsidR="00C46D25" w:rsidRPr="00335424" w:rsidRDefault="00C46D25" w:rsidP="00335424">
            <w:pPr>
              <w:widowControl w:val="0"/>
              <w:autoSpaceDE w:val="0"/>
              <w:autoSpaceDN w:val="0"/>
              <w:adjustRightInd w:val="0"/>
              <w:rPr>
                <w:b/>
              </w:rPr>
            </w:pPr>
          </w:p>
        </w:tc>
        <w:tc>
          <w:tcPr>
            <w:tcW w:w="900" w:type="dxa"/>
            <w:tcBorders>
              <w:top w:val="dashed" w:sz="4" w:space="0" w:color="auto"/>
            </w:tcBorders>
          </w:tcPr>
          <w:p w14:paraId="456BD167" w14:textId="77777777" w:rsidR="00C46D25" w:rsidRPr="00335424" w:rsidRDefault="00C46D25" w:rsidP="00335424">
            <w:pPr>
              <w:widowControl w:val="0"/>
              <w:autoSpaceDE w:val="0"/>
              <w:autoSpaceDN w:val="0"/>
              <w:adjustRightInd w:val="0"/>
              <w:rPr>
                <w:b/>
              </w:rPr>
            </w:pPr>
          </w:p>
        </w:tc>
        <w:tc>
          <w:tcPr>
            <w:tcW w:w="1080" w:type="dxa"/>
            <w:tcBorders>
              <w:top w:val="dashed" w:sz="4" w:space="0" w:color="auto"/>
            </w:tcBorders>
          </w:tcPr>
          <w:p w14:paraId="544D4791" w14:textId="77777777" w:rsidR="00C46D25" w:rsidRPr="00335424" w:rsidRDefault="00C46D25" w:rsidP="00335424">
            <w:pPr>
              <w:widowControl w:val="0"/>
              <w:autoSpaceDE w:val="0"/>
              <w:autoSpaceDN w:val="0"/>
              <w:adjustRightInd w:val="0"/>
              <w:rPr>
                <w:b/>
              </w:rPr>
            </w:pPr>
          </w:p>
        </w:tc>
      </w:tr>
      <w:tr w:rsidR="00C46D25" w14:paraId="4CE66A01" w14:textId="714C4F26" w:rsidTr="00770169">
        <w:tc>
          <w:tcPr>
            <w:tcW w:w="801" w:type="dxa"/>
            <w:vMerge w:val="restart"/>
            <w:vAlign w:val="center"/>
          </w:tcPr>
          <w:p w14:paraId="1F2EEE5A" w14:textId="24AA1723" w:rsidR="00C46D25" w:rsidRDefault="00C46D25" w:rsidP="00335424">
            <w:pPr>
              <w:widowControl w:val="0"/>
              <w:autoSpaceDE w:val="0"/>
              <w:autoSpaceDN w:val="0"/>
              <w:adjustRightInd w:val="0"/>
              <w:jc w:val="center"/>
              <w:rPr>
                <w:b/>
              </w:rPr>
            </w:pPr>
            <w:r>
              <w:rPr>
                <w:b/>
              </w:rPr>
              <w:t>Week 5</w:t>
            </w:r>
          </w:p>
        </w:tc>
        <w:tc>
          <w:tcPr>
            <w:tcW w:w="1077" w:type="dxa"/>
            <w:tcBorders>
              <w:bottom w:val="dashed" w:sz="4" w:space="0" w:color="auto"/>
            </w:tcBorders>
            <w:vAlign w:val="center"/>
          </w:tcPr>
          <w:p w14:paraId="667AA27F" w14:textId="076F94EB" w:rsidR="00C46D25" w:rsidRPr="00770169" w:rsidRDefault="00C46D25" w:rsidP="00770169">
            <w:pPr>
              <w:widowControl w:val="0"/>
              <w:autoSpaceDE w:val="0"/>
              <w:autoSpaceDN w:val="0"/>
              <w:adjustRightInd w:val="0"/>
              <w:jc w:val="center"/>
            </w:pPr>
            <w:r w:rsidRPr="00770169">
              <w:t>Systolic</w:t>
            </w:r>
          </w:p>
        </w:tc>
        <w:tc>
          <w:tcPr>
            <w:tcW w:w="833" w:type="dxa"/>
            <w:tcBorders>
              <w:bottom w:val="dashed" w:sz="4" w:space="0" w:color="auto"/>
            </w:tcBorders>
          </w:tcPr>
          <w:p w14:paraId="09B8DDFF" w14:textId="77777777" w:rsidR="00C46D25" w:rsidRPr="00335424" w:rsidRDefault="00C46D25" w:rsidP="00335424">
            <w:pPr>
              <w:widowControl w:val="0"/>
              <w:autoSpaceDE w:val="0"/>
              <w:autoSpaceDN w:val="0"/>
              <w:adjustRightInd w:val="0"/>
              <w:rPr>
                <w:b/>
              </w:rPr>
            </w:pPr>
          </w:p>
        </w:tc>
        <w:tc>
          <w:tcPr>
            <w:tcW w:w="832" w:type="dxa"/>
            <w:tcBorders>
              <w:bottom w:val="dashed" w:sz="4" w:space="0" w:color="auto"/>
            </w:tcBorders>
          </w:tcPr>
          <w:p w14:paraId="14293CC8" w14:textId="77777777" w:rsidR="00C46D25" w:rsidRPr="00335424" w:rsidRDefault="00C46D25" w:rsidP="00335424">
            <w:pPr>
              <w:widowControl w:val="0"/>
              <w:autoSpaceDE w:val="0"/>
              <w:autoSpaceDN w:val="0"/>
              <w:adjustRightInd w:val="0"/>
              <w:rPr>
                <w:b/>
              </w:rPr>
            </w:pPr>
          </w:p>
        </w:tc>
        <w:tc>
          <w:tcPr>
            <w:tcW w:w="833" w:type="dxa"/>
            <w:tcBorders>
              <w:bottom w:val="dashed" w:sz="4" w:space="0" w:color="auto"/>
            </w:tcBorders>
          </w:tcPr>
          <w:p w14:paraId="0D0D8087" w14:textId="77777777" w:rsidR="00C46D25" w:rsidRPr="00335424" w:rsidRDefault="00C46D25" w:rsidP="00335424">
            <w:pPr>
              <w:widowControl w:val="0"/>
              <w:autoSpaceDE w:val="0"/>
              <w:autoSpaceDN w:val="0"/>
              <w:adjustRightInd w:val="0"/>
              <w:rPr>
                <w:b/>
              </w:rPr>
            </w:pPr>
          </w:p>
        </w:tc>
        <w:tc>
          <w:tcPr>
            <w:tcW w:w="861" w:type="dxa"/>
            <w:tcBorders>
              <w:bottom w:val="dashed" w:sz="4" w:space="0" w:color="auto"/>
            </w:tcBorders>
          </w:tcPr>
          <w:p w14:paraId="5A08738A" w14:textId="77777777" w:rsidR="00C46D25" w:rsidRPr="00335424" w:rsidRDefault="00C46D25" w:rsidP="00335424">
            <w:pPr>
              <w:widowControl w:val="0"/>
              <w:autoSpaceDE w:val="0"/>
              <w:autoSpaceDN w:val="0"/>
              <w:adjustRightInd w:val="0"/>
              <w:rPr>
                <w:b/>
              </w:rPr>
            </w:pPr>
          </w:p>
        </w:tc>
        <w:tc>
          <w:tcPr>
            <w:tcW w:w="878" w:type="dxa"/>
            <w:tcBorders>
              <w:bottom w:val="dashed" w:sz="4" w:space="0" w:color="auto"/>
            </w:tcBorders>
          </w:tcPr>
          <w:p w14:paraId="11454D54" w14:textId="77777777" w:rsidR="00C46D25" w:rsidRPr="00335424" w:rsidRDefault="00C46D25" w:rsidP="00335424">
            <w:pPr>
              <w:widowControl w:val="0"/>
              <w:autoSpaceDE w:val="0"/>
              <w:autoSpaceDN w:val="0"/>
              <w:adjustRightInd w:val="0"/>
              <w:rPr>
                <w:b/>
              </w:rPr>
            </w:pPr>
          </w:p>
        </w:tc>
        <w:tc>
          <w:tcPr>
            <w:tcW w:w="810" w:type="dxa"/>
            <w:tcBorders>
              <w:bottom w:val="dashed" w:sz="4" w:space="0" w:color="auto"/>
            </w:tcBorders>
          </w:tcPr>
          <w:p w14:paraId="2AB43AFA" w14:textId="77777777" w:rsidR="00C46D25" w:rsidRPr="00335424" w:rsidRDefault="00C46D25" w:rsidP="00335424">
            <w:pPr>
              <w:widowControl w:val="0"/>
              <w:autoSpaceDE w:val="0"/>
              <w:autoSpaceDN w:val="0"/>
              <w:adjustRightInd w:val="0"/>
              <w:rPr>
                <w:b/>
              </w:rPr>
            </w:pPr>
          </w:p>
        </w:tc>
        <w:tc>
          <w:tcPr>
            <w:tcW w:w="900" w:type="dxa"/>
            <w:tcBorders>
              <w:bottom w:val="dashed" w:sz="4" w:space="0" w:color="auto"/>
            </w:tcBorders>
          </w:tcPr>
          <w:p w14:paraId="5F4749C8" w14:textId="77777777" w:rsidR="00C46D25" w:rsidRPr="00335424" w:rsidRDefault="00C46D25" w:rsidP="00335424">
            <w:pPr>
              <w:widowControl w:val="0"/>
              <w:autoSpaceDE w:val="0"/>
              <w:autoSpaceDN w:val="0"/>
              <w:adjustRightInd w:val="0"/>
              <w:rPr>
                <w:b/>
              </w:rPr>
            </w:pPr>
          </w:p>
        </w:tc>
        <w:tc>
          <w:tcPr>
            <w:tcW w:w="1080" w:type="dxa"/>
            <w:tcBorders>
              <w:bottom w:val="dashed" w:sz="4" w:space="0" w:color="auto"/>
            </w:tcBorders>
          </w:tcPr>
          <w:p w14:paraId="17854790" w14:textId="77777777" w:rsidR="00C46D25" w:rsidRPr="00335424" w:rsidRDefault="00C46D25" w:rsidP="00335424">
            <w:pPr>
              <w:widowControl w:val="0"/>
              <w:autoSpaceDE w:val="0"/>
              <w:autoSpaceDN w:val="0"/>
              <w:adjustRightInd w:val="0"/>
              <w:rPr>
                <w:b/>
              </w:rPr>
            </w:pPr>
          </w:p>
        </w:tc>
      </w:tr>
      <w:tr w:rsidR="00C46D25" w14:paraId="518EB07F" w14:textId="6F17225F" w:rsidTr="00770169">
        <w:tc>
          <w:tcPr>
            <w:tcW w:w="801" w:type="dxa"/>
            <w:vMerge/>
            <w:vAlign w:val="center"/>
          </w:tcPr>
          <w:p w14:paraId="62ED5617" w14:textId="77777777" w:rsidR="00C46D25" w:rsidRDefault="00C46D25" w:rsidP="00335424">
            <w:pPr>
              <w:widowControl w:val="0"/>
              <w:autoSpaceDE w:val="0"/>
              <w:autoSpaceDN w:val="0"/>
              <w:adjustRightInd w:val="0"/>
              <w:jc w:val="center"/>
              <w:rPr>
                <w:b/>
              </w:rPr>
            </w:pPr>
          </w:p>
        </w:tc>
        <w:tc>
          <w:tcPr>
            <w:tcW w:w="1077" w:type="dxa"/>
            <w:tcBorders>
              <w:top w:val="dashed" w:sz="4" w:space="0" w:color="auto"/>
            </w:tcBorders>
            <w:vAlign w:val="center"/>
          </w:tcPr>
          <w:p w14:paraId="460C9090" w14:textId="5EB0A3C2" w:rsidR="00C46D25" w:rsidRPr="00770169" w:rsidRDefault="00C46D25" w:rsidP="00770169">
            <w:pPr>
              <w:widowControl w:val="0"/>
              <w:autoSpaceDE w:val="0"/>
              <w:autoSpaceDN w:val="0"/>
              <w:adjustRightInd w:val="0"/>
              <w:jc w:val="center"/>
            </w:pPr>
            <w:r w:rsidRPr="00770169">
              <w:t>Diastolic</w:t>
            </w:r>
          </w:p>
        </w:tc>
        <w:tc>
          <w:tcPr>
            <w:tcW w:w="833" w:type="dxa"/>
            <w:tcBorders>
              <w:top w:val="dashed" w:sz="4" w:space="0" w:color="auto"/>
            </w:tcBorders>
          </w:tcPr>
          <w:p w14:paraId="6B12C6D7" w14:textId="77777777" w:rsidR="00C46D25" w:rsidRPr="00335424" w:rsidRDefault="00C46D25" w:rsidP="00335424">
            <w:pPr>
              <w:widowControl w:val="0"/>
              <w:autoSpaceDE w:val="0"/>
              <w:autoSpaceDN w:val="0"/>
              <w:adjustRightInd w:val="0"/>
              <w:rPr>
                <w:b/>
              </w:rPr>
            </w:pPr>
          </w:p>
        </w:tc>
        <w:tc>
          <w:tcPr>
            <w:tcW w:w="832" w:type="dxa"/>
            <w:tcBorders>
              <w:top w:val="dashed" w:sz="4" w:space="0" w:color="auto"/>
            </w:tcBorders>
          </w:tcPr>
          <w:p w14:paraId="4A6320D6" w14:textId="77777777" w:rsidR="00C46D25" w:rsidRPr="00335424" w:rsidRDefault="00C46D25" w:rsidP="00335424">
            <w:pPr>
              <w:widowControl w:val="0"/>
              <w:autoSpaceDE w:val="0"/>
              <w:autoSpaceDN w:val="0"/>
              <w:adjustRightInd w:val="0"/>
              <w:rPr>
                <w:b/>
              </w:rPr>
            </w:pPr>
          </w:p>
        </w:tc>
        <w:tc>
          <w:tcPr>
            <w:tcW w:w="833" w:type="dxa"/>
            <w:tcBorders>
              <w:top w:val="dashed" w:sz="4" w:space="0" w:color="auto"/>
            </w:tcBorders>
          </w:tcPr>
          <w:p w14:paraId="57EF9FF6" w14:textId="77777777" w:rsidR="00C46D25" w:rsidRPr="00335424" w:rsidRDefault="00C46D25" w:rsidP="00335424">
            <w:pPr>
              <w:widowControl w:val="0"/>
              <w:autoSpaceDE w:val="0"/>
              <w:autoSpaceDN w:val="0"/>
              <w:adjustRightInd w:val="0"/>
              <w:rPr>
                <w:b/>
              </w:rPr>
            </w:pPr>
          </w:p>
        </w:tc>
        <w:tc>
          <w:tcPr>
            <w:tcW w:w="861" w:type="dxa"/>
            <w:tcBorders>
              <w:top w:val="dashed" w:sz="4" w:space="0" w:color="auto"/>
            </w:tcBorders>
          </w:tcPr>
          <w:p w14:paraId="1ED881A0" w14:textId="77777777" w:rsidR="00C46D25" w:rsidRPr="00335424" w:rsidRDefault="00C46D25" w:rsidP="00335424">
            <w:pPr>
              <w:widowControl w:val="0"/>
              <w:autoSpaceDE w:val="0"/>
              <w:autoSpaceDN w:val="0"/>
              <w:adjustRightInd w:val="0"/>
              <w:rPr>
                <w:b/>
              </w:rPr>
            </w:pPr>
          </w:p>
        </w:tc>
        <w:tc>
          <w:tcPr>
            <w:tcW w:w="878" w:type="dxa"/>
            <w:tcBorders>
              <w:top w:val="dashed" w:sz="4" w:space="0" w:color="auto"/>
            </w:tcBorders>
          </w:tcPr>
          <w:p w14:paraId="72F1A81F" w14:textId="77777777" w:rsidR="00C46D25" w:rsidRPr="00335424" w:rsidRDefault="00C46D25" w:rsidP="00335424">
            <w:pPr>
              <w:widowControl w:val="0"/>
              <w:autoSpaceDE w:val="0"/>
              <w:autoSpaceDN w:val="0"/>
              <w:adjustRightInd w:val="0"/>
              <w:rPr>
                <w:b/>
              </w:rPr>
            </w:pPr>
          </w:p>
        </w:tc>
        <w:tc>
          <w:tcPr>
            <w:tcW w:w="810" w:type="dxa"/>
            <w:tcBorders>
              <w:top w:val="dashed" w:sz="4" w:space="0" w:color="auto"/>
            </w:tcBorders>
          </w:tcPr>
          <w:p w14:paraId="3BCB94AA" w14:textId="77777777" w:rsidR="00C46D25" w:rsidRPr="00335424" w:rsidRDefault="00C46D25" w:rsidP="00335424">
            <w:pPr>
              <w:widowControl w:val="0"/>
              <w:autoSpaceDE w:val="0"/>
              <w:autoSpaceDN w:val="0"/>
              <w:adjustRightInd w:val="0"/>
              <w:rPr>
                <w:b/>
              </w:rPr>
            </w:pPr>
          </w:p>
        </w:tc>
        <w:tc>
          <w:tcPr>
            <w:tcW w:w="900" w:type="dxa"/>
            <w:tcBorders>
              <w:top w:val="dashed" w:sz="4" w:space="0" w:color="auto"/>
            </w:tcBorders>
          </w:tcPr>
          <w:p w14:paraId="0C130AB6" w14:textId="77777777" w:rsidR="00C46D25" w:rsidRPr="00335424" w:rsidRDefault="00C46D25" w:rsidP="00335424">
            <w:pPr>
              <w:widowControl w:val="0"/>
              <w:autoSpaceDE w:val="0"/>
              <w:autoSpaceDN w:val="0"/>
              <w:adjustRightInd w:val="0"/>
              <w:rPr>
                <w:b/>
              </w:rPr>
            </w:pPr>
          </w:p>
        </w:tc>
        <w:tc>
          <w:tcPr>
            <w:tcW w:w="1080" w:type="dxa"/>
            <w:tcBorders>
              <w:top w:val="dashed" w:sz="4" w:space="0" w:color="auto"/>
            </w:tcBorders>
          </w:tcPr>
          <w:p w14:paraId="658E8627" w14:textId="77777777" w:rsidR="00C46D25" w:rsidRPr="00335424" w:rsidRDefault="00C46D25" w:rsidP="00335424">
            <w:pPr>
              <w:widowControl w:val="0"/>
              <w:autoSpaceDE w:val="0"/>
              <w:autoSpaceDN w:val="0"/>
              <w:adjustRightInd w:val="0"/>
              <w:rPr>
                <w:b/>
              </w:rPr>
            </w:pPr>
          </w:p>
        </w:tc>
      </w:tr>
      <w:tr w:rsidR="00C46D25" w14:paraId="1AB4CAD8" w14:textId="77777777" w:rsidTr="00770169">
        <w:tc>
          <w:tcPr>
            <w:tcW w:w="801" w:type="dxa"/>
            <w:vMerge/>
            <w:vAlign w:val="center"/>
          </w:tcPr>
          <w:p w14:paraId="6F3E8687" w14:textId="77777777" w:rsidR="00C46D25" w:rsidRDefault="00C46D25" w:rsidP="00335424">
            <w:pPr>
              <w:widowControl w:val="0"/>
              <w:autoSpaceDE w:val="0"/>
              <w:autoSpaceDN w:val="0"/>
              <w:adjustRightInd w:val="0"/>
              <w:jc w:val="center"/>
              <w:rPr>
                <w:b/>
              </w:rPr>
            </w:pPr>
          </w:p>
        </w:tc>
        <w:tc>
          <w:tcPr>
            <w:tcW w:w="1077" w:type="dxa"/>
            <w:tcBorders>
              <w:top w:val="dashed" w:sz="4" w:space="0" w:color="auto"/>
            </w:tcBorders>
            <w:vAlign w:val="center"/>
          </w:tcPr>
          <w:p w14:paraId="6A118659" w14:textId="77777777" w:rsidR="00C46D25" w:rsidRPr="00770169" w:rsidRDefault="00C46D25" w:rsidP="00770169">
            <w:pPr>
              <w:widowControl w:val="0"/>
              <w:autoSpaceDE w:val="0"/>
              <w:autoSpaceDN w:val="0"/>
              <w:adjustRightInd w:val="0"/>
              <w:jc w:val="center"/>
            </w:pPr>
            <w:r w:rsidRPr="00770169">
              <w:t>Activity</w:t>
            </w:r>
          </w:p>
          <w:p w14:paraId="4CBBE5E0" w14:textId="77777777" w:rsidR="00C46D25" w:rsidRPr="00770169" w:rsidRDefault="00C46D25" w:rsidP="00770169">
            <w:pPr>
              <w:widowControl w:val="0"/>
              <w:autoSpaceDE w:val="0"/>
              <w:autoSpaceDN w:val="0"/>
              <w:adjustRightInd w:val="0"/>
              <w:jc w:val="center"/>
            </w:pPr>
          </w:p>
        </w:tc>
        <w:tc>
          <w:tcPr>
            <w:tcW w:w="833" w:type="dxa"/>
            <w:tcBorders>
              <w:top w:val="dashed" w:sz="4" w:space="0" w:color="auto"/>
            </w:tcBorders>
          </w:tcPr>
          <w:p w14:paraId="5F6E8D87" w14:textId="77777777" w:rsidR="00C46D25" w:rsidRPr="00335424" w:rsidRDefault="00C46D25" w:rsidP="00335424">
            <w:pPr>
              <w:widowControl w:val="0"/>
              <w:autoSpaceDE w:val="0"/>
              <w:autoSpaceDN w:val="0"/>
              <w:adjustRightInd w:val="0"/>
              <w:rPr>
                <w:b/>
              </w:rPr>
            </w:pPr>
          </w:p>
        </w:tc>
        <w:tc>
          <w:tcPr>
            <w:tcW w:w="832" w:type="dxa"/>
            <w:tcBorders>
              <w:top w:val="dashed" w:sz="4" w:space="0" w:color="auto"/>
            </w:tcBorders>
          </w:tcPr>
          <w:p w14:paraId="2F385500" w14:textId="77777777" w:rsidR="00C46D25" w:rsidRPr="00335424" w:rsidRDefault="00C46D25" w:rsidP="00335424">
            <w:pPr>
              <w:widowControl w:val="0"/>
              <w:autoSpaceDE w:val="0"/>
              <w:autoSpaceDN w:val="0"/>
              <w:adjustRightInd w:val="0"/>
              <w:rPr>
                <w:b/>
              </w:rPr>
            </w:pPr>
          </w:p>
        </w:tc>
        <w:tc>
          <w:tcPr>
            <w:tcW w:w="833" w:type="dxa"/>
            <w:tcBorders>
              <w:top w:val="dashed" w:sz="4" w:space="0" w:color="auto"/>
            </w:tcBorders>
          </w:tcPr>
          <w:p w14:paraId="1F21BC7D" w14:textId="77777777" w:rsidR="00C46D25" w:rsidRPr="00335424" w:rsidRDefault="00C46D25" w:rsidP="00335424">
            <w:pPr>
              <w:widowControl w:val="0"/>
              <w:autoSpaceDE w:val="0"/>
              <w:autoSpaceDN w:val="0"/>
              <w:adjustRightInd w:val="0"/>
              <w:rPr>
                <w:b/>
              </w:rPr>
            </w:pPr>
          </w:p>
        </w:tc>
        <w:tc>
          <w:tcPr>
            <w:tcW w:w="861" w:type="dxa"/>
            <w:tcBorders>
              <w:top w:val="dashed" w:sz="4" w:space="0" w:color="auto"/>
            </w:tcBorders>
          </w:tcPr>
          <w:p w14:paraId="6C48D8EE" w14:textId="77777777" w:rsidR="00C46D25" w:rsidRPr="00335424" w:rsidRDefault="00C46D25" w:rsidP="00335424">
            <w:pPr>
              <w:widowControl w:val="0"/>
              <w:autoSpaceDE w:val="0"/>
              <w:autoSpaceDN w:val="0"/>
              <w:adjustRightInd w:val="0"/>
              <w:rPr>
                <w:b/>
              </w:rPr>
            </w:pPr>
          </w:p>
        </w:tc>
        <w:tc>
          <w:tcPr>
            <w:tcW w:w="878" w:type="dxa"/>
            <w:tcBorders>
              <w:top w:val="dashed" w:sz="4" w:space="0" w:color="auto"/>
            </w:tcBorders>
          </w:tcPr>
          <w:p w14:paraId="41B71447" w14:textId="77777777" w:rsidR="00C46D25" w:rsidRPr="00335424" w:rsidRDefault="00C46D25" w:rsidP="00335424">
            <w:pPr>
              <w:widowControl w:val="0"/>
              <w:autoSpaceDE w:val="0"/>
              <w:autoSpaceDN w:val="0"/>
              <w:adjustRightInd w:val="0"/>
              <w:rPr>
                <w:b/>
              </w:rPr>
            </w:pPr>
          </w:p>
        </w:tc>
        <w:tc>
          <w:tcPr>
            <w:tcW w:w="810" w:type="dxa"/>
            <w:tcBorders>
              <w:top w:val="dashed" w:sz="4" w:space="0" w:color="auto"/>
            </w:tcBorders>
          </w:tcPr>
          <w:p w14:paraId="2791BE56" w14:textId="77777777" w:rsidR="00C46D25" w:rsidRPr="00335424" w:rsidRDefault="00C46D25" w:rsidP="00335424">
            <w:pPr>
              <w:widowControl w:val="0"/>
              <w:autoSpaceDE w:val="0"/>
              <w:autoSpaceDN w:val="0"/>
              <w:adjustRightInd w:val="0"/>
              <w:rPr>
                <w:b/>
              </w:rPr>
            </w:pPr>
          </w:p>
        </w:tc>
        <w:tc>
          <w:tcPr>
            <w:tcW w:w="900" w:type="dxa"/>
            <w:tcBorders>
              <w:top w:val="dashed" w:sz="4" w:space="0" w:color="auto"/>
            </w:tcBorders>
          </w:tcPr>
          <w:p w14:paraId="1D3FBB37" w14:textId="77777777" w:rsidR="00C46D25" w:rsidRPr="00335424" w:rsidRDefault="00C46D25" w:rsidP="00335424">
            <w:pPr>
              <w:widowControl w:val="0"/>
              <w:autoSpaceDE w:val="0"/>
              <w:autoSpaceDN w:val="0"/>
              <w:adjustRightInd w:val="0"/>
              <w:rPr>
                <w:b/>
              </w:rPr>
            </w:pPr>
          </w:p>
        </w:tc>
        <w:tc>
          <w:tcPr>
            <w:tcW w:w="1080" w:type="dxa"/>
            <w:tcBorders>
              <w:top w:val="dashed" w:sz="4" w:space="0" w:color="auto"/>
            </w:tcBorders>
          </w:tcPr>
          <w:p w14:paraId="30FDFBE2" w14:textId="77777777" w:rsidR="00C46D25" w:rsidRPr="00335424" w:rsidRDefault="00C46D25" w:rsidP="00335424">
            <w:pPr>
              <w:widowControl w:val="0"/>
              <w:autoSpaceDE w:val="0"/>
              <w:autoSpaceDN w:val="0"/>
              <w:adjustRightInd w:val="0"/>
              <w:rPr>
                <w:b/>
              </w:rPr>
            </w:pPr>
          </w:p>
        </w:tc>
      </w:tr>
      <w:tr w:rsidR="00C46D25" w14:paraId="702B5281" w14:textId="27BD78E3" w:rsidTr="00770169">
        <w:tc>
          <w:tcPr>
            <w:tcW w:w="801" w:type="dxa"/>
            <w:vMerge w:val="restart"/>
            <w:vAlign w:val="center"/>
          </w:tcPr>
          <w:p w14:paraId="710E24A2" w14:textId="2111B6B5" w:rsidR="00C46D25" w:rsidRDefault="00C46D25" w:rsidP="00335424">
            <w:pPr>
              <w:widowControl w:val="0"/>
              <w:autoSpaceDE w:val="0"/>
              <w:autoSpaceDN w:val="0"/>
              <w:adjustRightInd w:val="0"/>
              <w:jc w:val="center"/>
              <w:rPr>
                <w:b/>
              </w:rPr>
            </w:pPr>
            <w:r>
              <w:rPr>
                <w:b/>
              </w:rPr>
              <w:t>Week 6</w:t>
            </w:r>
          </w:p>
        </w:tc>
        <w:tc>
          <w:tcPr>
            <w:tcW w:w="1077" w:type="dxa"/>
            <w:tcBorders>
              <w:bottom w:val="dashed" w:sz="4" w:space="0" w:color="auto"/>
            </w:tcBorders>
            <w:vAlign w:val="center"/>
          </w:tcPr>
          <w:p w14:paraId="46A04BC5" w14:textId="4E652139" w:rsidR="00C46D25" w:rsidRPr="00770169" w:rsidRDefault="00C46D25" w:rsidP="00770169">
            <w:pPr>
              <w:widowControl w:val="0"/>
              <w:autoSpaceDE w:val="0"/>
              <w:autoSpaceDN w:val="0"/>
              <w:adjustRightInd w:val="0"/>
              <w:jc w:val="center"/>
            </w:pPr>
            <w:r w:rsidRPr="00770169">
              <w:t>Systolic</w:t>
            </w:r>
          </w:p>
        </w:tc>
        <w:tc>
          <w:tcPr>
            <w:tcW w:w="833" w:type="dxa"/>
            <w:tcBorders>
              <w:bottom w:val="dashed" w:sz="4" w:space="0" w:color="auto"/>
            </w:tcBorders>
          </w:tcPr>
          <w:p w14:paraId="0E879438" w14:textId="77777777" w:rsidR="00C46D25" w:rsidRPr="00335424" w:rsidRDefault="00C46D25" w:rsidP="00335424">
            <w:pPr>
              <w:widowControl w:val="0"/>
              <w:autoSpaceDE w:val="0"/>
              <w:autoSpaceDN w:val="0"/>
              <w:adjustRightInd w:val="0"/>
              <w:rPr>
                <w:b/>
              </w:rPr>
            </w:pPr>
          </w:p>
        </w:tc>
        <w:tc>
          <w:tcPr>
            <w:tcW w:w="832" w:type="dxa"/>
            <w:tcBorders>
              <w:bottom w:val="dashed" w:sz="4" w:space="0" w:color="auto"/>
            </w:tcBorders>
          </w:tcPr>
          <w:p w14:paraId="024DDF0C" w14:textId="77777777" w:rsidR="00C46D25" w:rsidRPr="00335424" w:rsidRDefault="00C46D25" w:rsidP="00335424">
            <w:pPr>
              <w:widowControl w:val="0"/>
              <w:autoSpaceDE w:val="0"/>
              <w:autoSpaceDN w:val="0"/>
              <w:adjustRightInd w:val="0"/>
              <w:rPr>
                <w:b/>
              </w:rPr>
            </w:pPr>
          </w:p>
        </w:tc>
        <w:tc>
          <w:tcPr>
            <w:tcW w:w="833" w:type="dxa"/>
            <w:tcBorders>
              <w:bottom w:val="dashed" w:sz="4" w:space="0" w:color="auto"/>
            </w:tcBorders>
          </w:tcPr>
          <w:p w14:paraId="00727367" w14:textId="77777777" w:rsidR="00C46D25" w:rsidRPr="00335424" w:rsidRDefault="00C46D25" w:rsidP="00335424">
            <w:pPr>
              <w:widowControl w:val="0"/>
              <w:autoSpaceDE w:val="0"/>
              <w:autoSpaceDN w:val="0"/>
              <w:adjustRightInd w:val="0"/>
              <w:rPr>
                <w:b/>
              </w:rPr>
            </w:pPr>
          </w:p>
        </w:tc>
        <w:tc>
          <w:tcPr>
            <w:tcW w:w="861" w:type="dxa"/>
            <w:tcBorders>
              <w:bottom w:val="dashed" w:sz="4" w:space="0" w:color="auto"/>
            </w:tcBorders>
          </w:tcPr>
          <w:p w14:paraId="41C1F80F" w14:textId="77777777" w:rsidR="00C46D25" w:rsidRPr="00335424" w:rsidRDefault="00C46D25" w:rsidP="00335424">
            <w:pPr>
              <w:widowControl w:val="0"/>
              <w:autoSpaceDE w:val="0"/>
              <w:autoSpaceDN w:val="0"/>
              <w:adjustRightInd w:val="0"/>
              <w:rPr>
                <w:b/>
              </w:rPr>
            </w:pPr>
          </w:p>
        </w:tc>
        <w:tc>
          <w:tcPr>
            <w:tcW w:w="878" w:type="dxa"/>
            <w:tcBorders>
              <w:bottom w:val="dashed" w:sz="4" w:space="0" w:color="auto"/>
            </w:tcBorders>
          </w:tcPr>
          <w:p w14:paraId="4956266B" w14:textId="77777777" w:rsidR="00C46D25" w:rsidRPr="00335424" w:rsidRDefault="00C46D25" w:rsidP="00335424">
            <w:pPr>
              <w:widowControl w:val="0"/>
              <w:autoSpaceDE w:val="0"/>
              <w:autoSpaceDN w:val="0"/>
              <w:adjustRightInd w:val="0"/>
              <w:rPr>
                <w:b/>
              </w:rPr>
            </w:pPr>
          </w:p>
        </w:tc>
        <w:tc>
          <w:tcPr>
            <w:tcW w:w="810" w:type="dxa"/>
            <w:tcBorders>
              <w:bottom w:val="dashed" w:sz="4" w:space="0" w:color="auto"/>
            </w:tcBorders>
          </w:tcPr>
          <w:p w14:paraId="090CAED7" w14:textId="77777777" w:rsidR="00C46D25" w:rsidRPr="00335424" w:rsidRDefault="00C46D25" w:rsidP="00335424">
            <w:pPr>
              <w:widowControl w:val="0"/>
              <w:autoSpaceDE w:val="0"/>
              <w:autoSpaceDN w:val="0"/>
              <w:adjustRightInd w:val="0"/>
              <w:rPr>
                <w:b/>
              </w:rPr>
            </w:pPr>
          </w:p>
        </w:tc>
        <w:tc>
          <w:tcPr>
            <w:tcW w:w="900" w:type="dxa"/>
            <w:tcBorders>
              <w:bottom w:val="dashed" w:sz="4" w:space="0" w:color="auto"/>
            </w:tcBorders>
          </w:tcPr>
          <w:p w14:paraId="469C2B06" w14:textId="77777777" w:rsidR="00C46D25" w:rsidRPr="00335424" w:rsidRDefault="00C46D25" w:rsidP="00335424">
            <w:pPr>
              <w:widowControl w:val="0"/>
              <w:autoSpaceDE w:val="0"/>
              <w:autoSpaceDN w:val="0"/>
              <w:adjustRightInd w:val="0"/>
              <w:rPr>
                <w:b/>
              </w:rPr>
            </w:pPr>
          </w:p>
        </w:tc>
        <w:tc>
          <w:tcPr>
            <w:tcW w:w="1080" w:type="dxa"/>
            <w:tcBorders>
              <w:bottom w:val="dashed" w:sz="4" w:space="0" w:color="auto"/>
            </w:tcBorders>
          </w:tcPr>
          <w:p w14:paraId="2AD35377" w14:textId="77777777" w:rsidR="00C46D25" w:rsidRPr="00335424" w:rsidRDefault="00C46D25" w:rsidP="00335424">
            <w:pPr>
              <w:widowControl w:val="0"/>
              <w:autoSpaceDE w:val="0"/>
              <w:autoSpaceDN w:val="0"/>
              <w:adjustRightInd w:val="0"/>
              <w:rPr>
                <w:b/>
              </w:rPr>
            </w:pPr>
          </w:p>
        </w:tc>
      </w:tr>
      <w:tr w:rsidR="00C46D25" w14:paraId="0F12277C" w14:textId="0835BC26" w:rsidTr="00770169">
        <w:tc>
          <w:tcPr>
            <w:tcW w:w="801" w:type="dxa"/>
            <w:vMerge/>
            <w:vAlign w:val="center"/>
          </w:tcPr>
          <w:p w14:paraId="039E58F9" w14:textId="77777777" w:rsidR="00C46D25" w:rsidRDefault="00C46D25" w:rsidP="00335424">
            <w:pPr>
              <w:widowControl w:val="0"/>
              <w:autoSpaceDE w:val="0"/>
              <w:autoSpaceDN w:val="0"/>
              <w:adjustRightInd w:val="0"/>
              <w:jc w:val="center"/>
              <w:rPr>
                <w:b/>
              </w:rPr>
            </w:pPr>
          </w:p>
        </w:tc>
        <w:tc>
          <w:tcPr>
            <w:tcW w:w="1077" w:type="dxa"/>
            <w:tcBorders>
              <w:top w:val="dashed" w:sz="4" w:space="0" w:color="auto"/>
            </w:tcBorders>
            <w:vAlign w:val="center"/>
          </w:tcPr>
          <w:p w14:paraId="6CC7F869" w14:textId="18B87255" w:rsidR="00C46D25" w:rsidRPr="00770169" w:rsidRDefault="00C46D25" w:rsidP="00770169">
            <w:pPr>
              <w:widowControl w:val="0"/>
              <w:autoSpaceDE w:val="0"/>
              <w:autoSpaceDN w:val="0"/>
              <w:adjustRightInd w:val="0"/>
              <w:jc w:val="center"/>
            </w:pPr>
            <w:r w:rsidRPr="00770169">
              <w:t>Diastolic</w:t>
            </w:r>
          </w:p>
        </w:tc>
        <w:tc>
          <w:tcPr>
            <w:tcW w:w="833" w:type="dxa"/>
            <w:tcBorders>
              <w:top w:val="dashed" w:sz="4" w:space="0" w:color="auto"/>
            </w:tcBorders>
          </w:tcPr>
          <w:p w14:paraId="4E91B793" w14:textId="77777777" w:rsidR="00C46D25" w:rsidRPr="00335424" w:rsidRDefault="00C46D25" w:rsidP="00335424">
            <w:pPr>
              <w:widowControl w:val="0"/>
              <w:autoSpaceDE w:val="0"/>
              <w:autoSpaceDN w:val="0"/>
              <w:adjustRightInd w:val="0"/>
              <w:rPr>
                <w:b/>
              </w:rPr>
            </w:pPr>
          </w:p>
        </w:tc>
        <w:tc>
          <w:tcPr>
            <w:tcW w:w="832" w:type="dxa"/>
            <w:tcBorders>
              <w:top w:val="dashed" w:sz="4" w:space="0" w:color="auto"/>
            </w:tcBorders>
          </w:tcPr>
          <w:p w14:paraId="473C5DBD" w14:textId="77777777" w:rsidR="00C46D25" w:rsidRPr="00335424" w:rsidRDefault="00C46D25" w:rsidP="00335424">
            <w:pPr>
              <w:widowControl w:val="0"/>
              <w:autoSpaceDE w:val="0"/>
              <w:autoSpaceDN w:val="0"/>
              <w:adjustRightInd w:val="0"/>
              <w:rPr>
                <w:b/>
              </w:rPr>
            </w:pPr>
          </w:p>
        </w:tc>
        <w:tc>
          <w:tcPr>
            <w:tcW w:w="833" w:type="dxa"/>
            <w:tcBorders>
              <w:top w:val="dashed" w:sz="4" w:space="0" w:color="auto"/>
            </w:tcBorders>
          </w:tcPr>
          <w:p w14:paraId="71E5059B" w14:textId="77777777" w:rsidR="00C46D25" w:rsidRPr="00335424" w:rsidRDefault="00C46D25" w:rsidP="00335424">
            <w:pPr>
              <w:widowControl w:val="0"/>
              <w:autoSpaceDE w:val="0"/>
              <w:autoSpaceDN w:val="0"/>
              <w:adjustRightInd w:val="0"/>
              <w:rPr>
                <w:b/>
              </w:rPr>
            </w:pPr>
          </w:p>
        </w:tc>
        <w:tc>
          <w:tcPr>
            <w:tcW w:w="861" w:type="dxa"/>
            <w:tcBorders>
              <w:top w:val="dashed" w:sz="4" w:space="0" w:color="auto"/>
            </w:tcBorders>
          </w:tcPr>
          <w:p w14:paraId="7A15055D" w14:textId="77777777" w:rsidR="00C46D25" w:rsidRPr="00335424" w:rsidRDefault="00C46D25" w:rsidP="00335424">
            <w:pPr>
              <w:widowControl w:val="0"/>
              <w:autoSpaceDE w:val="0"/>
              <w:autoSpaceDN w:val="0"/>
              <w:adjustRightInd w:val="0"/>
              <w:rPr>
                <w:b/>
              </w:rPr>
            </w:pPr>
          </w:p>
        </w:tc>
        <w:tc>
          <w:tcPr>
            <w:tcW w:w="878" w:type="dxa"/>
            <w:tcBorders>
              <w:top w:val="dashed" w:sz="4" w:space="0" w:color="auto"/>
            </w:tcBorders>
          </w:tcPr>
          <w:p w14:paraId="137BBCF2" w14:textId="77777777" w:rsidR="00C46D25" w:rsidRPr="00335424" w:rsidRDefault="00C46D25" w:rsidP="00335424">
            <w:pPr>
              <w:widowControl w:val="0"/>
              <w:autoSpaceDE w:val="0"/>
              <w:autoSpaceDN w:val="0"/>
              <w:adjustRightInd w:val="0"/>
              <w:rPr>
                <w:b/>
              </w:rPr>
            </w:pPr>
          </w:p>
        </w:tc>
        <w:tc>
          <w:tcPr>
            <w:tcW w:w="810" w:type="dxa"/>
            <w:tcBorders>
              <w:top w:val="dashed" w:sz="4" w:space="0" w:color="auto"/>
            </w:tcBorders>
          </w:tcPr>
          <w:p w14:paraId="0D0C42A5" w14:textId="77777777" w:rsidR="00C46D25" w:rsidRPr="00335424" w:rsidRDefault="00C46D25" w:rsidP="00335424">
            <w:pPr>
              <w:widowControl w:val="0"/>
              <w:autoSpaceDE w:val="0"/>
              <w:autoSpaceDN w:val="0"/>
              <w:adjustRightInd w:val="0"/>
              <w:rPr>
                <w:b/>
              </w:rPr>
            </w:pPr>
          </w:p>
        </w:tc>
        <w:tc>
          <w:tcPr>
            <w:tcW w:w="900" w:type="dxa"/>
            <w:tcBorders>
              <w:top w:val="dashed" w:sz="4" w:space="0" w:color="auto"/>
            </w:tcBorders>
          </w:tcPr>
          <w:p w14:paraId="2A65664B" w14:textId="77777777" w:rsidR="00C46D25" w:rsidRPr="00335424" w:rsidRDefault="00C46D25" w:rsidP="00335424">
            <w:pPr>
              <w:widowControl w:val="0"/>
              <w:autoSpaceDE w:val="0"/>
              <w:autoSpaceDN w:val="0"/>
              <w:adjustRightInd w:val="0"/>
              <w:rPr>
                <w:b/>
              </w:rPr>
            </w:pPr>
          </w:p>
        </w:tc>
        <w:tc>
          <w:tcPr>
            <w:tcW w:w="1080" w:type="dxa"/>
            <w:tcBorders>
              <w:top w:val="dashed" w:sz="4" w:space="0" w:color="auto"/>
            </w:tcBorders>
          </w:tcPr>
          <w:p w14:paraId="107FAEF6" w14:textId="77777777" w:rsidR="00C46D25" w:rsidRPr="00335424" w:rsidRDefault="00C46D25" w:rsidP="00335424">
            <w:pPr>
              <w:widowControl w:val="0"/>
              <w:autoSpaceDE w:val="0"/>
              <w:autoSpaceDN w:val="0"/>
              <w:adjustRightInd w:val="0"/>
              <w:rPr>
                <w:b/>
              </w:rPr>
            </w:pPr>
          </w:p>
        </w:tc>
      </w:tr>
      <w:tr w:rsidR="00C46D25" w14:paraId="0AC7C6E1" w14:textId="77777777" w:rsidTr="00770169">
        <w:tc>
          <w:tcPr>
            <w:tcW w:w="801" w:type="dxa"/>
            <w:vMerge/>
            <w:vAlign w:val="center"/>
          </w:tcPr>
          <w:p w14:paraId="489C7669" w14:textId="77777777" w:rsidR="00C46D25" w:rsidRDefault="00C46D25" w:rsidP="00335424">
            <w:pPr>
              <w:widowControl w:val="0"/>
              <w:autoSpaceDE w:val="0"/>
              <w:autoSpaceDN w:val="0"/>
              <w:adjustRightInd w:val="0"/>
              <w:jc w:val="center"/>
              <w:rPr>
                <w:b/>
              </w:rPr>
            </w:pPr>
          </w:p>
        </w:tc>
        <w:tc>
          <w:tcPr>
            <w:tcW w:w="1077" w:type="dxa"/>
            <w:tcBorders>
              <w:top w:val="dashed" w:sz="4" w:space="0" w:color="auto"/>
            </w:tcBorders>
            <w:vAlign w:val="center"/>
          </w:tcPr>
          <w:p w14:paraId="0011B1FF" w14:textId="77777777" w:rsidR="00C46D25" w:rsidRPr="00770169" w:rsidRDefault="00C46D25" w:rsidP="00770169">
            <w:pPr>
              <w:widowControl w:val="0"/>
              <w:autoSpaceDE w:val="0"/>
              <w:autoSpaceDN w:val="0"/>
              <w:adjustRightInd w:val="0"/>
              <w:jc w:val="center"/>
            </w:pPr>
            <w:r w:rsidRPr="00770169">
              <w:t>Activity</w:t>
            </w:r>
          </w:p>
          <w:p w14:paraId="35776F90" w14:textId="77777777" w:rsidR="00C46D25" w:rsidRPr="00770169" w:rsidRDefault="00C46D25" w:rsidP="00770169">
            <w:pPr>
              <w:widowControl w:val="0"/>
              <w:autoSpaceDE w:val="0"/>
              <w:autoSpaceDN w:val="0"/>
              <w:adjustRightInd w:val="0"/>
              <w:jc w:val="center"/>
            </w:pPr>
          </w:p>
        </w:tc>
        <w:tc>
          <w:tcPr>
            <w:tcW w:w="833" w:type="dxa"/>
            <w:tcBorders>
              <w:top w:val="dashed" w:sz="4" w:space="0" w:color="auto"/>
            </w:tcBorders>
          </w:tcPr>
          <w:p w14:paraId="41FFC3D9" w14:textId="77777777" w:rsidR="00C46D25" w:rsidRPr="00335424" w:rsidRDefault="00C46D25" w:rsidP="00335424">
            <w:pPr>
              <w:widowControl w:val="0"/>
              <w:autoSpaceDE w:val="0"/>
              <w:autoSpaceDN w:val="0"/>
              <w:adjustRightInd w:val="0"/>
              <w:rPr>
                <w:b/>
              </w:rPr>
            </w:pPr>
          </w:p>
        </w:tc>
        <w:tc>
          <w:tcPr>
            <w:tcW w:w="832" w:type="dxa"/>
            <w:tcBorders>
              <w:top w:val="dashed" w:sz="4" w:space="0" w:color="auto"/>
            </w:tcBorders>
          </w:tcPr>
          <w:p w14:paraId="0C094230" w14:textId="77777777" w:rsidR="00C46D25" w:rsidRPr="00335424" w:rsidRDefault="00C46D25" w:rsidP="00335424">
            <w:pPr>
              <w:widowControl w:val="0"/>
              <w:autoSpaceDE w:val="0"/>
              <w:autoSpaceDN w:val="0"/>
              <w:adjustRightInd w:val="0"/>
              <w:rPr>
                <w:b/>
              </w:rPr>
            </w:pPr>
          </w:p>
        </w:tc>
        <w:tc>
          <w:tcPr>
            <w:tcW w:w="833" w:type="dxa"/>
            <w:tcBorders>
              <w:top w:val="dashed" w:sz="4" w:space="0" w:color="auto"/>
            </w:tcBorders>
          </w:tcPr>
          <w:p w14:paraId="5A3CE38F" w14:textId="77777777" w:rsidR="00C46D25" w:rsidRPr="00335424" w:rsidRDefault="00C46D25" w:rsidP="00335424">
            <w:pPr>
              <w:widowControl w:val="0"/>
              <w:autoSpaceDE w:val="0"/>
              <w:autoSpaceDN w:val="0"/>
              <w:adjustRightInd w:val="0"/>
              <w:rPr>
                <w:b/>
              </w:rPr>
            </w:pPr>
          </w:p>
        </w:tc>
        <w:tc>
          <w:tcPr>
            <w:tcW w:w="861" w:type="dxa"/>
            <w:tcBorders>
              <w:top w:val="dashed" w:sz="4" w:space="0" w:color="auto"/>
            </w:tcBorders>
          </w:tcPr>
          <w:p w14:paraId="6CF2C0A9" w14:textId="77777777" w:rsidR="00C46D25" w:rsidRPr="00335424" w:rsidRDefault="00C46D25" w:rsidP="00335424">
            <w:pPr>
              <w:widowControl w:val="0"/>
              <w:autoSpaceDE w:val="0"/>
              <w:autoSpaceDN w:val="0"/>
              <w:adjustRightInd w:val="0"/>
              <w:rPr>
                <w:b/>
              </w:rPr>
            </w:pPr>
          </w:p>
        </w:tc>
        <w:tc>
          <w:tcPr>
            <w:tcW w:w="878" w:type="dxa"/>
            <w:tcBorders>
              <w:top w:val="dashed" w:sz="4" w:space="0" w:color="auto"/>
            </w:tcBorders>
          </w:tcPr>
          <w:p w14:paraId="37D5F9D3" w14:textId="77777777" w:rsidR="00C46D25" w:rsidRPr="00335424" w:rsidRDefault="00C46D25" w:rsidP="00335424">
            <w:pPr>
              <w:widowControl w:val="0"/>
              <w:autoSpaceDE w:val="0"/>
              <w:autoSpaceDN w:val="0"/>
              <w:adjustRightInd w:val="0"/>
              <w:rPr>
                <w:b/>
              </w:rPr>
            </w:pPr>
          </w:p>
        </w:tc>
        <w:tc>
          <w:tcPr>
            <w:tcW w:w="810" w:type="dxa"/>
            <w:tcBorders>
              <w:top w:val="dashed" w:sz="4" w:space="0" w:color="auto"/>
            </w:tcBorders>
          </w:tcPr>
          <w:p w14:paraId="26DDD2D2" w14:textId="77777777" w:rsidR="00C46D25" w:rsidRPr="00335424" w:rsidRDefault="00C46D25" w:rsidP="00335424">
            <w:pPr>
              <w:widowControl w:val="0"/>
              <w:autoSpaceDE w:val="0"/>
              <w:autoSpaceDN w:val="0"/>
              <w:adjustRightInd w:val="0"/>
              <w:rPr>
                <w:b/>
              </w:rPr>
            </w:pPr>
          </w:p>
        </w:tc>
        <w:tc>
          <w:tcPr>
            <w:tcW w:w="900" w:type="dxa"/>
            <w:tcBorders>
              <w:top w:val="dashed" w:sz="4" w:space="0" w:color="auto"/>
            </w:tcBorders>
          </w:tcPr>
          <w:p w14:paraId="26ED7A7D" w14:textId="77777777" w:rsidR="00C46D25" w:rsidRPr="00335424" w:rsidRDefault="00C46D25" w:rsidP="00335424">
            <w:pPr>
              <w:widowControl w:val="0"/>
              <w:autoSpaceDE w:val="0"/>
              <w:autoSpaceDN w:val="0"/>
              <w:adjustRightInd w:val="0"/>
              <w:rPr>
                <w:b/>
              </w:rPr>
            </w:pPr>
          </w:p>
        </w:tc>
        <w:tc>
          <w:tcPr>
            <w:tcW w:w="1080" w:type="dxa"/>
            <w:tcBorders>
              <w:top w:val="dashed" w:sz="4" w:space="0" w:color="auto"/>
            </w:tcBorders>
          </w:tcPr>
          <w:p w14:paraId="7F80C9B9" w14:textId="77777777" w:rsidR="00C46D25" w:rsidRPr="00335424" w:rsidRDefault="00C46D25" w:rsidP="00335424">
            <w:pPr>
              <w:widowControl w:val="0"/>
              <w:autoSpaceDE w:val="0"/>
              <w:autoSpaceDN w:val="0"/>
              <w:adjustRightInd w:val="0"/>
              <w:rPr>
                <w:b/>
              </w:rPr>
            </w:pPr>
          </w:p>
        </w:tc>
      </w:tr>
      <w:tr w:rsidR="00C46D25" w14:paraId="4B2DBE73" w14:textId="0D67CCD7" w:rsidTr="00770169">
        <w:tc>
          <w:tcPr>
            <w:tcW w:w="801" w:type="dxa"/>
            <w:vMerge w:val="restart"/>
            <w:vAlign w:val="center"/>
          </w:tcPr>
          <w:p w14:paraId="6D0FD342" w14:textId="1FC92FDB" w:rsidR="00C46D25" w:rsidRDefault="00C46D25" w:rsidP="00335424">
            <w:pPr>
              <w:widowControl w:val="0"/>
              <w:autoSpaceDE w:val="0"/>
              <w:autoSpaceDN w:val="0"/>
              <w:adjustRightInd w:val="0"/>
              <w:jc w:val="center"/>
              <w:rPr>
                <w:b/>
              </w:rPr>
            </w:pPr>
            <w:r>
              <w:rPr>
                <w:b/>
              </w:rPr>
              <w:t>Week 7</w:t>
            </w:r>
          </w:p>
        </w:tc>
        <w:tc>
          <w:tcPr>
            <w:tcW w:w="1077" w:type="dxa"/>
            <w:tcBorders>
              <w:bottom w:val="dashed" w:sz="4" w:space="0" w:color="auto"/>
            </w:tcBorders>
            <w:vAlign w:val="center"/>
          </w:tcPr>
          <w:p w14:paraId="1328730E" w14:textId="30D99D74" w:rsidR="00C46D25" w:rsidRPr="00770169" w:rsidRDefault="00C46D25" w:rsidP="00770169">
            <w:pPr>
              <w:widowControl w:val="0"/>
              <w:autoSpaceDE w:val="0"/>
              <w:autoSpaceDN w:val="0"/>
              <w:adjustRightInd w:val="0"/>
              <w:jc w:val="center"/>
            </w:pPr>
            <w:r w:rsidRPr="00770169">
              <w:t>Systolic</w:t>
            </w:r>
          </w:p>
        </w:tc>
        <w:tc>
          <w:tcPr>
            <w:tcW w:w="833" w:type="dxa"/>
            <w:tcBorders>
              <w:bottom w:val="dashed" w:sz="4" w:space="0" w:color="auto"/>
            </w:tcBorders>
          </w:tcPr>
          <w:p w14:paraId="11D29F1B" w14:textId="77777777" w:rsidR="00C46D25" w:rsidRPr="00335424" w:rsidRDefault="00C46D25" w:rsidP="00335424">
            <w:pPr>
              <w:widowControl w:val="0"/>
              <w:autoSpaceDE w:val="0"/>
              <w:autoSpaceDN w:val="0"/>
              <w:adjustRightInd w:val="0"/>
              <w:rPr>
                <w:b/>
              </w:rPr>
            </w:pPr>
          </w:p>
        </w:tc>
        <w:tc>
          <w:tcPr>
            <w:tcW w:w="832" w:type="dxa"/>
            <w:tcBorders>
              <w:bottom w:val="dashed" w:sz="4" w:space="0" w:color="auto"/>
            </w:tcBorders>
          </w:tcPr>
          <w:p w14:paraId="582E7911" w14:textId="77777777" w:rsidR="00C46D25" w:rsidRPr="00335424" w:rsidRDefault="00C46D25" w:rsidP="00335424">
            <w:pPr>
              <w:widowControl w:val="0"/>
              <w:autoSpaceDE w:val="0"/>
              <w:autoSpaceDN w:val="0"/>
              <w:adjustRightInd w:val="0"/>
              <w:rPr>
                <w:b/>
              </w:rPr>
            </w:pPr>
          </w:p>
        </w:tc>
        <w:tc>
          <w:tcPr>
            <w:tcW w:w="833" w:type="dxa"/>
            <w:tcBorders>
              <w:bottom w:val="dashed" w:sz="4" w:space="0" w:color="auto"/>
            </w:tcBorders>
          </w:tcPr>
          <w:p w14:paraId="09E76C1A" w14:textId="77777777" w:rsidR="00C46D25" w:rsidRPr="00335424" w:rsidRDefault="00C46D25" w:rsidP="00335424">
            <w:pPr>
              <w:widowControl w:val="0"/>
              <w:autoSpaceDE w:val="0"/>
              <w:autoSpaceDN w:val="0"/>
              <w:adjustRightInd w:val="0"/>
              <w:rPr>
                <w:b/>
              </w:rPr>
            </w:pPr>
          </w:p>
        </w:tc>
        <w:tc>
          <w:tcPr>
            <w:tcW w:w="861" w:type="dxa"/>
            <w:tcBorders>
              <w:bottom w:val="dashed" w:sz="4" w:space="0" w:color="auto"/>
            </w:tcBorders>
          </w:tcPr>
          <w:p w14:paraId="0E2ADCA4" w14:textId="77777777" w:rsidR="00C46D25" w:rsidRPr="00335424" w:rsidRDefault="00C46D25" w:rsidP="00335424">
            <w:pPr>
              <w:widowControl w:val="0"/>
              <w:autoSpaceDE w:val="0"/>
              <w:autoSpaceDN w:val="0"/>
              <w:adjustRightInd w:val="0"/>
              <w:rPr>
                <w:b/>
              </w:rPr>
            </w:pPr>
          </w:p>
        </w:tc>
        <w:tc>
          <w:tcPr>
            <w:tcW w:w="878" w:type="dxa"/>
            <w:tcBorders>
              <w:bottom w:val="dashed" w:sz="4" w:space="0" w:color="auto"/>
            </w:tcBorders>
          </w:tcPr>
          <w:p w14:paraId="1D5F4617" w14:textId="77777777" w:rsidR="00C46D25" w:rsidRPr="00335424" w:rsidRDefault="00C46D25" w:rsidP="00335424">
            <w:pPr>
              <w:widowControl w:val="0"/>
              <w:autoSpaceDE w:val="0"/>
              <w:autoSpaceDN w:val="0"/>
              <w:adjustRightInd w:val="0"/>
              <w:rPr>
                <w:b/>
              </w:rPr>
            </w:pPr>
          </w:p>
        </w:tc>
        <w:tc>
          <w:tcPr>
            <w:tcW w:w="810" w:type="dxa"/>
            <w:tcBorders>
              <w:bottom w:val="dashed" w:sz="4" w:space="0" w:color="auto"/>
            </w:tcBorders>
          </w:tcPr>
          <w:p w14:paraId="6B1090E8" w14:textId="77777777" w:rsidR="00C46D25" w:rsidRPr="00335424" w:rsidRDefault="00C46D25" w:rsidP="00335424">
            <w:pPr>
              <w:widowControl w:val="0"/>
              <w:autoSpaceDE w:val="0"/>
              <w:autoSpaceDN w:val="0"/>
              <w:adjustRightInd w:val="0"/>
              <w:rPr>
                <w:b/>
              </w:rPr>
            </w:pPr>
          </w:p>
        </w:tc>
        <w:tc>
          <w:tcPr>
            <w:tcW w:w="900" w:type="dxa"/>
            <w:tcBorders>
              <w:bottom w:val="dashed" w:sz="4" w:space="0" w:color="auto"/>
            </w:tcBorders>
          </w:tcPr>
          <w:p w14:paraId="75940917" w14:textId="77777777" w:rsidR="00C46D25" w:rsidRPr="00335424" w:rsidRDefault="00C46D25" w:rsidP="00335424">
            <w:pPr>
              <w:widowControl w:val="0"/>
              <w:autoSpaceDE w:val="0"/>
              <w:autoSpaceDN w:val="0"/>
              <w:adjustRightInd w:val="0"/>
              <w:rPr>
                <w:b/>
              </w:rPr>
            </w:pPr>
          </w:p>
        </w:tc>
        <w:tc>
          <w:tcPr>
            <w:tcW w:w="1080" w:type="dxa"/>
            <w:tcBorders>
              <w:bottom w:val="dashed" w:sz="4" w:space="0" w:color="auto"/>
            </w:tcBorders>
          </w:tcPr>
          <w:p w14:paraId="622A13CB" w14:textId="77777777" w:rsidR="00C46D25" w:rsidRPr="00335424" w:rsidRDefault="00C46D25" w:rsidP="00335424">
            <w:pPr>
              <w:widowControl w:val="0"/>
              <w:autoSpaceDE w:val="0"/>
              <w:autoSpaceDN w:val="0"/>
              <w:adjustRightInd w:val="0"/>
              <w:rPr>
                <w:b/>
              </w:rPr>
            </w:pPr>
          </w:p>
        </w:tc>
      </w:tr>
      <w:tr w:rsidR="00C46D25" w14:paraId="2EBB3D06" w14:textId="03463BBA" w:rsidTr="00770169">
        <w:tc>
          <w:tcPr>
            <w:tcW w:w="801" w:type="dxa"/>
            <w:vMerge/>
            <w:vAlign w:val="center"/>
          </w:tcPr>
          <w:p w14:paraId="5F79AE9D" w14:textId="77777777" w:rsidR="00C46D25" w:rsidRDefault="00C46D25" w:rsidP="00335424">
            <w:pPr>
              <w:widowControl w:val="0"/>
              <w:autoSpaceDE w:val="0"/>
              <w:autoSpaceDN w:val="0"/>
              <w:adjustRightInd w:val="0"/>
              <w:jc w:val="center"/>
              <w:rPr>
                <w:b/>
              </w:rPr>
            </w:pPr>
          </w:p>
        </w:tc>
        <w:tc>
          <w:tcPr>
            <w:tcW w:w="1077" w:type="dxa"/>
            <w:tcBorders>
              <w:top w:val="dashed" w:sz="4" w:space="0" w:color="auto"/>
            </w:tcBorders>
            <w:vAlign w:val="center"/>
          </w:tcPr>
          <w:p w14:paraId="5A2CA748" w14:textId="277A3014" w:rsidR="00C46D25" w:rsidRPr="00770169" w:rsidRDefault="00C46D25" w:rsidP="00770169">
            <w:pPr>
              <w:widowControl w:val="0"/>
              <w:autoSpaceDE w:val="0"/>
              <w:autoSpaceDN w:val="0"/>
              <w:adjustRightInd w:val="0"/>
              <w:jc w:val="center"/>
            </w:pPr>
            <w:r w:rsidRPr="00770169">
              <w:t>Diastolic</w:t>
            </w:r>
          </w:p>
        </w:tc>
        <w:tc>
          <w:tcPr>
            <w:tcW w:w="833" w:type="dxa"/>
            <w:tcBorders>
              <w:top w:val="dashed" w:sz="4" w:space="0" w:color="auto"/>
            </w:tcBorders>
          </w:tcPr>
          <w:p w14:paraId="7E1A64B9" w14:textId="77777777" w:rsidR="00C46D25" w:rsidRPr="00335424" w:rsidRDefault="00C46D25" w:rsidP="00335424">
            <w:pPr>
              <w:widowControl w:val="0"/>
              <w:autoSpaceDE w:val="0"/>
              <w:autoSpaceDN w:val="0"/>
              <w:adjustRightInd w:val="0"/>
              <w:rPr>
                <w:b/>
              </w:rPr>
            </w:pPr>
          </w:p>
        </w:tc>
        <w:tc>
          <w:tcPr>
            <w:tcW w:w="832" w:type="dxa"/>
            <w:tcBorders>
              <w:top w:val="dashed" w:sz="4" w:space="0" w:color="auto"/>
            </w:tcBorders>
          </w:tcPr>
          <w:p w14:paraId="5596F8CE" w14:textId="77777777" w:rsidR="00C46D25" w:rsidRPr="00335424" w:rsidRDefault="00C46D25" w:rsidP="00335424">
            <w:pPr>
              <w:widowControl w:val="0"/>
              <w:autoSpaceDE w:val="0"/>
              <w:autoSpaceDN w:val="0"/>
              <w:adjustRightInd w:val="0"/>
              <w:rPr>
                <w:b/>
              </w:rPr>
            </w:pPr>
          </w:p>
        </w:tc>
        <w:tc>
          <w:tcPr>
            <w:tcW w:w="833" w:type="dxa"/>
            <w:tcBorders>
              <w:top w:val="dashed" w:sz="4" w:space="0" w:color="auto"/>
            </w:tcBorders>
          </w:tcPr>
          <w:p w14:paraId="1BD3CA62" w14:textId="77777777" w:rsidR="00C46D25" w:rsidRPr="00335424" w:rsidRDefault="00C46D25" w:rsidP="00335424">
            <w:pPr>
              <w:widowControl w:val="0"/>
              <w:autoSpaceDE w:val="0"/>
              <w:autoSpaceDN w:val="0"/>
              <w:adjustRightInd w:val="0"/>
              <w:rPr>
                <w:b/>
              </w:rPr>
            </w:pPr>
          </w:p>
        </w:tc>
        <w:tc>
          <w:tcPr>
            <w:tcW w:w="861" w:type="dxa"/>
            <w:tcBorders>
              <w:top w:val="dashed" w:sz="4" w:space="0" w:color="auto"/>
            </w:tcBorders>
          </w:tcPr>
          <w:p w14:paraId="2707D962" w14:textId="77777777" w:rsidR="00C46D25" w:rsidRPr="00335424" w:rsidRDefault="00C46D25" w:rsidP="00335424">
            <w:pPr>
              <w:widowControl w:val="0"/>
              <w:autoSpaceDE w:val="0"/>
              <w:autoSpaceDN w:val="0"/>
              <w:adjustRightInd w:val="0"/>
              <w:rPr>
                <w:b/>
              </w:rPr>
            </w:pPr>
          </w:p>
        </w:tc>
        <w:tc>
          <w:tcPr>
            <w:tcW w:w="878" w:type="dxa"/>
            <w:tcBorders>
              <w:top w:val="dashed" w:sz="4" w:space="0" w:color="auto"/>
            </w:tcBorders>
          </w:tcPr>
          <w:p w14:paraId="732B5EE3" w14:textId="77777777" w:rsidR="00C46D25" w:rsidRPr="00335424" w:rsidRDefault="00C46D25" w:rsidP="00335424">
            <w:pPr>
              <w:widowControl w:val="0"/>
              <w:autoSpaceDE w:val="0"/>
              <w:autoSpaceDN w:val="0"/>
              <w:adjustRightInd w:val="0"/>
              <w:rPr>
                <w:b/>
              </w:rPr>
            </w:pPr>
          </w:p>
        </w:tc>
        <w:tc>
          <w:tcPr>
            <w:tcW w:w="810" w:type="dxa"/>
            <w:tcBorders>
              <w:top w:val="dashed" w:sz="4" w:space="0" w:color="auto"/>
            </w:tcBorders>
          </w:tcPr>
          <w:p w14:paraId="61E425F2" w14:textId="77777777" w:rsidR="00C46D25" w:rsidRPr="00335424" w:rsidRDefault="00C46D25" w:rsidP="00335424">
            <w:pPr>
              <w:widowControl w:val="0"/>
              <w:autoSpaceDE w:val="0"/>
              <w:autoSpaceDN w:val="0"/>
              <w:adjustRightInd w:val="0"/>
              <w:rPr>
                <w:b/>
              </w:rPr>
            </w:pPr>
          </w:p>
        </w:tc>
        <w:tc>
          <w:tcPr>
            <w:tcW w:w="900" w:type="dxa"/>
            <w:tcBorders>
              <w:top w:val="dashed" w:sz="4" w:space="0" w:color="auto"/>
            </w:tcBorders>
          </w:tcPr>
          <w:p w14:paraId="08909BF2" w14:textId="77777777" w:rsidR="00C46D25" w:rsidRPr="00335424" w:rsidRDefault="00C46D25" w:rsidP="00335424">
            <w:pPr>
              <w:widowControl w:val="0"/>
              <w:autoSpaceDE w:val="0"/>
              <w:autoSpaceDN w:val="0"/>
              <w:adjustRightInd w:val="0"/>
              <w:rPr>
                <w:b/>
              </w:rPr>
            </w:pPr>
          </w:p>
        </w:tc>
        <w:tc>
          <w:tcPr>
            <w:tcW w:w="1080" w:type="dxa"/>
            <w:tcBorders>
              <w:top w:val="dashed" w:sz="4" w:space="0" w:color="auto"/>
            </w:tcBorders>
          </w:tcPr>
          <w:p w14:paraId="386DEE0A" w14:textId="77777777" w:rsidR="00C46D25" w:rsidRPr="00335424" w:rsidRDefault="00C46D25" w:rsidP="00335424">
            <w:pPr>
              <w:widowControl w:val="0"/>
              <w:autoSpaceDE w:val="0"/>
              <w:autoSpaceDN w:val="0"/>
              <w:adjustRightInd w:val="0"/>
              <w:rPr>
                <w:b/>
              </w:rPr>
            </w:pPr>
          </w:p>
        </w:tc>
      </w:tr>
      <w:tr w:rsidR="00C46D25" w14:paraId="0A45E05B" w14:textId="77777777" w:rsidTr="00770169">
        <w:tc>
          <w:tcPr>
            <w:tcW w:w="801" w:type="dxa"/>
            <w:vMerge/>
            <w:vAlign w:val="center"/>
          </w:tcPr>
          <w:p w14:paraId="21B00895" w14:textId="77777777" w:rsidR="00C46D25" w:rsidRDefault="00C46D25" w:rsidP="00335424">
            <w:pPr>
              <w:widowControl w:val="0"/>
              <w:autoSpaceDE w:val="0"/>
              <w:autoSpaceDN w:val="0"/>
              <w:adjustRightInd w:val="0"/>
              <w:jc w:val="center"/>
              <w:rPr>
                <w:b/>
              </w:rPr>
            </w:pPr>
          </w:p>
        </w:tc>
        <w:tc>
          <w:tcPr>
            <w:tcW w:w="1077" w:type="dxa"/>
            <w:tcBorders>
              <w:top w:val="dashed" w:sz="4" w:space="0" w:color="auto"/>
            </w:tcBorders>
            <w:vAlign w:val="center"/>
          </w:tcPr>
          <w:p w14:paraId="36B232A9" w14:textId="77777777" w:rsidR="00C46D25" w:rsidRPr="00770169" w:rsidRDefault="00C46D25" w:rsidP="00770169">
            <w:pPr>
              <w:widowControl w:val="0"/>
              <w:autoSpaceDE w:val="0"/>
              <w:autoSpaceDN w:val="0"/>
              <w:adjustRightInd w:val="0"/>
              <w:jc w:val="center"/>
            </w:pPr>
            <w:r w:rsidRPr="00770169">
              <w:t>Activity</w:t>
            </w:r>
          </w:p>
          <w:p w14:paraId="7946076E" w14:textId="77777777" w:rsidR="00C46D25" w:rsidRPr="00770169" w:rsidRDefault="00C46D25" w:rsidP="00770169">
            <w:pPr>
              <w:widowControl w:val="0"/>
              <w:autoSpaceDE w:val="0"/>
              <w:autoSpaceDN w:val="0"/>
              <w:adjustRightInd w:val="0"/>
              <w:jc w:val="center"/>
            </w:pPr>
          </w:p>
        </w:tc>
        <w:tc>
          <w:tcPr>
            <w:tcW w:w="833" w:type="dxa"/>
            <w:tcBorders>
              <w:top w:val="dashed" w:sz="4" w:space="0" w:color="auto"/>
            </w:tcBorders>
          </w:tcPr>
          <w:p w14:paraId="0E97F5DC" w14:textId="77777777" w:rsidR="00C46D25" w:rsidRPr="00335424" w:rsidRDefault="00C46D25" w:rsidP="00335424">
            <w:pPr>
              <w:widowControl w:val="0"/>
              <w:autoSpaceDE w:val="0"/>
              <w:autoSpaceDN w:val="0"/>
              <w:adjustRightInd w:val="0"/>
              <w:rPr>
                <w:b/>
              </w:rPr>
            </w:pPr>
          </w:p>
        </w:tc>
        <w:tc>
          <w:tcPr>
            <w:tcW w:w="832" w:type="dxa"/>
            <w:tcBorders>
              <w:top w:val="dashed" w:sz="4" w:space="0" w:color="auto"/>
            </w:tcBorders>
          </w:tcPr>
          <w:p w14:paraId="76BFA5CD" w14:textId="77777777" w:rsidR="00C46D25" w:rsidRPr="00335424" w:rsidRDefault="00C46D25" w:rsidP="00335424">
            <w:pPr>
              <w:widowControl w:val="0"/>
              <w:autoSpaceDE w:val="0"/>
              <w:autoSpaceDN w:val="0"/>
              <w:adjustRightInd w:val="0"/>
              <w:rPr>
                <w:b/>
              </w:rPr>
            </w:pPr>
          </w:p>
        </w:tc>
        <w:tc>
          <w:tcPr>
            <w:tcW w:w="833" w:type="dxa"/>
            <w:tcBorders>
              <w:top w:val="dashed" w:sz="4" w:space="0" w:color="auto"/>
            </w:tcBorders>
          </w:tcPr>
          <w:p w14:paraId="3148A21C" w14:textId="77777777" w:rsidR="00C46D25" w:rsidRPr="00335424" w:rsidRDefault="00C46D25" w:rsidP="00335424">
            <w:pPr>
              <w:widowControl w:val="0"/>
              <w:autoSpaceDE w:val="0"/>
              <w:autoSpaceDN w:val="0"/>
              <w:adjustRightInd w:val="0"/>
              <w:rPr>
                <w:b/>
              </w:rPr>
            </w:pPr>
          </w:p>
        </w:tc>
        <w:tc>
          <w:tcPr>
            <w:tcW w:w="861" w:type="dxa"/>
            <w:tcBorders>
              <w:top w:val="dashed" w:sz="4" w:space="0" w:color="auto"/>
            </w:tcBorders>
          </w:tcPr>
          <w:p w14:paraId="4A7FD0BB" w14:textId="77777777" w:rsidR="00C46D25" w:rsidRPr="00335424" w:rsidRDefault="00C46D25" w:rsidP="00335424">
            <w:pPr>
              <w:widowControl w:val="0"/>
              <w:autoSpaceDE w:val="0"/>
              <w:autoSpaceDN w:val="0"/>
              <w:adjustRightInd w:val="0"/>
              <w:rPr>
                <w:b/>
              </w:rPr>
            </w:pPr>
          </w:p>
        </w:tc>
        <w:tc>
          <w:tcPr>
            <w:tcW w:w="878" w:type="dxa"/>
            <w:tcBorders>
              <w:top w:val="dashed" w:sz="4" w:space="0" w:color="auto"/>
            </w:tcBorders>
          </w:tcPr>
          <w:p w14:paraId="2477777E" w14:textId="77777777" w:rsidR="00C46D25" w:rsidRPr="00335424" w:rsidRDefault="00C46D25" w:rsidP="00335424">
            <w:pPr>
              <w:widowControl w:val="0"/>
              <w:autoSpaceDE w:val="0"/>
              <w:autoSpaceDN w:val="0"/>
              <w:adjustRightInd w:val="0"/>
              <w:rPr>
                <w:b/>
              </w:rPr>
            </w:pPr>
          </w:p>
        </w:tc>
        <w:tc>
          <w:tcPr>
            <w:tcW w:w="810" w:type="dxa"/>
            <w:tcBorders>
              <w:top w:val="dashed" w:sz="4" w:space="0" w:color="auto"/>
            </w:tcBorders>
          </w:tcPr>
          <w:p w14:paraId="162FE349" w14:textId="77777777" w:rsidR="00C46D25" w:rsidRPr="00335424" w:rsidRDefault="00C46D25" w:rsidP="00335424">
            <w:pPr>
              <w:widowControl w:val="0"/>
              <w:autoSpaceDE w:val="0"/>
              <w:autoSpaceDN w:val="0"/>
              <w:adjustRightInd w:val="0"/>
              <w:rPr>
                <w:b/>
              </w:rPr>
            </w:pPr>
          </w:p>
        </w:tc>
        <w:tc>
          <w:tcPr>
            <w:tcW w:w="900" w:type="dxa"/>
            <w:tcBorders>
              <w:top w:val="dashed" w:sz="4" w:space="0" w:color="auto"/>
            </w:tcBorders>
          </w:tcPr>
          <w:p w14:paraId="462F1813" w14:textId="77777777" w:rsidR="00C46D25" w:rsidRPr="00335424" w:rsidRDefault="00C46D25" w:rsidP="00335424">
            <w:pPr>
              <w:widowControl w:val="0"/>
              <w:autoSpaceDE w:val="0"/>
              <w:autoSpaceDN w:val="0"/>
              <w:adjustRightInd w:val="0"/>
              <w:rPr>
                <w:b/>
              </w:rPr>
            </w:pPr>
          </w:p>
        </w:tc>
        <w:tc>
          <w:tcPr>
            <w:tcW w:w="1080" w:type="dxa"/>
            <w:tcBorders>
              <w:top w:val="dashed" w:sz="4" w:space="0" w:color="auto"/>
            </w:tcBorders>
          </w:tcPr>
          <w:p w14:paraId="17BB5F5B" w14:textId="77777777" w:rsidR="00C46D25" w:rsidRPr="00335424" w:rsidRDefault="00C46D25" w:rsidP="00335424">
            <w:pPr>
              <w:widowControl w:val="0"/>
              <w:autoSpaceDE w:val="0"/>
              <w:autoSpaceDN w:val="0"/>
              <w:adjustRightInd w:val="0"/>
              <w:rPr>
                <w:b/>
              </w:rPr>
            </w:pPr>
          </w:p>
        </w:tc>
      </w:tr>
      <w:tr w:rsidR="00C46D25" w14:paraId="7D3623ED" w14:textId="6C51DA90" w:rsidTr="00770169">
        <w:tc>
          <w:tcPr>
            <w:tcW w:w="801" w:type="dxa"/>
            <w:vMerge w:val="restart"/>
            <w:vAlign w:val="center"/>
          </w:tcPr>
          <w:p w14:paraId="6E91A015" w14:textId="4D99196D" w:rsidR="00C46D25" w:rsidRDefault="00C46D25" w:rsidP="00335424">
            <w:pPr>
              <w:widowControl w:val="0"/>
              <w:autoSpaceDE w:val="0"/>
              <w:autoSpaceDN w:val="0"/>
              <w:adjustRightInd w:val="0"/>
              <w:jc w:val="center"/>
              <w:rPr>
                <w:b/>
              </w:rPr>
            </w:pPr>
            <w:r>
              <w:rPr>
                <w:b/>
              </w:rPr>
              <w:lastRenderedPageBreak/>
              <w:t>Week 8</w:t>
            </w:r>
          </w:p>
        </w:tc>
        <w:tc>
          <w:tcPr>
            <w:tcW w:w="1077" w:type="dxa"/>
            <w:tcBorders>
              <w:bottom w:val="dashed" w:sz="4" w:space="0" w:color="auto"/>
            </w:tcBorders>
            <w:vAlign w:val="center"/>
          </w:tcPr>
          <w:p w14:paraId="63B73725" w14:textId="2E68A005" w:rsidR="00C46D25" w:rsidRPr="00770169" w:rsidRDefault="00C46D25" w:rsidP="00770169">
            <w:pPr>
              <w:widowControl w:val="0"/>
              <w:autoSpaceDE w:val="0"/>
              <w:autoSpaceDN w:val="0"/>
              <w:adjustRightInd w:val="0"/>
              <w:jc w:val="center"/>
            </w:pPr>
            <w:r w:rsidRPr="00770169">
              <w:t>Systolic</w:t>
            </w:r>
          </w:p>
        </w:tc>
        <w:tc>
          <w:tcPr>
            <w:tcW w:w="833" w:type="dxa"/>
            <w:tcBorders>
              <w:bottom w:val="dashed" w:sz="4" w:space="0" w:color="auto"/>
            </w:tcBorders>
          </w:tcPr>
          <w:p w14:paraId="06CB677A" w14:textId="77777777" w:rsidR="00C46D25" w:rsidRPr="00335424" w:rsidRDefault="00C46D25" w:rsidP="00335424">
            <w:pPr>
              <w:widowControl w:val="0"/>
              <w:autoSpaceDE w:val="0"/>
              <w:autoSpaceDN w:val="0"/>
              <w:adjustRightInd w:val="0"/>
              <w:rPr>
                <w:b/>
              </w:rPr>
            </w:pPr>
          </w:p>
        </w:tc>
        <w:tc>
          <w:tcPr>
            <w:tcW w:w="832" w:type="dxa"/>
            <w:tcBorders>
              <w:bottom w:val="dashed" w:sz="4" w:space="0" w:color="auto"/>
            </w:tcBorders>
          </w:tcPr>
          <w:p w14:paraId="444D6F6A" w14:textId="77777777" w:rsidR="00C46D25" w:rsidRPr="00335424" w:rsidRDefault="00C46D25" w:rsidP="00335424">
            <w:pPr>
              <w:widowControl w:val="0"/>
              <w:autoSpaceDE w:val="0"/>
              <w:autoSpaceDN w:val="0"/>
              <w:adjustRightInd w:val="0"/>
              <w:rPr>
                <w:b/>
              </w:rPr>
            </w:pPr>
          </w:p>
        </w:tc>
        <w:tc>
          <w:tcPr>
            <w:tcW w:w="833" w:type="dxa"/>
            <w:tcBorders>
              <w:bottom w:val="dashed" w:sz="4" w:space="0" w:color="auto"/>
            </w:tcBorders>
          </w:tcPr>
          <w:p w14:paraId="69B802E8" w14:textId="77777777" w:rsidR="00C46D25" w:rsidRPr="00335424" w:rsidRDefault="00C46D25" w:rsidP="00335424">
            <w:pPr>
              <w:widowControl w:val="0"/>
              <w:autoSpaceDE w:val="0"/>
              <w:autoSpaceDN w:val="0"/>
              <w:adjustRightInd w:val="0"/>
              <w:rPr>
                <w:b/>
              </w:rPr>
            </w:pPr>
          </w:p>
        </w:tc>
        <w:tc>
          <w:tcPr>
            <w:tcW w:w="861" w:type="dxa"/>
            <w:tcBorders>
              <w:bottom w:val="dashed" w:sz="4" w:space="0" w:color="auto"/>
            </w:tcBorders>
          </w:tcPr>
          <w:p w14:paraId="53547079" w14:textId="77777777" w:rsidR="00C46D25" w:rsidRPr="00335424" w:rsidRDefault="00C46D25" w:rsidP="00335424">
            <w:pPr>
              <w:widowControl w:val="0"/>
              <w:autoSpaceDE w:val="0"/>
              <w:autoSpaceDN w:val="0"/>
              <w:adjustRightInd w:val="0"/>
              <w:rPr>
                <w:b/>
              </w:rPr>
            </w:pPr>
          </w:p>
        </w:tc>
        <w:tc>
          <w:tcPr>
            <w:tcW w:w="878" w:type="dxa"/>
            <w:tcBorders>
              <w:bottom w:val="dashed" w:sz="4" w:space="0" w:color="auto"/>
            </w:tcBorders>
          </w:tcPr>
          <w:p w14:paraId="696BA4E7" w14:textId="77777777" w:rsidR="00C46D25" w:rsidRPr="00335424" w:rsidRDefault="00C46D25" w:rsidP="00335424">
            <w:pPr>
              <w:widowControl w:val="0"/>
              <w:autoSpaceDE w:val="0"/>
              <w:autoSpaceDN w:val="0"/>
              <w:adjustRightInd w:val="0"/>
              <w:rPr>
                <w:b/>
              </w:rPr>
            </w:pPr>
          </w:p>
        </w:tc>
        <w:tc>
          <w:tcPr>
            <w:tcW w:w="810" w:type="dxa"/>
            <w:tcBorders>
              <w:bottom w:val="dashed" w:sz="4" w:space="0" w:color="auto"/>
            </w:tcBorders>
          </w:tcPr>
          <w:p w14:paraId="61A20EAD" w14:textId="77777777" w:rsidR="00C46D25" w:rsidRPr="00335424" w:rsidRDefault="00C46D25" w:rsidP="00335424">
            <w:pPr>
              <w:widowControl w:val="0"/>
              <w:autoSpaceDE w:val="0"/>
              <w:autoSpaceDN w:val="0"/>
              <w:adjustRightInd w:val="0"/>
              <w:rPr>
                <w:b/>
              </w:rPr>
            </w:pPr>
          </w:p>
        </w:tc>
        <w:tc>
          <w:tcPr>
            <w:tcW w:w="900" w:type="dxa"/>
            <w:tcBorders>
              <w:bottom w:val="dashed" w:sz="4" w:space="0" w:color="auto"/>
            </w:tcBorders>
          </w:tcPr>
          <w:p w14:paraId="2119FE1B" w14:textId="77777777" w:rsidR="00C46D25" w:rsidRPr="00335424" w:rsidRDefault="00C46D25" w:rsidP="00335424">
            <w:pPr>
              <w:widowControl w:val="0"/>
              <w:autoSpaceDE w:val="0"/>
              <w:autoSpaceDN w:val="0"/>
              <w:adjustRightInd w:val="0"/>
              <w:rPr>
                <w:b/>
              </w:rPr>
            </w:pPr>
          </w:p>
        </w:tc>
        <w:tc>
          <w:tcPr>
            <w:tcW w:w="1080" w:type="dxa"/>
            <w:tcBorders>
              <w:bottom w:val="dashed" w:sz="4" w:space="0" w:color="auto"/>
            </w:tcBorders>
          </w:tcPr>
          <w:p w14:paraId="1B3AAA7F" w14:textId="77777777" w:rsidR="00C46D25" w:rsidRPr="00335424" w:rsidRDefault="00C46D25" w:rsidP="00335424">
            <w:pPr>
              <w:widowControl w:val="0"/>
              <w:autoSpaceDE w:val="0"/>
              <w:autoSpaceDN w:val="0"/>
              <w:adjustRightInd w:val="0"/>
              <w:rPr>
                <w:b/>
              </w:rPr>
            </w:pPr>
          </w:p>
        </w:tc>
      </w:tr>
      <w:tr w:rsidR="00C46D25" w14:paraId="108668FC" w14:textId="34AB7812" w:rsidTr="00770169">
        <w:tc>
          <w:tcPr>
            <w:tcW w:w="801" w:type="dxa"/>
            <w:vMerge/>
            <w:vAlign w:val="center"/>
          </w:tcPr>
          <w:p w14:paraId="0A8DDA17" w14:textId="77777777" w:rsidR="00C46D25" w:rsidRDefault="00C46D25" w:rsidP="00335424">
            <w:pPr>
              <w:widowControl w:val="0"/>
              <w:autoSpaceDE w:val="0"/>
              <w:autoSpaceDN w:val="0"/>
              <w:adjustRightInd w:val="0"/>
              <w:jc w:val="center"/>
              <w:rPr>
                <w:b/>
              </w:rPr>
            </w:pPr>
          </w:p>
        </w:tc>
        <w:tc>
          <w:tcPr>
            <w:tcW w:w="1077" w:type="dxa"/>
            <w:tcBorders>
              <w:top w:val="dashed" w:sz="4" w:space="0" w:color="auto"/>
            </w:tcBorders>
            <w:vAlign w:val="center"/>
          </w:tcPr>
          <w:p w14:paraId="7EF46936" w14:textId="7ECF9CBB" w:rsidR="00C46D25" w:rsidRPr="00770169" w:rsidRDefault="00C46D25" w:rsidP="00770169">
            <w:pPr>
              <w:widowControl w:val="0"/>
              <w:autoSpaceDE w:val="0"/>
              <w:autoSpaceDN w:val="0"/>
              <w:adjustRightInd w:val="0"/>
              <w:jc w:val="center"/>
            </w:pPr>
            <w:r w:rsidRPr="00770169">
              <w:t>Diastolic</w:t>
            </w:r>
          </w:p>
        </w:tc>
        <w:tc>
          <w:tcPr>
            <w:tcW w:w="833" w:type="dxa"/>
            <w:tcBorders>
              <w:top w:val="dashed" w:sz="4" w:space="0" w:color="auto"/>
            </w:tcBorders>
          </w:tcPr>
          <w:p w14:paraId="01753A0D" w14:textId="77777777" w:rsidR="00C46D25" w:rsidRPr="00335424" w:rsidRDefault="00C46D25" w:rsidP="00335424">
            <w:pPr>
              <w:widowControl w:val="0"/>
              <w:autoSpaceDE w:val="0"/>
              <w:autoSpaceDN w:val="0"/>
              <w:adjustRightInd w:val="0"/>
              <w:rPr>
                <w:b/>
              </w:rPr>
            </w:pPr>
          </w:p>
        </w:tc>
        <w:tc>
          <w:tcPr>
            <w:tcW w:w="832" w:type="dxa"/>
            <w:tcBorders>
              <w:top w:val="dashed" w:sz="4" w:space="0" w:color="auto"/>
            </w:tcBorders>
          </w:tcPr>
          <w:p w14:paraId="0940BAE6" w14:textId="77777777" w:rsidR="00C46D25" w:rsidRPr="00335424" w:rsidRDefault="00C46D25" w:rsidP="00335424">
            <w:pPr>
              <w:widowControl w:val="0"/>
              <w:autoSpaceDE w:val="0"/>
              <w:autoSpaceDN w:val="0"/>
              <w:adjustRightInd w:val="0"/>
              <w:rPr>
                <w:b/>
              </w:rPr>
            </w:pPr>
          </w:p>
        </w:tc>
        <w:tc>
          <w:tcPr>
            <w:tcW w:w="833" w:type="dxa"/>
            <w:tcBorders>
              <w:top w:val="dashed" w:sz="4" w:space="0" w:color="auto"/>
            </w:tcBorders>
          </w:tcPr>
          <w:p w14:paraId="134EC98C" w14:textId="77777777" w:rsidR="00C46D25" w:rsidRPr="00335424" w:rsidRDefault="00C46D25" w:rsidP="00335424">
            <w:pPr>
              <w:widowControl w:val="0"/>
              <w:autoSpaceDE w:val="0"/>
              <w:autoSpaceDN w:val="0"/>
              <w:adjustRightInd w:val="0"/>
              <w:rPr>
                <w:b/>
              </w:rPr>
            </w:pPr>
          </w:p>
        </w:tc>
        <w:tc>
          <w:tcPr>
            <w:tcW w:w="861" w:type="dxa"/>
            <w:tcBorders>
              <w:top w:val="dashed" w:sz="4" w:space="0" w:color="auto"/>
            </w:tcBorders>
          </w:tcPr>
          <w:p w14:paraId="5096C37B" w14:textId="77777777" w:rsidR="00C46D25" w:rsidRPr="00335424" w:rsidRDefault="00C46D25" w:rsidP="00335424">
            <w:pPr>
              <w:widowControl w:val="0"/>
              <w:autoSpaceDE w:val="0"/>
              <w:autoSpaceDN w:val="0"/>
              <w:adjustRightInd w:val="0"/>
              <w:rPr>
                <w:b/>
              </w:rPr>
            </w:pPr>
          </w:p>
        </w:tc>
        <w:tc>
          <w:tcPr>
            <w:tcW w:w="878" w:type="dxa"/>
            <w:tcBorders>
              <w:top w:val="dashed" w:sz="4" w:space="0" w:color="auto"/>
            </w:tcBorders>
          </w:tcPr>
          <w:p w14:paraId="42D6300B" w14:textId="77777777" w:rsidR="00C46D25" w:rsidRPr="00335424" w:rsidRDefault="00C46D25" w:rsidP="00335424">
            <w:pPr>
              <w:widowControl w:val="0"/>
              <w:autoSpaceDE w:val="0"/>
              <w:autoSpaceDN w:val="0"/>
              <w:adjustRightInd w:val="0"/>
              <w:rPr>
                <w:b/>
              </w:rPr>
            </w:pPr>
          </w:p>
        </w:tc>
        <w:tc>
          <w:tcPr>
            <w:tcW w:w="810" w:type="dxa"/>
            <w:tcBorders>
              <w:top w:val="dashed" w:sz="4" w:space="0" w:color="auto"/>
            </w:tcBorders>
          </w:tcPr>
          <w:p w14:paraId="2DFDFCCD" w14:textId="77777777" w:rsidR="00C46D25" w:rsidRPr="00335424" w:rsidRDefault="00C46D25" w:rsidP="00335424">
            <w:pPr>
              <w:widowControl w:val="0"/>
              <w:autoSpaceDE w:val="0"/>
              <w:autoSpaceDN w:val="0"/>
              <w:adjustRightInd w:val="0"/>
              <w:rPr>
                <w:b/>
              </w:rPr>
            </w:pPr>
          </w:p>
        </w:tc>
        <w:tc>
          <w:tcPr>
            <w:tcW w:w="900" w:type="dxa"/>
            <w:tcBorders>
              <w:top w:val="dashed" w:sz="4" w:space="0" w:color="auto"/>
            </w:tcBorders>
          </w:tcPr>
          <w:p w14:paraId="03D8000B" w14:textId="77777777" w:rsidR="00C46D25" w:rsidRPr="00335424" w:rsidRDefault="00C46D25" w:rsidP="00335424">
            <w:pPr>
              <w:widowControl w:val="0"/>
              <w:autoSpaceDE w:val="0"/>
              <w:autoSpaceDN w:val="0"/>
              <w:adjustRightInd w:val="0"/>
              <w:rPr>
                <w:b/>
              </w:rPr>
            </w:pPr>
          </w:p>
        </w:tc>
        <w:tc>
          <w:tcPr>
            <w:tcW w:w="1080" w:type="dxa"/>
            <w:tcBorders>
              <w:top w:val="dashed" w:sz="4" w:space="0" w:color="auto"/>
            </w:tcBorders>
          </w:tcPr>
          <w:p w14:paraId="312A0B47" w14:textId="77777777" w:rsidR="00C46D25" w:rsidRPr="00335424" w:rsidRDefault="00C46D25" w:rsidP="00335424">
            <w:pPr>
              <w:widowControl w:val="0"/>
              <w:autoSpaceDE w:val="0"/>
              <w:autoSpaceDN w:val="0"/>
              <w:adjustRightInd w:val="0"/>
              <w:rPr>
                <w:b/>
              </w:rPr>
            </w:pPr>
          </w:p>
        </w:tc>
      </w:tr>
      <w:tr w:rsidR="00C46D25" w14:paraId="439CE7D5" w14:textId="77777777" w:rsidTr="00770169">
        <w:tc>
          <w:tcPr>
            <w:tcW w:w="801" w:type="dxa"/>
            <w:vMerge/>
            <w:vAlign w:val="center"/>
          </w:tcPr>
          <w:p w14:paraId="1F05D39F" w14:textId="77777777" w:rsidR="00C46D25" w:rsidRDefault="00C46D25" w:rsidP="00335424">
            <w:pPr>
              <w:widowControl w:val="0"/>
              <w:autoSpaceDE w:val="0"/>
              <w:autoSpaceDN w:val="0"/>
              <w:adjustRightInd w:val="0"/>
              <w:jc w:val="center"/>
              <w:rPr>
                <w:b/>
              </w:rPr>
            </w:pPr>
          </w:p>
        </w:tc>
        <w:tc>
          <w:tcPr>
            <w:tcW w:w="1077" w:type="dxa"/>
            <w:tcBorders>
              <w:top w:val="dashed" w:sz="4" w:space="0" w:color="auto"/>
            </w:tcBorders>
            <w:vAlign w:val="center"/>
          </w:tcPr>
          <w:p w14:paraId="6EAC8A8A" w14:textId="77777777" w:rsidR="00C46D25" w:rsidRPr="00770169" w:rsidRDefault="00C46D25" w:rsidP="00770169">
            <w:pPr>
              <w:widowControl w:val="0"/>
              <w:autoSpaceDE w:val="0"/>
              <w:autoSpaceDN w:val="0"/>
              <w:adjustRightInd w:val="0"/>
              <w:jc w:val="center"/>
            </w:pPr>
            <w:r w:rsidRPr="00770169">
              <w:t>Activity</w:t>
            </w:r>
          </w:p>
          <w:p w14:paraId="3D94489D" w14:textId="77777777" w:rsidR="00C46D25" w:rsidRPr="00770169" w:rsidRDefault="00C46D25" w:rsidP="00770169">
            <w:pPr>
              <w:widowControl w:val="0"/>
              <w:autoSpaceDE w:val="0"/>
              <w:autoSpaceDN w:val="0"/>
              <w:adjustRightInd w:val="0"/>
              <w:jc w:val="center"/>
            </w:pPr>
          </w:p>
        </w:tc>
        <w:tc>
          <w:tcPr>
            <w:tcW w:w="833" w:type="dxa"/>
            <w:tcBorders>
              <w:top w:val="dashed" w:sz="4" w:space="0" w:color="auto"/>
            </w:tcBorders>
          </w:tcPr>
          <w:p w14:paraId="7CB27E4E" w14:textId="77777777" w:rsidR="00C46D25" w:rsidRPr="00335424" w:rsidRDefault="00C46D25" w:rsidP="00335424">
            <w:pPr>
              <w:widowControl w:val="0"/>
              <w:autoSpaceDE w:val="0"/>
              <w:autoSpaceDN w:val="0"/>
              <w:adjustRightInd w:val="0"/>
              <w:rPr>
                <w:b/>
              </w:rPr>
            </w:pPr>
          </w:p>
        </w:tc>
        <w:tc>
          <w:tcPr>
            <w:tcW w:w="832" w:type="dxa"/>
            <w:tcBorders>
              <w:top w:val="dashed" w:sz="4" w:space="0" w:color="auto"/>
            </w:tcBorders>
          </w:tcPr>
          <w:p w14:paraId="66A47D48" w14:textId="77777777" w:rsidR="00C46D25" w:rsidRPr="00335424" w:rsidRDefault="00C46D25" w:rsidP="00335424">
            <w:pPr>
              <w:widowControl w:val="0"/>
              <w:autoSpaceDE w:val="0"/>
              <w:autoSpaceDN w:val="0"/>
              <w:adjustRightInd w:val="0"/>
              <w:rPr>
                <w:b/>
              </w:rPr>
            </w:pPr>
          </w:p>
        </w:tc>
        <w:tc>
          <w:tcPr>
            <w:tcW w:w="833" w:type="dxa"/>
            <w:tcBorders>
              <w:top w:val="dashed" w:sz="4" w:space="0" w:color="auto"/>
            </w:tcBorders>
          </w:tcPr>
          <w:p w14:paraId="4F67123D" w14:textId="77777777" w:rsidR="00C46D25" w:rsidRPr="00335424" w:rsidRDefault="00C46D25" w:rsidP="00335424">
            <w:pPr>
              <w:widowControl w:val="0"/>
              <w:autoSpaceDE w:val="0"/>
              <w:autoSpaceDN w:val="0"/>
              <w:adjustRightInd w:val="0"/>
              <w:rPr>
                <w:b/>
              </w:rPr>
            </w:pPr>
          </w:p>
        </w:tc>
        <w:tc>
          <w:tcPr>
            <w:tcW w:w="861" w:type="dxa"/>
            <w:tcBorders>
              <w:top w:val="dashed" w:sz="4" w:space="0" w:color="auto"/>
            </w:tcBorders>
          </w:tcPr>
          <w:p w14:paraId="40339B42" w14:textId="77777777" w:rsidR="00C46D25" w:rsidRPr="00335424" w:rsidRDefault="00C46D25" w:rsidP="00335424">
            <w:pPr>
              <w:widowControl w:val="0"/>
              <w:autoSpaceDE w:val="0"/>
              <w:autoSpaceDN w:val="0"/>
              <w:adjustRightInd w:val="0"/>
              <w:rPr>
                <w:b/>
              </w:rPr>
            </w:pPr>
          </w:p>
        </w:tc>
        <w:tc>
          <w:tcPr>
            <w:tcW w:w="878" w:type="dxa"/>
            <w:tcBorders>
              <w:top w:val="dashed" w:sz="4" w:space="0" w:color="auto"/>
            </w:tcBorders>
          </w:tcPr>
          <w:p w14:paraId="16D7F870" w14:textId="77777777" w:rsidR="00C46D25" w:rsidRPr="00335424" w:rsidRDefault="00C46D25" w:rsidP="00335424">
            <w:pPr>
              <w:widowControl w:val="0"/>
              <w:autoSpaceDE w:val="0"/>
              <w:autoSpaceDN w:val="0"/>
              <w:adjustRightInd w:val="0"/>
              <w:rPr>
                <w:b/>
              </w:rPr>
            </w:pPr>
          </w:p>
        </w:tc>
        <w:tc>
          <w:tcPr>
            <w:tcW w:w="810" w:type="dxa"/>
            <w:tcBorders>
              <w:top w:val="dashed" w:sz="4" w:space="0" w:color="auto"/>
            </w:tcBorders>
          </w:tcPr>
          <w:p w14:paraId="7662A2C5" w14:textId="77777777" w:rsidR="00C46D25" w:rsidRPr="00335424" w:rsidRDefault="00C46D25" w:rsidP="00335424">
            <w:pPr>
              <w:widowControl w:val="0"/>
              <w:autoSpaceDE w:val="0"/>
              <w:autoSpaceDN w:val="0"/>
              <w:adjustRightInd w:val="0"/>
              <w:rPr>
                <w:b/>
              </w:rPr>
            </w:pPr>
          </w:p>
        </w:tc>
        <w:tc>
          <w:tcPr>
            <w:tcW w:w="900" w:type="dxa"/>
            <w:tcBorders>
              <w:top w:val="dashed" w:sz="4" w:space="0" w:color="auto"/>
            </w:tcBorders>
          </w:tcPr>
          <w:p w14:paraId="410B67B6" w14:textId="77777777" w:rsidR="00C46D25" w:rsidRPr="00335424" w:rsidRDefault="00C46D25" w:rsidP="00335424">
            <w:pPr>
              <w:widowControl w:val="0"/>
              <w:autoSpaceDE w:val="0"/>
              <w:autoSpaceDN w:val="0"/>
              <w:adjustRightInd w:val="0"/>
              <w:rPr>
                <w:b/>
              </w:rPr>
            </w:pPr>
          </w:p>
        </w:tc>
        <w:tc>
          <w:tcPr>
            <w:tcW w:w="1080" w:type="dxa"/>
            <w:tcBorders>
              <w:top w:val="dashed" w:sz="4" w:space="0" w:color="auto"/>
            </w:tcBorders>
          </w:tcPr>
          <w:p w14:paraId="6D968C9A" w14:textId="77777777" w:rsidR="00C46D25" w:rsidRPr="00335424" w:rsidRDefault="00C46D25" w:rsidP="00335424">
            <w:pPr>
              <w:widowControl w:val="0"/>
              <w:autoSpaceDE w:val="0"/>
              <w:autoSpaceDN w:val="0"/>
              <w:adjustRightInd w:val="0"/>
              <w:rPr>
                <w:b/>
              </w:rPr>
            </w:pPr>
          </w:p>
        </w:tc>
      </w:tr>
      <w:tr w:rsidR="00C46D25" w14:paraId="0C44C8B4" w14:textId="34FF7A3C" w:rsidTr="00770169">
        <w:tc>
          <w:tcPr>
            <w:tcW w:w="801" w:type="dxa"/>
            <w:vMerge w:val="restart"/>
            <w:vAlign w:val="center"/>
          </w:tcPr>
          <w:p w14:paraId="7C0E907A" w14:textId="6843CCDD" w:rsidR="00C46D25" w:rsidRDefault="00C46D25" w:rsidP="00335424">
            <w:pPr>
              <w:widowControl w:val="0"/>
              <w:autoSpaceDE w:val="0"/>
              <w:autoSpaceDN w:val="0"/>
              <w:adjustRightInd w:val="0"/>
              <w:jc w:val="center"/>
              <w:rPr>
                <w:b/>
              </w:rPr>
            </w:pPr>
            <w:r>
              <w:rPr>
                <w:b/>
              </w:rPr>
              <w:t>Week 9</w:t>
            </w:r>
          </w:p>
        </w:tc>
        <w:tc>
          <w:tcPr>
            <w:tcW w:w="1077" w:type="dxa"/>
            <w:tcBorders>
              <w:bottom w:val="dashed" w:sz="4" w:space="0" w:color="auto"/>
            </w:tcBorders>
            <w:vAlign w:val="center"/>
          </w:tcPr>
          <w:p w14:paraId="55C9814B" w14:textId="38523DE5" w:rsidR="00C46D25" w:rsidRPr="00770169" w:rsidRDefault="00C46D25" w:rsidP="00770169">
            <w:pPr>
              <w:widowControl w:val="0"/>
              <w:autoSpaceDE w:val="0"/>
              <w:autoSpaceDN w:val="0"/>
              <w:adjustRightInd w:val="0"/>
              <w:jc w:val="center"/>
            </w:pPr>
            <w:r w:rsidRPr="00770169">
              <w:t>Systolic</w:t>
            </w:r>
          </w:p>
        </w:tc>
        <w:tc>
          <w:tcPr>
            <w:tcW w:w="833" w:type="dxa"/>
            <w:tcBorders>
              <w:bottom w:val="dashed" w:sz="4" w:space="0" w:color="auto"/>
            </w:tcBorders>
          </w:tcPr>
          <w:p w14:paraId="2E720685" w14:textId="77777777" w:rsidR="00C46D25" w:rsidRPr="00335424" w:rsidRDefault="00C46D25" w:rsidP="00335424">
            <w:pPr>
              <w:widowControl w:val="0"/>
              <w:autoSpaceDE w:val="0"/>
              <w:autoSpaceDN w:val="0"/>
              <w:adjustRightInd w:val="0"/>
              <w:rPr>
                <w:b/>
              </w:rPr>
            </w:pPr>
          </w:p>
        </w:tc>
        <w:tc>
          <w:tcPr>
            <w:tcW w:w="832" w:type="dxa"/>
            <w:tcBorders>
              <w:bottom w:val="dashed" w:sz="4" w:space="0" w:color="auto"/>
            </w:tcBorders>
          </w:tcPr>
          <w:p w14:paraId="6770E1D9" w14:textId="77777777" w:rsidR="00C46D25" w:rsidRPr="00335424" w:rsidRDefault="00C46D25" w:rsidP="00335424">
            <w:pPr>
              <w:widowControl w:val="0"/>
              <w:autoSpaceDE w:val="0"/>
              <w:autoSpaceDN w:val="0"/>
              <w:adjustRightInd w:val="0"/>
              <w:rPr>
                <w:b/>
              </w:rPr>
            </w:pPr>
          </w:p>
        </w:tc>
        <w:tc>
          <w:tcPr>
            <w:tcW w:w="833" w:type="dxa"/>
            <w:tcBorders>
              <w:bottom w:val="dashed" w:sz="4" w:space="0" w:color="auto"/>
            </w:tcBorders>
          </w:tcPr>
          <w:p w14:paraId="7095313F" w14:textId="77777777" w:rsidR="00C46D25" w:rsidRPr="00335424" w:rsidRDefault="00C46D25" w:rsidP="00335424">
            <w:pPr>
              <w:widowControl w:val="0"/>
              <w:autoSpaceDE w:val="0"/>
              <w:autoSpaceDN w:val="0"/>
              <w:adjustRightInd w:val="0"/>
              <w:rPr>
                <w:b/>
              </w:rPr>
            </w:pPr>
          </w:p>
        </w:tc>
        <w:tc>
          <w:tcPr>
            <w:tcW w:w="861" w:type="dxa"/>
            <w:tcBorders>
              <w:bottom w:val="dashed" w:sz="4" w:space="0" w:color="auto"/>
            </w:tcBorders>
          </w:tcPr>
          <w:p w14:paraId="268F41EA" w14:textId="77777777" w:rsidR="00C46D25" w:rsidRPr="00335424" w:rsidRDefault="00C46D25" w:rsidP="00335424">
            <w:pPr>
              <w:widowControl w:val="0"/>
              <w:autoSpaceDE w:val="0"/>
              <w:autoSpaceDN w:val="0"/>
              <w:adjustRightInd w:val="0"/>
              <w:rPr>
                <w:b/>
              </w:rPr>
            </w:pPr>
          </w:p>
        </w:tc>
        <w:tc>
          <w:tcPr>
            <w:tcW w:w="878" w:type="dxa"/>
            <w:tcBorders>
              <w:bottom w:val="dashed" w:sz="4" w:space="0" w:color="auto"/>
            </w:tcBorders>
          </w:tcPr>
          <w:p w14:paraId="60E06394" w14:textId="77777777" w:rsidR="00C46D25" w:rsidRPr="00335424" w:rsidRDefault="00C46D25" w:rsidP="00335424">
            <w:pPr>
              <w:widowControl w:val="0"/>
              <w:autoSpaceDE w:val="0"/>
              <w:autoSpaceDN w:val="0"/>
              <w:adjustRightInd w:val="0"/>
              <w:rPr>
                <w:b/>
              </w:rPr>
            </w:pPr>
          </w:p>
        </w:tc>
        <w:tc>
          <w:tcPr>
            <w:tcW w:w="810" w:type="dxa"/>
            <w:tcBorders>
              <w:bottom w:val="dashed" w:sz="4" w:space="0" w:color="auto"/>
            </w:tcBorders>
          </w:tcPr>
          <w:p w14:paraId="1B59201A" w14:textId="77777777" w:rsidR="00C46D25" w:rsidRPr="00335424" w:rsidRDefault="00C46D25" w:rsidP="00335424">
            <w:pPr>
              <w:widowControl w:val="0"/>
              <w:autoSpaceDE w:val="0"/>
              <w:autoSpaceDN w:val="0"/>
              <w:adjustRightInd w:val="0"/>
              <w:rPr>
                <w:b/>
              </w:rPr>
            </w:pPr>
          </w:p>
        </w:tc>
        <w:tc>
          <w:tcPr>
            <w:tcW w:w="900" w:type="dxa"/>
            <w:tcBorders>
              <w:bottom w:val="dashed" w:sz="4" w:space="0" w:color="auto"/>
            </w:tcBorders>
          </w:tcPr>
          <w:p w14:paraId="4531382C" w14:textId="77777777" w:rsidR="00C46D25" w:rsidRPr="00335424" w:rsidRDefault="00C46D25" w:rsidP="00335424">
            <w:pPr>
              <w:widowControl w:val="0"/>
              <w:autoSpaceDE w:val="0"/>
              <w:autoSpaceDN w:val="0"/>
              <w:adjustRightInd w:val="0"/>
              <w:rPr>
                <w:b/>
              </w:rPr>
            </w:pPr>
          </w:p>
        </w:tc>
        <w:tc>
          <w:tcPr>
            <w:tcW w:w="1080" w:type="dxa"/>
            <w:tcBorders>
              <w:bottom w:val="dashed" w:sz="4" w:space="0" w:color="auto"/>
            </w:tcBorders>
          </w:tcPr>
          <w:p w14:paraId="480128A9" w14:textId="77777777" w:rsidR="00C46D25" w:rsidRPr="00335424" w:rsidRDefault="00C46D25" w:rsidP="00335424">
            <w:pPr>
              <w:widowControl w:val="0"/>
              <w:autoSpaceDE w:val="0"/>
              <w:autoSpaceDN w:val="0"/>
              <w:adjustRightInd w:val="0"/>
              <w:rPr>
                <w:b/>
              </w:rPr>
            </w:pPr>
          </w:p>
        </w:tc>
      </w:tr>
      <w:tr w:rsidR="00C46D25" w14:paraId="7C281467" w14:textId="6F81C591" w:rsidTr="00770169">
        <w:tc>
          <w:tcPr>
            <w:tcW w:w="801" w:type="dxa"/>
            <w:vMerge/>
            <w:vAlign w:val="center"/>
          </w:tcPr>
          <w:p w14:paraId="6654B839" w14:textId="77777777" w:rsidR="00C46D25" w:rsidRDefault="00C46D25" w:rsidP="00335424">
            <w:pPr>
              <w:widowControl w:val="0"/>
              <w:autoSpaceDE w:val="0"/>
              <w:autoSpaceDN w:val="0"/>
              <w:adjustRightInd w:val="0"/>
              <w:jc w:val="center"/>
              <w:rPr>
                <w:b/>
              </w:rPr>
            </w:pPr>
          </w:p>
        </w:tc>
        <w:tc>
          <w:tcPr>
            <w:tcW w:w="1077" w:type="dxa"/>
            <w:tcBorders>
              <w:top w:val="dashed" w:sz="4" w:space="0" w:color="auto"/>
            </w:tcBorders>
            <w:vAlign w:val="center"/>
          </w:tcPr>
          <w:p w14:paraId="5B2C4FCD" w14:textId="461D5C0C" w:rsidR="00C46D25" w:rsidRPr="00770169" w:rsidRDefault="00C46D25" w:rsidP="00770169">
            <w:pPr>
              <w:widowControl w:val="0"/>
              <w:autoSpaceDE w:val="0"/>
              <w:autoSpaceDN w:val="0"/>
              <w:adjustRightInd w:val="0"/>
              <w:jc w:val="center"/>
            </w:pPr>
            <w:r w:rsidRPr="00770169">
              <w:t>Diastolic</w:t>
            </w:r>
          </w:p>
        </w:tc>
        <w:tc>
          <w:tcPr>
            <w:tcW w:w="833" w:type="dxa"/>
            <w:tcBorders>
              <w:top w:val="dashed" w:sz="4" w:space="0" w:color="auto"/>
            </w:tcBorders>
          </w:tcPr>
          <w:p w14:paraId="4DFE574B" w14:textId="77777777" w:rsidR="00C46D25" w:rsidRPr="00335424" w:rsidRDefault="00C46D25" w:rsidP="00335424">
            <w:pPr>
              <w:widowControl w:val="0"/>
              <w:autoSpaceDE w:val="0"/>
              <w:autoSpaceDN w:val="0"/>
              <w:adjustRightInd w:val="0"/>
              <w:rPr>
                <w:b/>
              </w:rPr>
            </w:pPr>
          </w:p>
        </w:tc>
        <w:tc>
          <w:tcPr>
            <w:tcW w:w="832" w:type="dxa"/>
            <w:tcBorders>
              <w:top w:val="dashed" w:sz="4" w:space="0" w:color="auto"/>
            </w:tcBorders>
          </w:tcPr>
          <w:p w14:paraId="3167C0B3" w14:textId="77777777" w:rsidR="00C46D25" w:rsidRPr="00335424" w:rsidRDefault="00C46D25" w:rsidP="00335424">
            <w:pPr>
              <w:widowControl w:val="0"/>
              <w:autoSpaceDE w:val="0"/>
              <w:autoSpaceDN w:val="0"/>
              <w:adjustRightInd w:val="0"/>
              <w:rPr>
                <w:b/>
              </w:rPr>
            </w:pPr>
          </w:p>
        </w:tc>
        <w:tc>
          <w:tcPr>
            <w:tcW w:w="833" w:type="dxa"/>
            <w:tcBorders>
              <w:top w:val="dashed" w:sz="4" w:space="0" w:color="auto"/>
            </w:tcBorders>
          </w:tcPr>
          <w:p w14:paraId="74584E71" w14:textId="77777777" w:rsidR="00C46D25" w:rsidRPr="00335424" w:rsidRDefault="00C46D25" w:rsidP="00335424">
            <w:pPr>
              <w:widowControl w:val="0"/>
              <w:autoSpaceDE w:val="0"/>
              <w:autoSpaceDN w:val="0"/>
              <w:adjustRightInd w:val="0"/>
              <w:rPr>
                <w:b/>
              </w:rPr>
            </w:pPr>
          </w:p>
        </w:tc>
        <w:tc>
          <w:tcPr>
            <w:tcW w:w="861" w:type="dxa"/>
            <w:tcBorders>
              <w:top w:val="dashed" w:sz="4" w:space="0" w:color="auto"/>
            </w:tcBorders>
          </w:tcPr>
          <w:p w14:paraId="7AC646D3" w14:textId="77777777" w:rsidR="00C46D25" w:rsidRPr="00335424" w:rsidRDefault="00C46D25" w:rsidP="00335424">
            <w:pPr>
              <w:widowControl w:val="0"/>
              <w:autoSpaceDE w:val="0"/>
              <w:autoSpaceDN w:val="0"/>
              <w:adjustRightInd w:val="0"/>
              <w:rPr>
                <w:b/>
              </w:rPr>
            </w:pPr>
          </w:p>
        </w:tc>
        <w:tc>
          <w:tcPr>
            <w:tcW w:w="878" w:type="dxa"/>
            <w:tcBorders>
              <w:top w:val="dashed" w:sz="4" w:space="0" w:color="auto"/>
            </w:tcBorders>
          </w:tcPr>
          <w:p w14:paraId="2397FD92" w14:textId="77777777" w:rsidR="00C46D25" w:rsidRPr="00335424" w:rsidRDefault="00C46D25" w:rsidP="00335424">
            <w:pPr>
              <w:widowControl w:val="0"/>
              <w:autoSpaceDE w:val="0"/>
              <w:autoSpaceDN w:val="0"/>
              <w:adjustRightInd w:val="0"/>
              <w:rPr>
                <w:b/>
              </w:rPr>
            </w:pPr>
          </w:p>
        </w:tc>
        <w:tc>
          <w:tcPr>
            <w:tcW w:w="810" w:type="dxa"/>
            <w:tcBorders>
              <w:top w:val="dashed" w:sz="4" w:space="0" w:color="auto"/>
            </w:tcBorders>
          </w:tcPr>
          <w:p w14:paraId="18E799B1" w14:textId="77777777" w:rsidR="00C46D25" w:rsidRPr="00335424" w:rsidRDefault="00C46D25" w:rsidP="00335424">
            <w:pPr>
              <w:widowControl w:val="0"/>
              <w:autoSpaceDE w:val="0"/>
              <w:autoSpaceDN w:val="0"/>
              <w:adjustRightInd w:val="0"/>
              <w:rPr>
                <w:b/>
              </w:rPr>
            </w:pPr>
          </w:p>
        </w:tc>
        <w:tc>
          <w:tcPr>
            <w:tcW w:w="900" w:type="dxa"/>
            <w:tcBorders>
              <w:top w:val="dashed" w:sz="4" w:space="0" w:color="auto"/>
            </w:tcBorders>
          </w:tcPr>
          <w:p w14:paraId="07FFD201" w14:textId="77777777" w:rsidR="00C46D25" w:rsidRPr="00335424" w:rsidRDefault="00C46D25" w:rsidP="00335424">
            <w:pPr>
              <w:widowControl w:val="0"/>
              <w:autoSpaceDE w:val="0"/>
              <w:autoSpaceDN w:val="0"/>
              <w:adjustRightInd w:val="0"/>
              <w:rPr>
                <w:b/>
              </w:rPr>
            </w:pPr>
          </w:p>
        </w:tc>
        <w:tc>
          <w:tcPr>
            <w:tcW w:w="1080" w:type="dxa"/>
            <w:tcBorders>
              <w:top w:val="dashed" w:sz="4" w:space="0" w:color="auto"/>
            </w:tcBorders>
          </w:tcPr>
          <w:p w14:paraId="60853446" w14:textId="77777777" w:rsidR="00C46D25" w:rsidRPr="00335424" w:rsidRDefault="00C46D25" w:rsidP="00335424">
            <w:pPr>
              <w:widowControl w:val="0"/>
              <w:autoSpaceDE w:val="0"/>
              <w:autoSpaceDN w:val="0"/>
              <w:adjustRightInd w:val="0"/>
              <w:rPr>
                <w:b/>
              </w:rPr>
            </w:pPr>
          </w:p>
        </w:tc>
      </w:tr>
      <w:tr w:rsidR="00C46D25" w14:paraId="41A12533" w14:textId="77777777" w:rsidTr="00770169">
        <w:tc>
          <w:tcPr>
            <w:tcW w:w="801" w:type="dxa"/>
            <w:vMerge/>
            <w:vAlign w:val="center"/>
          </w:tcPr>
          <w:p w14:paraId="0F661B00" w14:textId="77777777" w:rsidR="00C46D25" w:rsidRDefault="00C46D25" w:rsidP="00335424">
            <w:pPr>
              <w:widowControl w:val="0"/>
              <w:autoSpaceDE w:val="0"/>
              <w:autoSpaceDN w:val="0"/>
              <w:adjustRightInd w:val="0"/>
              <w:jc w:val="center"/>
              <w:rPr>
                <w:b/>
              </w:rPr>
            </w:pPr>
          </w:p>
        </w:tc>
        <w:tc>
          <w:tcPr>
            <w:tcW w:w="1077" w:type="dxa"/>
            <w:tcBorders>
              <w:top w:val="dashed" w:sz="4" w:space="0" w:color="auto"/>
            </w:tcBorders>
            <w:vAlign w:val="center"/>
          </w:tcPr>
          <w:p w14:paraId="2B49DE47" w14:textId="77777777" w:rsidR="00C46D25" w:rsidRPr="00770169" w:rsidRDefault="00C46D25" w:rsidP="00770169">
            <w:pPr>
              <w:widowControl w:val="0"/>
              <w:autoSpaceDE w:val="0"/>
              <w:autoSpaceDN w:val="0"/>
              <w:adjustRightInd w:val="0"/>
              <w:jc w:val="center"/>
            </w:pPr>
            <w:r w:rsidRPr="00770169">
              <w:t>Activity</w:t>
            </w:r>
          </w:p>
          <w:p w14:paraId="5B267E81" w14:textId="77777777" w:rsidR="00C46D25" w:rsidRPr="00770169" w:rsidRDefault="00C46D25" w:rsidP="00770169">
            <w:pPr>
              <w:widowControl w:val="0"/>
              <w:autoSpaceDE w:val="0"/>
              <w:autoSpaceDN w:val="0"/>
              <w:adjustRightInd w:val="0"/>
              <w:jc w:val="center"/>
            </w:pPr>
          </w:p>
        </w:tc>
        <w:tc>
          <w:tcPr>
            <w:tcW w:w="833" w:type="dxa"/>
            <w:tcBorders>
              <w:top w:val="dashed" w:sz="4" w:space="0" w:color="auto"/>
            </w:tcBorders>
          </w:tcPr>
          <w:p w14:paraId="6ECFFAD8" w14:textId="77777777" w:rsidR="00C46D25" w:rsidRPr="00335424" w:rsidRDefault="00C46D25" w:rsidP="00335424">
            <w:pPr>
              <w:widowControl w:val="0"/>
              <w:autoSpaceDE w:val="0"/>
              <w:autoSpaceDN w:val="0"/>
              <w:adjustRightInd w:val="0"/>
              <w:rPr>
                <w:b/>
              </w:rPr>
            </w:pPr>
          </w:p>
        </w:tc>
        <w:tc>
          <w:tcPr>
            <w:tcW w:w="832" w:type="dxa"/>
            <w:tcBorders>
              <w:top w:val="dashed" w:sz="4" w:space="0" w:color="auto"/>
            </w:tcBorders>
          </w:tcPr>
          <w:p w14:paraId="3BD72475" w14:textId="77777777" w:rsidR="00C46D25" w:rsidRPr="00335424" w:rsidRDefault="00C46D25" w:rsidP="00335424">
            <w:pPr>
              <w:widowControl w:val="0"/>
              <w:autoSpaceDE w:val="0"/>
              <w:autoSpaceDN w:val="0"/>
              <w:adjustRightInd w:val="0"/>
              <w:rPr>
                <w:b/>
              </w:rPr>
            </w:pPr>
          </w:p>
        </w:tc>
        <w:tc>
          <w:tcPr>
            <w:tcW w:w="833" w:type="dxa"/>
            <w:tcBorders>
              <w:top w:val="dashed" w:sz="4" w:space="0" w:color="auto"/>
            </w:tcBorders>
          </w:tcPr>
          <w:p w14:paraId="479E7D3C" w14:textId="77777777" w:rsidR="00C46D25" w:rsidRPr="00335424" w:rsidRDefault="00C46D25" w:rsidP="00335424">
            <w:pPr>
              <w:widowControl w:val="0"/>
              <w:autoSpaceDE w:val="0"/>
              <w:autoSpaceDN w:val="0"/>
              <w:adjustRightInd w:val="0"/>
              <w:rPr>
                <w:b/>
              </w:rPr>
            </w:pPr>
          </w:p>
        </w:tc>
        <w:tc>
          <w:tcPr>
            <w:tcW w:w="861" w:type="dxa"/>
            <w:tcBorders>
              <w:top w:val="dashed" w:sz="4" w:space="0" w:color="auto"/>
            </w:tcBorders>
          </w:tcPr>
          <w:p w14:paraId="263753BF" w14:textId="77777777" w:rsidR="00C46D25" w:rsidRPr="00335424" w:rsidRDefault="00C46D25" w:rsidP="00335424">
            <w:pPr>
              <w:widowControl w:val="0"/>
              <w:autoSpaceDE w:val="0"/>
              <w:autoSpaceDN w:val="0"/>
              <w:adjustRightInd w:val="0"/>
              <w:rPr>
                <w:b/>
              </w:rPr>
            </w:pPr>
          </w:p>
        </w:tc>
        <w:tc>
          <w:tcPr>
            <w:tcW w:w="878" w:type="dxa"/>
            <w:tcBorders>
              <w:top w:val="dashed" w:sz="4" w:space="0" w:color="auto"/>
            </w:tcBorders>
          </w:tcPr>
          <w:p w14:paraId="33947DE9" w14:textId="77777777" w:rsidR="00C46D25" w:rsidRPr="00335424" w:rsidRDefault="00C46D25" w:rsidP="00335424">
            <w:pPr>
              <w:widowControl w:val="0"/>
              <w:autoSpaceDE w:val="0"/>
              <w:autoSpaceDN w:val="0"/>
              <w:adjustRightInd w:val="0"/>
              <w:rPr>
                <w:b/>
              </w:rPr>
            </w:pPr>
          </w:p>
        </w:tc>
        <w:tc>
          <w:tcPr>
            <w:tcW w:w="810" w:type="dxa"/>
            <w:tcBorders>
              <w:top w:val="dashed" w:sz="4" w:space="0" w:color="auto"/>
            </w:tcBorders>
          </w:tcPr>
          <w:p w14:paraId="62AF1DF9" w14:textId="77777777" w:rsidR="00C46D25" w:rsidRPr="00335424" w:rsidRDefault="00C46D25" w:rsidP="00335424">
            <w:pPr>
              <w:widowControl w:val="0"/>
              <w:autoSpaceDE w:val="0"/>
              <w:autoSpaceDN w:val="0"/>
              <w:adjustRightInd w:val="0"/>
              <w:rPr>
                <w:b/>
              </w:rPr>
            </w:pPr>
          </w:p>
        </w:tc>
        <w:tc>
          <w:tcPr>
            <w:tcW w:w="900" w:type="dxa"/>
            <w:tcBorders>
              <w:top w:val="dashed" w:sz="4" w:space="0" w:color="auto"/>
            </w:tcBorders>
          </w:tcPr>
          <w:p w14:paraId="731DBA7D" w14:textId="77777777" w:rsidR="00C46D25" w:rsidRPr="00335424" w:rsidRDefault="00C46D25" w:rsidP="00335424">
            <w:pPr>
              <w:widowControl w:val="0"/>
              <w:autoSpaceDE w:val="0"/>
              <w:autoSpaceDN w:val="0"/>
              <w:adjustRightInd w:val="0"/>
              <w:rPr>
                <w:b/>
              </w:rPr>
            </w:pPr>
          </w:p>
        </w:tc>
        <w:tc>
          <w:tcPr>
            <w:tcW w:w="1080" w:type="dxa"/>
            <w:tcBorders>
              <w:top w:val="dashed" w:sz="4" w:space="0" w:color="auto"/>
            </w:tcBorders>
          </w:tcPr>
          <w:p w14:paraId="56882FDD" w14:textId="77777777" w:rsidR="00C46D25" w:rsidRPr="00335424" w:rsidRDefault="00C46D25" w:rsidP="00335424">
            <w:pPr>
              <w:widowControl w:val="0"/>
              <w:autoSpaceDE w:val="0"/>
              <w:autoSpaceDN w:val="0"/>
              <w:adjustRightInd w:val="0"/>
              <w:rPr>
                <w:b/>
              </w:rPr>
            </w:pPr>
          </w:p>
        </w:tc>
      </w:tr>
      <w:tr w:rsidR="00C46D25" w14:paraId="2C36B85A" w14:textId="71335125" w:rsidTr="00770169">
        <w:tc>
          <w:tcPr>
            <w:tcW w:w="801" w:type="dxa"/>
            <w:vMerge w:val="restart"/>
            <w:vAlign w:val="center"/>
          </w:tcPr>
          <w:p w14:paraId="53C1C3F5" w14:textId="0C171A7F" w:rsidR="00C46D25" w:rsidRDefault="00C46D25" w:rsidP="00335424">
            <w:pPr>
              <w:widowControl w:val="0"/>
              <w:autoSpaceDE w:val="0"/>
              <w:autoSpaceDN w:val="0"/>
              <w:adjustRightInd w:val="0"/>
              <w:jc w:val="center"/>
              <w:rPr>
                <w:b/>
              </w:rPr>
            </w:pPr>
            <w:r>
              <w:rPr>
                <w:b/>
              </w:rPr>
              <w:t>Week 10</w:t>
            </w:r>
          </w:p>
        </w:tc>
        <w:tc>
          <w:tcPr>
            <w:tcW w:w="1077" w:type="dxa"/>
            <w:tcBorders>
              <w:bottom w:val="dashed" w:sz="4" w:space="0" w:color="auto"/>
            </w:tcBorders>
            <w:vAlign w:val="center"/>
          </w:tcPr>
          <w:p w14:paraId="4B876E70" w14:textId="32EF7A61" w:rsidR="00C46D25" w:rsidRPr="00770169" w:rsidRDefault="00C46D25" w:rsidP="00770169">
            <w:pPr>
              <w:widowControl w:val="0"/>
              <w:autoSpaceDE w:val="0"/>
              <w:autoSpaceDN w:val="0"/>
              <w:adjustRightInd w:val="0"/>
              <w:jc w:val="center"/>
            </w:pPr>
            <w:r w:rsidRPr="00770169">
              <w:t>Systolic</w:t>
            </w:r>
          </w:p>
        </w:tc>
        <w:tc>
          <w:tcPr>
            <w:tcW w:w="833" w:type="dxa"/>
            <w:tcBorders>
              <w:bottom w:val="dashed" w:sz="4" w:space="0" w:color="auto"/>
            </w:tcBorders>
          </w:tcPr>
          <w:p w14:paraId="25A49B3A" w14:textId="77777777" w:rsidR="00C46D25" w:rsidRPr="00335424" w:rsidRDefault="00C46D25" w:rsidP="00335424">
            <w:pPr>
              <w:widowControl w:val="0"/>
              <w:autoSpaceDE w:val="0"/>
              <w:autoSpaceDN w:val="0"/>
              <w:adjustRightInd w:val="0"/>
              <w:rPr>
                <w:b/>
              </w:rPr>
            </w:pPr>
          </w:p>
        </w:tc>
        <w:tc>
          <w:tcPr>
            <w:tcW w:w="832" w:type="dxa"/>
            <w:tcBorders>
              <w:bottom w:val="dashed" w:sz="4" w:space="0" w:color="auto"/>
            </w:tcBorders>
          </w:tcPr>
          <w:p w14:paraId="36E3C00F" w14:textId="77777777" w:rsidR="00C46D25" w:rsidRPr="00335424" w:rsidRDefault="00C46D25" w:rsidP="00335424">
            <w:pPr>
              <w:widowControl w:val="0"/>
              <w:autoSpaceDE w:val="0"/>
              <w:autoSpaceDN w:val="0"/>
              <w:adjustRightInd w:val="0"/>
              <w:rPr>
                <w:b/>
              </w:rPr>
            </w:pPr>
          </w:p>
        </w:tc>
        <w:tc>
          <w:tcPr>
            <w:tcW w:w="833" w:type="dxa"/>
            <w:tcBorders>
              <w:bottom w:val="dashed" w:sz="4" w:space="0" w:color="auto"/>
            </w:tcBorders>
          </w:tcPr>
          <w:p w14:paraId="5A4BDDEF" w14:textId="77777777" w:rsidR="00C46D25" w:rsidRPr="00335424" w:rsidRDefault="00C46D25" w:rsidP="00335424">
            <w:pPr>
              <w:widowControl w:val="0"/>
              <w:autoSpaceDE w:val="0"/>
              <w:autoSpaceDN w:val="0"/>
              <w:adjustRightInd w:val="0"/>
              <w:rPr>
                <w:b/>
              </w:rPr>
            </w:pPr>
          </w:p>
        </w:tc>
        <w:tc>
          <w:tcPr>
            <w:tcW w:w="861" w:type="dxa"/>
            <w:tcBorders>
              <w:bottom w:val="dashed" w:sz="4" w:space="0" w:color="auto"/>
            </w:tcBorders>
          </w:tcPr>
          <w:p w14:paraId="2B8DF58A" w14:textId="77777777" w:rsidR="00C46D25" w:rsidRPr="00335424" w:rsidRDefault="00C46D25" w:rsidP="00335424">
            <w:pPr>
              <w:widowControl w:val="0"/>
              <w:autoSpaceDE w:val="0"/>
              <w:autoSpaceDN w:val="0"/>
              <w:adjustRightInd w:val="0"/>
              <w:rPr>
                <w:b/>
              </w:rPr>
            </w:pPr>
          </w:p>
        </w:tc>
        <w:tc>
          <w:tcPr>
            <w:tcW w:w="878" w:type="dxa"/>
            <w:tcBorders>
              <w:bottom w:val="dashed" w:sz="4" w:space="0" w:color="auto"/>
            </w:tcBorders>
          </w:tcPr>
          <w:p w14:paraId="00116F33" w14:textId="77777777" w:rsidR="00C46D25" w:rsidRPr="00335424" w:rsidRDefault="00C46D25" w:rsidP="00335424">
            <w:pPr>
              <w:widowControl w:val="0"/>
              <w:autoSpaceDE w:val="0"/>
              <w:autoSpaceDN w:val="0"/>
              <w:adjustRightInd w:val="0"/>
              <w:rPr>
                <w:b/>
              </w:rPr>
            </w:pPr>
          </w:p>
        </w:tc>
        <w:tc>
          <w:tcPr>
            <w:tcW w:w="810" w:type="dxa"/>
            <w:tcBorders>
              <w:bottom w:val="dashed" w:sz="4" w:space="0" w:color="auto"/>
            </w:tcBorders>
          </w:tcPr>
          <w:p w14:paraId="37E3B69E" w14:textId="77777777" w:rsidR="00C46D25" w:rsidRPr="00335424" w:rsidRDefault="00C46D25" w:rsidP="00335424">
            <w:pPr>
              <w:widowControl w:val="0"/>
              <w:autoSpaceDE w:val="0"/>
              <w:autoSpaceDN w:val="0"/>
              <w:adjustRightInd w:val="0"/>
              <w:rPr>
                <w:b/>
              </w:rPr>
            </w:pPr>
          </w:p>
        </w:tc>
        <w:tc>
          <w:tcPr>
            <w:tcW w:w="900" w:type="dxa"/>
            <w:tcBorders>
              <w:bottom w:val="dashed" w:sz="4" w:space="0" w:color="auto"/>
            </w:tcBorders>
          </w:tcPr>
          <w:p w14:paraId="35E1A2FE" w14:textId="77777777" w:rsidR="00C46D25" w:rsidRPr="00335424" w:rsidRDefault="00C46D25" w:rsidP="00335424">
            <w:pPr>
              <w:widowControl w:val="0"/>
              <w:autoSpaceDE w:val="0"/>
              <w:autoSpaceDN w:val="0"/>
              <w:adjustRightInd w:val="0"/>
              <w:rPr>
                <w:b/>
              </w:rPr>
            </w:pPr>
          </w:p>
        </w:tc>
        <w:tc>
          <w:tcPr>
            <w:tcW w:w="1080" w:type="dxa"/>
            <w:tcBorders>
              <w:bottom w:val="dashed" w:sz="4" w:space="0" w:color="auto"/>
            </w:tcBorders>
          </w:tcPr>
          <w:p w14:paraId="58BCF1F9" w14:textId="77777777" w:rsidR="00C46D25" w:rsidRPr="00335424" w:rsidRDefault="00C46D25" w:rsidP="00335424">
            <w:pPr>
              <w:widowControl w:val="0"/>
              <w:autoSpaceDE w:val="0"/>
              <w:autoSpaceDN w:val="0"/>
              <w:adjustRightInd w:val="0"/>
              <w:rPr>
                <w:b/>
              </w:rPr>
            </w:pPr>
          </w:p>
        </w:tc>
      </w:tr>
      <w:tr w:rsidR="00C46D25" w14:paraId="2E19FFD0" w14:textId="639BCF45" w:rsidTr="00770169">
        <w:tc>
          <w:tcPr>
            <w:tcW w:w="801" w:type="dxa"/>
            <w:vMerge/>
            <w:vAlign w:val="center"/>
          </w:tcPr>
          <w:p w14:paraId="10F5DCBC" w14:textId="77777777" w:rsidR="00C46D25" w:rsidRDefault="00C46D25" w:rsidP="00335424">
            <w:pPr>
              <w:widowControl w:val="0"/>
              <w:autoSpaceDE w:val="0"/>
              <w:autoSpaceDN w:val="0"/>
              <w:adjustRightInd w:val="0"/>
              <w:jc w:val="center"/>
              <w:rPr>
                <w:b/>
              </w:rPr>
            </w:pPr>
          </w:p>
        </w:tc>
        <w:tc>
          <w:tcPr>
            <w:tcW w:w="1077" w:type="dxa"/>
            <w:tcBorders>
              <w:top w:val="dashed" w:sz="4" w:space="0" w:color="auto"/>
            </w:tcBorders>
            <w:vAlign w:val="center"/>
          </w:tcPr>
          <w:p w14:paraId="4321C75A" w14:textId="2836A9B1" w:rsidR="00C46D25" w:rsidRPr="00770169" w:rsidRDefault="00C46D25" w:rsidP="00770169">
            <w:pPr>
              <w:widowControl w:val="0"/>
              <w:autoSpaceDE w:val="0"/>
              <w:autoSpaceDN w:val="0"/>
              <w:adjustRightInd w:val="0"/>
              <w:jc w:val="center"/>
            </w:pPr>
            <w:r w:rsidRPr="00770169">
              <w:t>Diastolic</w:t>
            </w:r>
          </w:p>
        </w:tc>
        <w:tc>
          <w:tcPr>
            <w:tcW w:w="833" w:type="dxa"/>
            <w:tcBorders>
              <w:top w:val="dashed" w:sz="4" w:space="0" w:color="auto"/>
            </w:tcBorders>
          </w:tcPr>
          <w:p w14:paraId="01E9A43C" w14:textId="77777777" w:rsidR="00C46D25" w:rsidRPr="00335424" w:rsidRDefault="00C46D25" w:rsidP="00335424">
            <w:pPr>
              <w:widowControl w:val="0"/>
              <w:autoSpaceDE w:val="0"/>
              <w:autoSpaceDN w:val="0"/>
              <w:adjustRightInd w:val="0"/>
              <w:rPr>
                <w:b/>
              </w:rPr>
            </w:pPr>
          </w:p>
        </w:tc>
        <w:tc>
          <w:tcPr>
            <w:tcW w:w="832" w:type="dxa"/>
            <w:tcBorders>
              <w:top w:val="dashed" w:sz="4" w:space="0" w:color="auto"/>
            </w:tcBorders>
          </w:tcPr>
          <w:p w14:paraId="7B4E51C8" w14:textId="77777777" w:rsidR="00C46D25" w:rsidRPr="00335424" w:rsidRDefault="00C46D25" w:rsidP="00335424">
            <w:pPr>
              <w:widowControl w:val="0"/>
              <w:autoSpaceDE w:val="0"/>
              <w:autoSpaceDN w:val="0"/>
              <w:adjustRightInd w:val="0"/>
              <w:rPr>
                <w:b/>
              </w:rPr>
            </w:pPr>
          </w:p>
        </w:tc>
        <w:tc>
          <w:tcPr>
            <w:tcW w:w="833" w:type="dxa"/>
            <w:tcBorders>
              <w:top w:val="dashed" w:sz="4" w:space="0" w:color="auto"/>
            </w:tcBorders>
          </w:tcPr>
          <w:p w14:paraId="06A46A83" w14:textId="77777777" w:rsidR="00C46D25" w:rsidRPr="00335424" w:rsidRDefault="00C46D25" w:rsidP="00335424">
            <w:pPr>
              <w:widowControl w:val="0"/>
              <w:autoSpaceDE w:val="0"/>
              <w:autoSpaceDN w:val="0"/>
              <w:adjustRightInd w:val="0"/>
              <w:rPr>
                <w:b/>
              </w:rPr>
            </w:pPr>
          </w:p>
        </w:tc>
        <w:tc>
          <w:tcPr>
            <w:tcW w:w="861" w:type="dxa"/>
            <w:tcBorders>
              <w:top w:val="dashed" w:sz="4" w:space="0" w:color="auto"/>
            </w:tcBorders>
          </w:tcPr>
          <w:p w14:paraId="6C96C993" w14:textId="77777777" w:rsidR="00C46D25" w:rsidRPr="00335424" w:rsidRDefault="00C46D25" w:rsidP="00335424">
            <w:pPr>
              <w:widowControl w:val="0"/>
              <w:autoSpaceDE w:val="0"/>
              <w:autoSpaceDN w:val="0"/>
              <w:adjustRightInd w:val="0"/>
              <w:rPr>
                <w:b/>
              </w:rPr>
            </w:pPr>
          </w:p>
        </w:tc>
        <w:tc>
          <w:tcPr>
            <w:tcW w:w="878" w:type="dxa"/>
            <w:tcBorders>
              <w:top w:val="dashed" w:sz="4" w:space="0" w:color="auto"/>
            </w:tcBorders>
          </w:tcPr>
          <w:p w14:paraId="6FC01020" w14:textId="77777777" w:rsidR="00C46D25" w:rsidRPr="00335424" w:rsidRDefault="00C46D25" w:rsidP="00335424">
            <w:pPr>
              <w:widowControl w:val="0"/>
              <w:autoSpaceDE w:val="0"/>
              <w:autoSpaceDN w:val="0"/>
              <w:adjustRightInd w:val="0"/>
              <w:rPr>
                <w:b/>
              </w:rPr>
            </w:pPr>
          </w:p>
        </w:tc>
        <w:tc>
          <w:tcPr>
            <w:tcW w:w="810" w:type="dxa"/>
            <w:tcBorders>
              <w:top w:val="dashed" w:sz="4" w:space="0" w:color="auto"/>
            </w:tcBorders>
          </w:tcPr>
          <w:p w14:paraId="3637820E" w14:textId="77777777" w:rsidR="00C46D25" w:rsidRPr="00335424" w:rsidRDefault="00C46D25" w:rsidP="00335424">
            <w:pPr>
              <w:widowControl w:val="0"/>
              <w:autoSpaceDE w:val="0"/>
              <w:autoSpaceDN w:val="0"/>
              <w:adjustRightInd w:val="0"/>
              <w:rPr>
                <w:b/>
              </w:rPr>
            </w:pPr>
          </w:p>
        </w:tc>
        <w:tc>
          <w:tcPr>
            <w:tcW w:w="900" w:type="dxa"/>
            <w:tcBorders>
              <w:top w:val="dashed" w:sz="4" w:space="0" w:color="auto"/>
            </w:tcBorders>
          </w:tcPr>
          <w:p w14:paraId="0A851241" w14:textId="77777777" w:rsidR="00C46D25" w:rsidRPr="00335424" w:rsidRDefault="00C46D25" w:rsidP="00335424">
            <w:pPr>
              <w:widowControl w:val="0"/>
              <w:autoSpaceDE w:val="0"/>
              <w:autoSpaceDN w:val="0"/>
              <w:adjustRightInd w:val="0"/>
              <w:rPr>
                <w:b/>
              </w:rPr>
            </w:pPr>
          </w:p>
        </w:tc>
        <w:tc>
          <w:tcPr>
            <w:tcW w:w="1080" w:type="dxa"/>
            <w:tcBorders>
              <w:top w:val="dashed" w:sz="4" w:space="0" w:color="auto"/>
            </w:tcBorders>
          </w:tcPr>
          <w:p w14:paraId="6B6B86E5" w14:textId="77777777" w:rsidR="00C46D25" w:rsidRPr="00335424" w:rsidRDefault="00C46D25" w:rsidP="00335424">
            <w:pPr>
              <w:widowControl w:val="0"/>
              <w:autoSpaceDE w:val="0"/>
              <w:autoSpaceDN w:val="0"/>
              <w:adjustRightInd w:val="0"/>
              <w:rPr>
                <w:b/>
              </w:rPr>
            </w:pPr>
          </w:p>
        </w:tc>
      </w:tr>
      <w:tr w:rsidR="00C46D25" w14:paraId="417B01C4" w14:textId="77777777" w:rsidTr="00770169">
        <w:tc>
          <w:tcPr>
            <w:tcW w:w="801" w:type="dxa"/>
            <w:vMerge/>
            <w:vAlign w:val="center"/>
          </w:tcPr>
          <w:p w14:paraId="2FC1B691" w14:textId="77777777" w:rsidR="00C46D25" w:rsidRDefault="00C46D25" w:rsidP="00335424">
            <w:pPr>
              <w:widowControl w:val="0"/>
              <w:autoSpaceDE w:val="0"/>
              <w:autoSpaceDN w:val="0"/>
              <w:adjustRightInd w:val="0"/>
              <w:jc w:val="center"/>
              <w:rPr>
                <w:b/>
              </w:rPr>
            </w:pPr>
          </w:p>
        </w:tc>
        <w:tc>
          <w:tcPr>
            <w:tcW w:w="1077" w:type="dxa"/>
            <w:tcBorders>
              <w:top w:val="dashed" w:sz="4" w:space="0" w:color="auto"/>
            </w:tcBorders>
            <w:vAlign w:val="center"/>
          </w:tcPr>
          <w:p w14:paraId="1277E532" w14:textId="77777777" w:rsidR="00C46D25" w:rsidRPr="00770169" w:rsidRDefault="00C46D25" w:rsidP="00770169">
            <w:pPr>
              <w:widowControl w:val="0"/>
              <w:autoSpaceDE w:val="0"/>
              <w:autoSpaceDN w:val="0"/>
              <w:adjustRightInd w:val="0"/>
              <w:jc w:val="center"/>
            </w:pPr>
            <w:r w:rsidRPr="00770169">
              <w:t>Activity</w:t>
            </w:r>
          </w:p>
          <w:p w14:paraId="3585B7E9" w14:textId="77777777" w:rsidR="00C46D25" w:rsidRPr="00770169" w:rsidRDefault="00C46D25" w:rsidP="00770169">
            <w:pPr>
              <w:widowControl w:val="0"/>
              <w:autoSpaceDE w:val="0"/>
              <w:autoSpaceDN w:val="0"/>
              <w:adjustRightInd w:val="0"/>
              <w:jc w:val="center"/>
            </w:pPr>
          </w:p>
        </w:tc>
        <w:tc>
          <w:tcPr>
            <w:tcW w:w="833" w:type="dxa"/>
            <w:tcBorders>
              <w:top w:val="dashed" w:sz="4" w:space="0" w:color="auto"/>
            </w:tcBorders>
          </w:tcPr>
          <w:p w14:paraId="65ED3A50" w14:textId="77777777" w:rsidR="00C46D25" w:rsidRPr="00335424" w:rsidRDefault="00C46D25" w:rsidP="00335424">
            <w:pPr>
              <w:widowControl w:val="0"/>
              <w:autoSpaceDE w:val="0"/>
              <w:autoSpaceDN w:val="0"/>
              <w:adjustRightInd w:val="0"/>
              <w:rPr>
                <w:b/>
              </w:rPr>
            </w:pPr>
          </w:p>
        </w:tc>
        <w:tc>
          <w:tcPr>
            <w:tcW w:w="832" w:type="dxa"/>
            <w:tcBorders>
              <w:top w:val="dashed" w:sz="4" w:space="0" w:color="auto"/>
            </w:tcBorders>
          </w:tcPr>
          <w:p w14:paraId="58E2F2A4" w14:textId="77777777" w:rsidR="00C46D25" w:rsidRPr="00335424" w:rsidRDefault="00C46D25" w:rsidP="00335424">
            <w:pPr>
              <w:widowControl w:val="0"/>
              <w:autoSpaceDE w:val="0"/>
              <w:autoSpaceDN w:val="0"/>
              <w:adjustRightInd w:val="0"/>
              <w:rPr>
                <w:b/>
              </w:rPr>
            </w:pPr>
          </w:p>
        </w:tc>
        <w:tc>
          <w:tcPr>
            <w:tcW w:w="833" w:type="dxa"/>
            <w:tcBorders>
              <w:top w:val="dashed" w:sz="4" w:space="0" w:color="auto"/>
            </w:tcBorders>
          </w:tcPr>
          <w:p w14:paraId="158366C8" w14:textId="77777777" w:rsidR="00C46D25" w:rsidRPr="00335424" w:rsidRDefault="00C46D25" w:rsidP="00335424">
            <w:pPr>
              <w:widowControl w:val="0"/>
              <w:autoSpaceDE w:val="0"/>
              <w:autoSpaceDN w:val="0"/>
              <w:adjustRightInd w:val="0"/>
              <w:rPr>
                <w:b/>
              </w:rPr>
            </w:pPr>
          </w:p>
        </w:tc>
        <w:tc>
          <w:tcPr>
            <w:tcW w:w="861" w:type="dxa"/>
            <w:tcBorders>
              <w:top w:val="dashed" w:sz="4" w:space="0" w:color="auto"/>
            </w:tcBorders>
          </w:tcPr>
          <w:p w14:paraId="6D0ABB07" w14:textId="77777777" w:rsidR="00C46D25" w:rsidRPr="00335424" w:rsidRDefault="00C46D25" w:rsidP="00335424">
            <w:pPr>
              <w:widowControl w:val="0"/>
              <w:autoSpaceDE w:val="0"/>
              <w:autoSpaceDN w:val="0"/>
              <w:adjustRightInd w:val="0"/>
              <w:rPr>
                <w:b/>
              </w:rPr>
            </w:pPr>
          </w:p>
        </w:tc>
        <w:tc>
          <w:tcPr>
            <w:tcW w:w="878" w:type="dxa"/>
            <w:tcBorders>
              <w:top w:val="dashed" w:sz="4" w:space="0" w:color="auto"/>
            </w:tcBorders>
          </w:tcPr>
          <w:p w14:paraId="4FB5FA79" w14:textId="77777777" w:rsidR="00C46D25" w:rsidRPr="00335424" w:rsidRDefault="00C46D25" w:rsidP="00335424">
            <w:pPr>
              <w:widowControl w:val="0"/>
              <w:autoSpaceDE w:val="0"/>
              <w:autoSpaceDN w:val="0"/>
              <w:adjustRightInd w:val="0"/>
              <w:rPr>
                <w:b/>
              </w:rPr>
            </w:pPr>
          </w:p>
        </w:tc>
        <w:tc>
          <w:tcPr>
            <w:tcW w:w="810" w:type="dxa"/>
            <w:tcBorders>
              <w:top w:val="dashed" w:sz="4" w:space="0" w:color="auto"/>
            </w:tcBorders>
          </w:tcPr>
          <w:p w14:paraId="1356C269" w14:textId="77777777" w:rsidR="00C46D25" w:rsidRPr="00335424" w:rsidRDefault="00C46D25" w:rsidP="00335424">
            <w:pPr>
              <w:widowControl w:val="0"/>
              <w:autoSpaceDE w:val="0"/>
              <w:autoSpaceDN w:val="0"/>
              <w:adjustRightInd w:val="0"/>
              <w:rPr>
                <w:b/>
              </w:rPr>
            </w:pPr>
          </w:p>
        </w:tc>
        <w:tc>
          <w:tcPr>
            <w:tcW w:w="900" w:type="dxa"/>
            <w:tcBorders>
              <w:top w:val="dashed" w:sz="4" w:space="0" w:color="auto"/>
            </w:tcBorders>
          </w:tcPr>
          <w:p w14:paraId="026CF071" w14:textId="77777777" w:rsidR="00C46D25" w:rsidRPr="00335424" w:rsidRDefault="00C46D25" w:rsidP="00335424">
            <w:pPr>
              <w:widowControl w:val="0"/>
              <w:autoSpaceDE w:val="0"/>
              <w:autoSpaceDN w:val="0"/>
              <w:adjustRightInd w:val="0"/>
              <w:rPr>
                <w:b/>
              </w:rPr>
            </w:pPr>
          </w:p>
        </w:tc>
        <w:tc>
          <w:tcPr>
            <w:tcW w:w="1080" w:type="dxa"/>
            <w:tcBorders>
              <w:top w:val="dashed" w:sz="4" w:space="0" w:color="auto"/>
            </w:tcBorders>
          </w:tcPr>
          <w:p w14:paraId="2850DEAB" w14:textId="77777777" w:rsidR="00C46D25" w:rsidRPr="00335424" w:rsidRDefault="00C46D25" w:rsidP="00335424">
            <w:pPr>
              <w:widowControl w:val="0"/>
              <w:autoSpaceDE w:val="0"/>
              <w:autoSpaceDN w:val="0"/>
              <w:adjustRightInd w:val="0"/>
              <w:rPr>
                <w:b/>
              </w:rPr>
            </w:pPr>
          </w:p>
        </w:tc>
      </w:tr>
      <w:tr w:rsidR="00C46D25" w14:paraId="4ECD4F42" w14:textId="1722F090" w:rsidTr="00770169">
        <w:tc>
          <w:tcPr>
            <w:tcW w:w="801" w:type="dxa"/>
            <w:vMerge w:val="restart"/>
            <w:vAlign w:val="center"/>
          </w:tcPr>
          <w:p w14:paraId="24DA2B3B" w14:textId="33C8BDC5" w:rsidR="00C46D25" w:rsidRDefault="00C46D25" w:rsidP="00335424">
            <w:pPr>
              <w:widowControl w:val="0"/>
              <w:autoSpaceDE w:val="0"/>
              <w:autoSpaceDN w:val="0"/>
              <w:adjustRightInd w:val="0"/>
              <w:jc w:val="center"/>
              <w:rPr>
                <w:b/>
              </w:rPr>
            </w:pPr>
            <w:r>
              <w:rPr>
                <w:b/>
              </w:rPr>
              <w:t>Week 11</w:t>
            </w:r>
          </w:p>
        </w:tc>
        <w:tc>
          <w:tcPr>
            <w:tcW w:w="1077" w:type="dxa"/>
            <w:tcBorders>
              <w:bottom w:val="dashed" w:sz="4" w:space="0" w:color="auto"/>
            </w:tcBorders>
            <w:vAlign w:val="center"/>
          </w:tcPr>
          <w:p w14:paraId="60B93FF0" w14:textId="39C91AAA" w:rsidR="00C46D25" w:rsidRPr="00770169" w:rsidRDefault="00C46D25" w:rsidP="00770169">
            <w:pPr>
              <w:widowControl w:val="0"/>
              <w:autoSpaceDE w:val="0"/>
              <w:autoSpaceDN w:val="0"/>
              <w:adjustRightInd w:val="0"/>
              <w:jc w:val="center"/>
            </w:pPr>
            <w:r w:rsidRPr="00770169">
              <w:t>Systolic</w:t>
            </w:r>
          </w:p>
        </w:tc>
        <w:tc>
          <w:tcPr>
            <w:tcW w:w="833" w:type="dxa"/>
            <w:tcBorders>
              <w:bottom w:val="dashed" w:sz="4" w:space="0" w:color="auto"/>
            </w:tcBorders>
          </w:tcPr>
          <w:p w14:paraId="3DD6BB4C" w14:textId="77777777" w:rsidR="00C46D25" w:rsidRPr="00335424" w:rsidRDefault="00C46D25" w:rsidP="00335424">
            <w:pPr>
              <w:widowControl w:val="0"/>
              <w:autoSpaceDE w:val="0"/>
              <w:autoSpaceDN w:val="0"/>
              <w:adjustRightInd w:val="0"/>
              <w:rPr>
                <w:b/>
              </w:rPr>
            </w:pPr>
          </w:p>
        </w:tc>
        <w:tc>
          <w:tcPr>
            <w:tcW w:w="832" w:type="dxa"/>
            <w:tcBorders>
              <w:bottom w:val="dashed" w:sz="4" w:space="0" w:color="auto"/>
            </w:tcBorders>
          </w:tcPr>
          <w:p w14:paraId="71DC15AB" w14:textId="77777777" w:rsidR="00C46D25" w:rsidRPr="00335424" w:rsidRDefault="00C46D25" w:rsidP="00335424">
            <w:pPr>
              <w:widowControl w:val="0"/>
              <w:autoSpaceDE w:val="0"/>
              <w:autoSpaceDN w:val="0"/>
              <w:adjustRightInd w:val="0"/>
              <w:rPr>
                <w:b/>
              </w:rPr>
            </w:pPr>
          </w:p>
        </w:tc>
        <w:tc>
          <w:tcPr>
            <w:tcW w:w="833" w:type="dxa"/>
            <w:tcBorders>
              <w:bottom w:val="dashed" w:sz="4" w:space="0" w:color="auto"/>
            </w:tcBorders>
          </w:tcPr>
          <w:p w14:paraId="233830C4" w14:textId="77777777" w:rsidR="00C46D25" w:rsidRPr="00335424" w:rsidRDefault="00C46D25" w:rsidP="00335424">
            <w:pPr>
              <w:widowControl w:val="0"/>
              <w:autoSpaceDE w:val="0"/>
              <w:autoSpaceDN w:val="0"/>
              <w:adjustRightInd w:val="0"/>
              <w:rPr>
                <w:b/>
              </w:rPr>
            </w:pPr>
          </w:p>
        </w:tc>
        <w:tc>
          <w:tcPr>
            <w:tcW w:w="861" w:type="dxa"/>
            <w:tcBorders>
              <w:bottom w:val="dashed" w:sz="4" w:space="0" w:color="auto"/>
            </w:tcBorders>
          </w:tcPr>
          <w:p w14:paraId="3DB39B8E" w14:textId="77777777" w:rsidR="00C46D25" w:rsidRPr="00335424" w:rsidRDefault="00C46D25" w:rsidP="00335424">
            <w:pPr>
              <w:widowControl w:val="0"/>
              <w:autoSpaceDE w:val="0"/>
              <w:autoSpaceDN w:val="0"/>
              <w:adjustRightInd w:val="0"/>
              <w:rPr>
                <w:b/>
              </w:rPr>
            </w:pPr>
          </w:p>
        </w:tc>
        <w:tc>
          <w:tcPr>
            <w:tcW w:w="878" w:type="dxa"/>
            <w:tcBorders>
              <w:bottom w:val="dashed" w:sz="4" w:space="0" w:color="auto"/>
            </w:tcBorders>
          </w:tcPr>
          <w:p w14:paraId="2E6373F3" w14:textId="77777777" w:rsidR="00C46D25" w:rsidRPr="00335424" w:rsidRDefault="00C46D25" w:rsidP="00335424">
            <w:pPr>
              <w:widowControl w:val="0"/>
              <w:autoSpaceDE w:val="0"/>
              <w:autoSpaceDN w:val="0"/>
              <w:adjustRightInd w:val="0"/>
              <w:rPr>
                <w:b/>
              </w:rPr>
            </w:pPr>
          </w:p>
        </w:tc>
        <w:tc>
          <w:tcPr>
            <w:tcW w:w="810" w:type="dxa"/>
            <w:tcBorders>
              <w:bottom w:val="dashed" w:sz="4" w:space="0" w:color="auto"/>
            </w:tcBorders>
          </w:tcPr>
          <w:p w14:paraId="3863F131" w14:textId="77777777" w:rsidR="00C46D25" w:rsidRPr="00335424" w:rsidRDefault="00C46D25" w:rsidP="00335424">
            <w:pPr>
              <w:widowControl w:val="0"/>
              <w:autoSpaceDE w:val="0"/>
              <w:autoSpaceDN w:val="0"/>
              <w:adjustRightInd w:val="0"/>
              <w:rPr>
                <w:b/>
              </w:rPr>
            </w:pPr>
          </w:p>
        </w:tc>
        <w:tc>
          <w:tcPr>
            <w:tcW w:w="900" w:type="dxa"/>
            <w:tcBorders>
              <w:bottom w:val="dashed" w:sz="4" w:space="0" w:color="auto"/>
            </w:tcBorders>
          </w:tcPr>
          <w:p w14:paraId="6D28BC51" w14:textId="77777777" w:rsidR="00C46D25" w:rsidRPr="00335424" w:rsidRDefault="00C46D25" w:rsidP="00335424">
            <w:pPr>
              <w:widowControl w:val="0"/>
              <w:autoSpaceDE w:val="0"/>
              <w:autoSpaceDN w:val="0"/>
              <w:adjustRightInd w:val="0"/>
              <w:rPr>
                <w:b/>
              </w:rPr>
            </w:pPr>
          </w:p>
        </w:tc>
        <w:tc>
          <w:tcPr>
            <w:tcW w:w="1080" w:type="dxa"/>
            <w:tcBorders>
              <w:bottom w:val="dashed" w:sz="4" w:space="0" w:color="auto"/>
            </w:tcBorders>
          </w:tcPr>
          <w:p w14:paraId="3273710C" w14:textId="77777777" w:rsidR="00C46D25" w:rsidRPr="00335424" w:rsidRDefault="00C46D25" w:rsidP="00335424">
            <w:pPr>
              <w:widowControl w:val="0"/>
              <w:autoSpaceDE w:val="0"/>
              <w:autoSpaceDN w:val="0"/>
              <w:adjustRightInd w:val="0"/>
              <w:rPr>
                <w:b/>
              </w:rPr>
            </w:pPr>
          </w:p>
        </w:tc>
      </w:tr>
      <w:tr w:rsidR="00C46D25" w14:paraId="45816FB0" w14:textId="11C49DB2" w:rsidTr="00770169">
        <w:tc>
          <w:tcPr>
            <w:tcW w:w="801" w:type="dxa"/>
            <w:vMerge/>
            <w:vAlign w:val="center"/>
          </w:tcPr>
          <w:p w14:paraId="0BA980B3" w14:textId="77777777" w:rsidR="00C46D25" w:rsidRDefault="00C46D25" w:rsidP="00335424">
            <w:pPr>
              <w:widowControl w:val="0"/>
              <w:autoSpaceDE w:val="0"/>
              <w:autoSpaceDN w:val="0"/>
              <w:adjustRightInd w:val="0"/>
              <w:jc w:val="center"/>
              <w:rPr>
                <w:b/>
              </w:rPr>
            </w:pPr>
          </w:p>
        </w:tc>
        <w:tc>
          <w:tcPr>
            <w:tcW w:w="1077" w:type="dxa"/>
            <w:tcBorders>
              <w:top w:val="dashed" w:sz="4" w:space="0" w:color="auto"/>
            </w:tcBorders>
            <w:vAlign w:val="center"/>
          </w:tcPr>
          <w:p w14:paraId="00BAF892" w14:textId="7310BD21" w:rsidR="00C46D25" w:rsidRPr="00770169" w:rsidRDefault="00C46D25" w:rsidP="00770169">
            <w:pPr>
              <w:widowControl w:val="0"/>
              <w:autoSpaceDE w:val="0"/>
              <w:autoSpaceDN w:val="0"/>
              <w:adjustRightInd w:val="0"/>
              <w:jc w:val="center"/>
            </w:pPr>
            <w:r w:rsidRPr="00770169">
              <w:t>Diastolic</w:t>
            </w:r>
          </w:p>
        </w:tc>
        <w:tc>
          <w:tcPr>
            <w:tcW w:w="833" w:type="dxa"/>
            <w:tcBorders>
              <w:top w:val="dashed" w:sz="4" w:space="0" w:color="auto"/>
            </w:tcBorders>
          </w:tcPr>
          <w:p w14:paraId="1FDEAC98" w14:textId="77777777" w:rsidR="00C46D25" w:rsidRPr="00335424" w:rsidRDefault="00C46D25" w:rsidP="00335424">
            <w:pPr>
              <w:widowControl w:val="0"/>
              <w:autoSpaceDE w:val="0"/>
              <w:autoSpaceDN w:val="0"/>
              <w:adjustRightInd w:val="0"/>
              <w:rPr>
                <w:b/>
              </w:rPr>
            </w:pPr>
          </w:p>
        </w:tc>
        <w:tc>
          <w:tcPr>
            <w:tcW w:w="832" w:type="dxa"/>
            <w:tcBorders>
              <w:top w:val="dashed" w:sz="4" w:space="0" w:color="auto"/>
            </w:tcBorders>
          </w:tcPr>
          <w:p w14:paraId="3C8FF57F" w14:textId="77777777" w:rsidR="00C46D25" w:rsidRPr="00335424" w:rsidRDefault="00C46D25" w:rsidP="00335424">
            <w:pPr>
              <w:widowControl w:val="0"/>
              <w:autoSpaceDE w:val="0"/>
              <w:autoSpaceDN w:val="0"/>
              <w:adjustRightInd w:val="0"/>
              <w:rPr>
                <w:b/>
              </w:rPr>
            </w:pPr>
          </w:p>
        </w:tc>
        <w:tc>
          <w:tcPr>
            <w:tcW w:w="833" w:type="dxa"/>
            <w:tcBorders>
              <w:top w:val="dashed" w:sz="4" w:space="0" w:color="auto"/>
            </w:tcBorders>
          </w:tcPr>
          <w:p w14:paraId="79C9E9E7" w14:textId="77777777" w:rsidR="00C46D25" w:rsidRPr="00335424" w:rsidRDefault="00C46D25" w:rsidP="00335424">
            <w:pPr>
              <w:widowControl w:val="0"/>
              <w:autoSpaceDE w:val="0"/>
              <w:autoSpaceDN w:val="0"/>
              <w:adjustRightInd w:val="0"/>
              <w:rPr>
                <w:b/>
              </w:rPr>
            </w:pPr>
          </w:p>
        </w:tc>
        <w:tc>
          <w:tcPr>
            <w:tcW w:w="861" w:type="dxa"/>
            <w:tcBorders>
              <w:top w:val="dashed" w:sz="4" w:space="0" w:color="auto"/>
            </w:tcBorders>
          </w:tcPr>
          <w:p w14:paraId="521F467E" w14:textId="77777777" w:rsidR="00C46D25" w:rsidRPr="00335424" w:rsidRDefault="00C46D25" w:rsidP="00335424">
            <w:pPr>
              <w:widowControl w:val="0"/>
              <w:autoSpaceDE w:val="0"/>
              <w:autoSpaceDN w:val="0"/>
              <w:adjustRightInd w:val="0"/>
              <w:rPr>
                <w:b/>
              </w:rPr>
            </w:pPr>
          </w:p>
        </w:tc>
        <w:tc>
          <w:tcPr>
            <w:tcW w:w="878" w:type="dxa"/>
            <w:tcBorders>
              <w:top w:val="dashed" w:sz="4" w:space="0" w:color="auto"/>
            </w:tcBorders>
          </w:tcPr>
          <w:p w14:paraId="14E0281E" w14:textId="77777777" w:rsidR="00C46D25" w:rsidRPr="00335424" w:rsidRDefault="00C46D25" w:rsidP="00335424">
            <w:pPr>
              <w:widowControl w:val="0"/>
              <w:autoSpaceDE w:val="0"/>
              <w:autoSpaceDN w:val="0"/>
              <w:adjustRightInd w:val="0"/>
              <w:rPr>
                <w:b/>
              </w:rPr>
            </w:pPr>
          </w:p>
        </w:tc>
        <w:tc>
          <w:tcPr>
            <w:tcW w:w="810" w:type="dxa"/>
            <w:tcBorders>
              <w:top w:val="dashed" w:sz="4" w:space="0" w:color="auto"/>
            </w:tcBorders>
          </w:tcPr>
          <w:p w14:paraId="766FC04A" w14:textId="77777777" w:rsidR="00C46D25" w:rsidRPr="00335424" w:rsidRDefault="00C46D25" w:rsidP="00335424">
            <w:pPr>
              <w:widowControl w:val="0"/>
              <w:autoSpaceDE w:val="0"/>
              <w:autoSpaceDN w:val="0"/>
              <w:adjustRightInd w:val="0"/>
              <w:rPr>
                <w:b/>
              </w:rPr>
            </w:pPr>
          </w:p>
        </w:tc>
        <w:tc>
          <w:tcPr>
            <w:tcW w:w="900" w:type="dxa"/>
            <w:tcBorders>
              <w:top w:val="dashed" w:sz="4" w:space="0" w:color="auto"/>
            </w:tcBorders>
          </w:tcPr>
          <w:p w14:paraId="3830DC55" w14:textId="77777777" w:rsidR="00C46D25" w:rsidRPr="00335424" w:rsidRDefault="00C46D25" w:rsidP="00335424">
            <w:pPr>
              <w:widowControl w:val="0"/>
              <w:autoSpaceDE w:val="0"/>
              <w:autoSpaceDN w:val="0"/>
              <w:adjustRightInd w:val="0"/>
              <w:rPr>
                <w:b/>
              </w:rPr>
            </w:pPr>
          </w:p>
        </w:tc>
        <w:tc>
          <w:tcPr>
            <w:tcW w:w="1080" w:type="dxa"/>
            <w:tcBorders>
              <w:top w:val="dashed" w:sz="4" w:space="0" w:color="auto"/>
            </w:tcBorders>
          </w:tcPr>
          <w:p w14:paraId="3EE28251" w14:textId="77777777" w:rsidR="00C46D25" w:rsidRPr="00335424" w:rsidRDefault="00C46D25" w:rsidP="00335424">
            <w:pPr>
              <w:widowControl w:val="0"/>
              <w:autoSpaceDE w:val="0"/>
              <w:autoSpaceDN w:val="0"/>
              <w:adjustRightInd w:val="0"/>
              <w:rPr>
                <w:b/>
              </w:rPr>
            </w:pPr>
          </w:p>
        </w:tc>
      </w:tr>
      <w:tr w:rsidR="00C46D25" w14:paraId="4529CF2B" w14:textId="77777777" w:rsidTr="00770169">
        <w:tc>
          <w:tcPr>
            <w:tcW w:w="801" w:type="dxa"/>
            <w:vMerge/>
            <w:vAlign w:val="center"/>
          </w:tcPr>
          <w:p w14:paraId="767A4DEE" w14:textId="77777777" w:rsidR="00C46D25" w:rsidRDefault="00C46D25" w:rsidP="00335424">
            <w:pPr>
              <w:widowControl w:val="0"/>
              <w:autoSpaceDE w:val="0"/>
              <w:autoSpaceDN w:val="0"/>
              <w:adjustRightInd w:val="0"/>
              <w:jc w:val="center"/>
              <w:rPr>
                <w:b/>
              </w:rPr>
            </w:pPr>
          </w:p>
        </w:tc>
        <w:tc>
          <w:tcPr>
            <w:tcW w:w="1077" w:type="dxa"/>
            <w:tcBorders>
              <w:top w:val="dashed" w:sz="4" w:space="0" w:color="auto"/>
            </w:tcBorders>
            <w:vAlign w:val="center"/>
          </w:tcPr>
          <w:p w14:paraId="5339799E" w14:textId="77777777" w:rsidR="00C46D25" w:rsidRPr="00770169" w:rsidRDefault="00C46D25" w:rsidP="00770169">
            <w:pPr>
              <w:widowControl w:val="0"/>
              <w:autoSpaceDE w:val="0"/>
              <w:autoSpaceDN w:val="0"/>
              <w:adjustRightInd w:val="0"/>
              <w:jc w:val="center"/>
            </w:pPr>
            <w:r w:rsidRPr="00770169">
              <w:t>Activity</w:t>
            </w:r>
          </w:p>
          <w:p w14:paraId="4D0C9115" w14:textId="77777777" w:rsidR="00C46D25" w:rsidRPr="00770169" w:rsidRDefault="00C46D25" w:rsidP="00770169">
            <w:pPr>
              <w:widowControl w:val="0"/>
              <w:autoSpaceDE w:val="0"/>
              <w:autoSpaceDN w:val="0"/>
              <w:adjustRightInd w:val="0"/>
              <w:jc w:val="center"/>
            </w:pPr>
          </w:p>
        </w:tc>
        <w:tc>
          <w:tcPr>
            <w:tcW w:w="833" w:type="dxa"/>
            <w:tcBorders>
              <w:top w:val="dashed" w:sz="4" w:space="0" w:color="auto"/>
            </w:tcBorders>
          </w:tcPr>
          <w:p w14:paraId="7626A293" w14:textId="77777777" w:rsidR="00C46D25" w:rsidRPr="00335424" w:rsidRDefault="00C46D25" w:rsidP="00335424">
            <w:pPr>
              <w:widowControl w:val="0"/>
              <w:autoSpaceDE w:val="0"/>
              <w:autoSpaceDN w:val="0"/>
              <w:adjustRightInd w:val="0"/>
              <w:rPr>
                <w:b/>
              </w:rPr>
            </w:pPr>
          </w:p>
        </w:tc>
        <w:tc>
          <w:tcPr>
            <w:tcW w:w="832" w:type="dxa"/>
            <w:tcBorders>
              <w:top w:val="dashed" w:sz="4" w:space="0" w:color="auto"/>
            </w:tcBorders>
          </w:tcPr>
          <w:p w14:paraId="4337DA56" w14:textId="77777777" w:rsidR="00C46D25" w:rsidRPr="00335424" w:rsidRDefault="00C46D25" w:rsidP="00335424">
            <w:pPr>
              <w:widowControl w:val="0"/>
              <w:autoSpaceDE w:val="0"/>
              <w:autoSpaceDN w:val="0"/>
              <w:adjustRightInd w:val="0"/>
              <w:rPr>
                <w:b/>
              </w:rPr>
            </w:pPr>
          </w:p>
        </w:tc>
        <w:tc>
          <w:tcPr>
            <w:tcW w:w="833" w:type="dxa"/>
            <w:tcBorders>
              <w:top w:val="dashed" w:sz="4" w:space="0" w:color="auto"/>
            </w:tcBorders>
          </w:tcPr>
          <w:p w14:paraId="50BFF5AD" w14:textId="77777777" w:rsidR="00C46D25" w:rsidRPr="00335424" w:rsidRDefault="00C46D25" w:rsidP="00335424">
            <w:pPr>
              <w:widowControl w:val="0"/>
              <w:autoSpaceDE w:val="0"/>
              <w:autoSpaceDN w:val="0"/>
              <w:adjustRightInd w:val="0"/>
              <w:rPr>
                <w:b/>
              </w:rPr>
            </w:pPr>
          </w:p>
        </w:tc>
        <w:tc>
          <w:tcPr>
            <w:tcW w:w="861" w:type="dxa"/>
            <w:tcBorders>
              <w:top w:val="dashed" w:sz="4" w:space="0" w:color="auto"/>
            </w:tcBorders>
          </w:tcPr>
          <w:p w14:paraId="6F40BEEB" w14:textId="77777777" w:rsidR="00C46D25" w:rsidRPr="00335424" w:rsidRDefault="00C46D25" w:rsidP="00335424">
            <w:pPr>
              <w:widowControl w:val="0"/>
              <w:autoSpaceDE w:val="0"/>
              <w:autoSpaceDN w:val="0"/>
              <w:adjustRightInd w:val="0"/>
              <w:rPr>
                <w:b/>
              </w:rPr>
            </w:pPr>
          </w:p>
        </w:tc>
        <w:tc>
          <w:tcPr>
            <w:tcW w:w="878" w:type="dxa"/>
            <w:tcBorders>
              <w:top w:val="dashed" w:sz="4" w:space="0" w:color="auto"/>
            </w:tcBorders>
          </w:tcPr>
          <w:p w14:paraId="21E92BBE" w14:textId="77777777" w:rsidR="00C46D25" w:rsidRPr="00335424" w:rsidRDefault="00C46D25" w:rsidP="00335424">
            <w:pPr>
              <w:widowControl w:val="0"/>
              <w:autoSpaceDE w:val="0"/>
              <w:autoSpaceDN w:val="0"/>
              <w:adjustRightInd w:val="0"/>
              <w:rPr>
                <w:b/>
              </w:rPr>
            </w:pPr>
          </w:p>
        </w:tc>
        <w:tc>
          <w:tcPr>
            <w:tcW w:w="810" w:type="dxa"/>
            <w:tcBorders>
              <w:top w:val="dashed" w:sz="4" w:space="0" w:color="auto"/>
            </w:tcBorders>
          </w:tcPr>
          <w:p w14:paraId="093FE0EF" w14:textId="77777777" w:rsidR="00C46D25" w:rsidRPr="00335424" w:rsidRDefault="00C46D25" w:rsidP="00335424">
            <w:pPr>
              <w:widowControl w:val="0"/>
              <w:autoSpaceDE w:val="0"/>
              <w:autoSpaceDN w:val="0"/>
              <w:adjustRightInd w:val="0"/>
              <w:rPr>
                <w:b/>
              </w:rPr>
            </w:pPr>
          </w:p>
        </w:tc>
        <w:tc>
          <w:tcPr>
            <w:tcW w:w="900" w:type="dxa"/>
            <w:tcBorders>
              <w:top w:val="dashed" w:sz="4" w:space="0" w:color="auto"/>
            </w:tcBorders>
          </w:tcPr>
          <w:p w14:paraId="72A4DA2F" w14:textId="77777777" w:rsidR="00C46D25" w:rsidRPr="00335424" w:rsidRDefault="00C46D25" w:rsidP="00335424">
            <w:pPr>
              <w:widowControl w:val="0"/>
              <w:autoSpaceDE w:val="0"/>
              <w:autoSpaceDN w:val="0"/>
              <w:adjustRightInd w:val="0"/>
              <w:rPr>
                <w:b/>
              </w:rPr>
            </w:pPr>
          </w:p>
        </w:tc>
        <w:tc>
          <w:tcPr>
            <w:tcW w:w="1080" w:type="dxa"/>
            <w:tcBorders>
              <w:top w:val="dashed" w:sz="4" w:space="0" w:color="auto"/>
            </w:tcBorders>
          </w:tcPr>
          <w:p w14:paraId="3953211B" w14:textId="77777777" w:rsidR="00C46D25" w:rsidRPr="00335424" w:rsidRDefault="00C46D25" w:rsidP="00335424">
            <w:pPr>
              <w:widowControl w:val="0"/>
              <w:autoSpaceDE w:val="0"/>
              <w:autoSpaceDN w:val="0"/>
              <w:adjustRightInd w:val="0"/>
              <w:rPr>
                <w:b/>
              </w:rPr>
            </w:pPr>
          </w:p>
        </w:tc>
      </w:tr>
      <w:tr w:rsidR="00C46D25" w14:paraId="127F8395" w14:textId="12AE304D" w:rsidTr="00770169">
        <w:tc>
          <w:tcPr>
            <w:tcW w:w="801" w:type="dxa"/>
            <w:vMerge w:val="restart"/>
            <w:vAlign w:val="center"/>
          </w:tcPr>
          <w:p w14:paraId="76A20D90" w14:textId="3724F1A1" w:rsidR="00C46D25" w:rsidRDefault="00C46D25" w:rsidP="00335424">
            <w:pPr>
              <w:widowControl w:val="0"/>
              <w:autoSpaceDE w:val="0"/>
              <w:autoSpaceDN w:val="0"/>
              <w:adjustRightInd w:val="0"/>
              <w:jc w:val="center"/>
              <w:rPr>
                <w:b/>
              </w:rPr>
            </w:pPr>
            <w:r>
              <w:rPr>
                <w:b/>
              </w:rPr>
              <w:t>Week 12</w:t>
            </w:r>
          </w:p>
        </w:tc>
        <w:tc>
          <w:tcPr>
            <w:tcW w:w="1077" w:type="dxa"/>
            <w:tcBorders>
              <w:bottom w:val="dashed" w:sz="4" w:space="0" w:color="auto"/>
            </w:tcBorders>
            <w:vAlign w:val="center"/>
          </w:tcPr>
          <w:p w14:paraId="41EF3EFB" w14:textId="5EE70E52" w:rsidR="00C46D25" w:rsidRPr="00770169" w:rsidRDefault="00C46D25" w:rsidP="00770169">
            <w:pPr>
              <w:widowControl w:val="0"/>
              <w:autoSpaceDE w:val="0"/>
              <w:autoSpaceDN w:val="0"/>
              <w:adjustRightInd w:val="0"/>
              <w:jc w:val="center"/>
            </w:pPr>
            <w:r w:rsidRPr="00770169">
              <w:t>Systolic</w:t>
            </w:r>
          </w:p>
        </w:tc>
        <w:tc>
          <w:tcPr>
            <w:tcW w:w="833" w:type="dxa"/>
            <w:tcBorders>
              <w:bottom w:val="dashed" w:sz="4" w:space="0" w:color="auto"/>
            </w:tcBorders>
          </w:tcPr>
          <w:p w14:paraId="124FEBCB" w14:textId="77777777" w:rsidR="00C46D25" w:rsidRPr="00335424" w:rsidRDefault="00C46D25" w:rsidP="00335424">
            <w:pPr>
              <w:widowControl w:val="0"/>
              <w:autoSpaceDE w:val="0"/>
              <w:autoSpaceDN w:val="0"/>
              <w:adjustRightInd w:val="0"/>
              <w:rPr>
                <w:b/>
              </w:rPr>
            </w:pPr>
          </w:p>
        </w:tc>
        <w:tc>
          <w:tcPr>
            <w:tcW w:w="832" w:type="dxa"/>
            <w:tcBorders>
              <w:bottom w:val="dashed" w:sz="4" w:space="0" w:color="auto"/>
            </w:tcBorders>
          </w:tcPr>
          <w:p w14:paraId="1F157E99" w14:textId="77777777" w:rsidR="00C46D25" w:rsidRPr="00335424" w:rsidRDefault="00C46D25" w:rsidP="00335424">
            <w:pPr>
              <w:widowControl w:val="0"/>
              <w:autoSpaceDE w:val="0"/>
              <w:autoSpaceDN w:val="0"/>
              <w:adjustRightInd w:val="0"/>
              <w:rPr>
                <w:b/>
              </w:rPr>
            </w:pPr>
          </w:p>
        </w:tc>
        <w:tc>
          <w:tcPr>
            <w:tcW w:w="833" w:type="dxa"/>
            <w:tcBorders>
              <w:bottom w:val="dashed" w:sz="4" w:space="0" w:color="auto"/>
            </w:tcBorders>
          </w:tcPr>
          <w:p w14:paraId="16A681BC" w14:textId="77777777" w:rsidR="00C46D25" w:rsidRPr="00335424" w:rsidRDefault="00C46D25" w:rsidP="00335424">
            <w:pPr>
              <w:widowControl w:val="0"/>
              <w:autoSpaceDE w:val="0"/>
              <w:autoSpaceDN w:val="0"/>
              <w:adjustRightInd w:val="0"/>
              <w:rPr>
                <w:b/>
              </w:rPr>
            </w:pPr>
          </w:p>
        </w:tc>
        <w:tc>
          <w:tcPr>
            <w:tcW w:w="861" w:type="dxa"/>
            <w:tcBorders>
              <w:bottom w:val="dashed" w:sz="4" w:space="0" w:color="auto"/>
            </w:tcBorders>
          </w:tcPr>
          <w:p w14:paraId="0CCBCE16" w14:textId="77777777" w:rsidR="00C46D25" w:rsidRPr="00335424" w:rsidRDefault="00C46D25" w:rsidP="00335424">
            <w:pPr>
              <w:widowControl w:val="0"/>
              <w:autoSpaceDE w:val="0"/>
              <w:autoSpaceDN w:val="0"/>
              <w:adjustRightInd w:val="0"/>
              <w:rPr>
                <w:b/>
              </w:rPr>
            </w:pPr>
          </w:p>
        </w:tc>
        <w:tc>
          <w:tcPr>
            <w:tcW w:w="878" w:type="dxa"/>
            <w:tcBorders>
              <w:bottom w:val="dashed" w:sz="4" w:space="0" w:color="auto"/>
            </w:tcBorders>
          </w:tcPr>
          <w:p w14:paraId="01ADCBBB" w14:textId="77777777" w:rsidR="00C46D25" w:rsidRPr="00335424" w:rsidRDefault="00C46D25" w:rsidP="00335424">
            <w:pPr>
              <w:widowControl w:val="0"/>
              <w:autoSpaceDE w:val="0"/>
              <w:autoSpaceDN w:val="0"/>
              <w:adjustRightInd w:val="0"/>
              <w:rPr>
                <w:b/>
              </w:rPr>
            </w:pPr>
          </w:p>
        </w:tc>
        <w:tc>
          <w:tcPr>
            <w:tcW w:w="810" w:type="dxa"/>
            <w:tcBorders>
              <w:bottom w:val="dashed" w:sz="4" w:space="0" w:color="auto"/>
            </w:tcBorders>
          </w:tcPr>
          <w:p w14:paraId="036D7F15" w14:textId="77777777" w:rsidR="00C46D25" w:rsidRPr="00335424" w:rsidRDefault="00C46D25" w:rsidP="00335424">
            <w:pPr>
              <w:widowControl w:val="0"/>
              <w:autoSpaceDE w:val="0"/>
              <w:autoSpaceDN w:val="0"/>
              <w:adjustRightInd w:val="0"/>
              <w:rPr>
                <w:b/>
              </w:rPr>
            </w:pPr>
          </w:p>
        </w:tc>
        <w:tc>
          <w:tcPr>
            <w:tcW w:w="900" w:type="dxa"/>
            <w:tcBorders>
              <w:bottom w:val="dashed" w:sz="4" w:space="0" w:color="auto"/>
            </w:tcBorders>
          </w:tcPr>
          <w:p w14:paraId="1AB0FA50" w14:textId="77777777" w:rsidR="00C46D25" w:rsidRPr="00335424" w:rsidRDefault="00C46D25" w:rsidP="00335424">
            <w:pPr>
              <w:widowControl w:val="0"/>
              <w:autoSpaceDE w:val="0"/>
              <w:autoSpaceDN w:val="0"/>
              <w:adjustRightInd w:val="0"/>
              <w:rPr>
                <w:b/>
              </w:rPr>
            </w:pPr>
          </w:p>
        </w:tc>
        <w:tc>
          <w:tcPr>
            <w:tcW w:w="1080" w:type="dxa"/>
            <w:tcBorders>
              <w:bottom w:val="dashed" w:sz="4" w:space="0" w:color="auto"/>
            </w:tcBorders>
          </w:tcPr>
          <w:p w14:paraId="3F7FA967" w14:textId="77777777" w:rsidR="00C46D25" w:rsidRPr="00335424" w:rsidRDefault="00C46D25" w:rsidP="00335424">
            <w:pPr>
              <w:widowControl w:val="0"/>
              <w:autoSpaceDE w:val="0"/>
              <w:autoSpaceDN w:val="0"/>
              <w:adjustRightInd w:val="0"/>
              <w:rPr>
                <w:b/>
              </w:rPr>
            </w:pPr>
          </w:p>
        </w:tc>
      </w:tr>
      <w:tr w:rsidR="00C46D25" w14:paraId="289D3795" w14:textId="1F92AD6F" w:rsidTr="00770169">
        <w:tc>
          <w:tcPr>
            <w:tcW w:w="801" w:type="dxa"/>
            <w:vMerge/>
            <w:vAlign w:val="center"/>
          </w:tcPr>
          <w:p w14:paraId="32A4E97F" w14:textId="77777777" w:rsidR="00C46D25" w:rsidRDefault="00C46D25" w:rsidP="00335424">
            <w:pPr>
              <w:widowControl w:val="0"/>
              <w:autoSpaceDE w:val="0"/>
              <w:autoSpaceDN w:val="0"/>
              <w:adjustRightInd w:val="0"/>
              <w:jc w:val="center"/>
              <w:rPr>
                <w:b/>
              </w:rPr>
            </w:pPr>
          </w:p>
        </w:tc>
        <w:tc>
          <w:tcPr>
            <w:tcW w:w="1077" w:type="dxa"/>
            <w:tcBorders>
              <w:top w:val="dashed" w:sz="4" w:space="0" w:color="auto"/>
            </w:tcBorders>
            <w:vAlign w:val="center"/>
          </w:tcPr>
          <w:p w14:paraId="7B9E87CC" w14:textId="611D5640" w:rsidR="00C46D25" w:rsidRPr="00770169" w:rsidRDefault="00C46D25" w:rsidP="00770169">
            <w:pPr>
              <w:widowControl w:val="0"/>
              <w:autoSpaceDE w:val="0"/>
              <w:autoSpaceDN w:val="0"/>
              <w:adjustRightInd w:val="0"/>
              <w:jc w:val="center"/>
            </w:pPr>
            <w:r w:rsidRPr="00770169">
              <w:t>Diastolic</w:t>
            </w:r>
          </w:p>
        </w:tc>
        <w:tc>
          <w:tcPr>
            <w:tcW w:w="833" w:type="dxa"/>
            <w:tcBorders>
              <w:top w:val="dashed" w:sz="4" w:space="0" w:color="auto"/>
            </w:tcBorders>
          </w:tcPr>
          <w:p w14:paraId="0BCC9513" w14:textId="77777777" w:rsidR="00C46D25" w:rsidRPr="00335424" w:rsidRDefault="00C46D25" w:rsidP="00335424">
            <w:pPr>
              <w:widowControl w:val="0"/>
              <w:autoSpaceDE w:val="0"/>
              <w:autoSpaceDN w:val="0"/>
              <w:adjustRightInd w:val="0"/>
              <w:rPr>
                <w:b/>
              </w:rPr>
            </w:pPr>
          </w:p>
        </w:tc>
        <w:tc>
          <w:tcPr>
            <w:tcW w:w="832" w:type="dxa"/>
            <w:tcBorders>
              <w:top w:val="dashed" w:sz="4" w:space="0" w:color="auto"/>
            </w:tcBorders>
          </w:tcPr>
          <w:p w14:paraId="427FA609" w14:textId="77777777" w:rsidR="00C46D25" w:rsidRPr="00335424" w:rsidRDefault="00C46D25" w:rsidP="00335424">
            <w:pPr>
              <w:widowControl w:val="0"/>
              <w:autoSpaceDE w:val="0"/>
              <w:autoSpaceDN w:val="0"/>
              <w:adjustRightInd w:val="0"/>
              <w:rPr>
                <w:b/>
              </w:rPr>
            </w:pPr>
          </w:p>
        </w:tc>
        <w:tc>
          <w:tcPr>
            <w:tcW w:w="833" w:type="dxa"/>
            <w:tcBorders>
              <w:top w:val="dashed" w:sz="4" w:space="0" w:color="auto"/>
            </w:tcBorders>
          </w:tcPr>
          <w:p w14:paraId="36118096" w14:textId="77777777" w:rsidR="00C46D25" w:rsidRPr="00335424" w:rsidRDefault="00C46D25" w:rsidP="00335424">
            <w:pPr>
              <w:widowControl w:val="0"/>
              <w:autoSpaceDE w:val="0"/>
              <w:autoSpaceDN w:val="0"/>
              <w:adjustRightInd w:val="0"/>
              <w:rPr>
                <w:b/>
              </w:rPr>
            </w:pPr>
          </w:p>
        </w:tc>
        <w:tc>
          <w:tcPr>
            <w:tcW w:w="861" w:type="dxa"/>
            <w:tcBorders>
              <w:top w:val="dashed" w:sz="4" w:space="0" w:color="auto"/>
            </w:tcBorders>
          </w:tcPr>
          <w:p w14:paraId="587EC1BF" w14:textId="77777777" w:rsidR="00C46D25" w:rsidRPr="00335424" w:rsidRDefault="00C46D25" w:rsidP="00335424">
            <w:pPr>
              <w:widowControl w:val="0"/>
              <w:autoSpaceDE w:val="0"/>
              <w:autoSpaceDN w:val="0"/>
              <w:adjustRightInd w:val="0"/>
              <w:rPr>
                <w:b/>
              </w:rPr>
            </w:pPr>
          </w:p>
        </w:tc>
        <w:tc>
          <w:tcPr>
            <w:tcW w:w="878" w:type="dxa"/>
            <w:tcBorders>
              <w:top w:val="dashed" w:sz="4" w:space="0" w:color="auto"/>
            </w:tcBorders>
          </w:tcPr>
          <w:p w14:paraId="11DBB2A0" w14:textId="77777777" w:rsidR="00C46D25" w:rsidRPr="00335424" w:rsidRDefault="00C46D25" w:rsidP="00335424">
            <w:pPr>
              <w:widowControl w:val="0"/>
              <w:autoSpaceDE w:val="0"/>
              <w:autoSpaceDN w:val="0"/>
              <w:adjustRightInd w:val="0"/>
              <w:rPr>
                <w:b/>
              </w:rPr>
            </w:pPr>
          </w:p>
        </w:tc>
        <w:tc>
          <w:tcPr>
            <w:tcW w:w="810" w:type="dxa"/>
            <w:tcBorders>
              <w:top w:val="dashed" w:sz="4" w:space="0" w:color="auto"/>
            </w:tcBorders>
          </w:tcPr>
          <w:p w14:paraId="34606FBB" w14:textId="77777777" w:rsidR="00C46D25" w:rsidRPr="00335424" w:rsidRDefault="00C46D25" w:rsidP="00335424">
            <w:pPr>
              <w:widowControl w:val="0"/>
              <w:autoSpaceDE w:val="0"/>
              <w:autoSpaceDN w:val="0"/>
              <w:adjustRightInd w:val="0"/>
              <w:rPr>
                <w:b/>
              </w:rPr>
            </w:pPr>
          </w:p>
        </w:tc>
        <w:tc>
          <w:tcPr>
            <w:tcW w:w="900" w:type="dxa"/>
            <w:tcBorders>
              <w:top w:val="dashed" w:sz="4" w:space="0" w:color="auto"/>
            </w:tcBorders>
          </w:tcPr>
          <w:p w14:paraId="72AB16F9" w14:textId="77777777" w:rsidR="00C46D25" w:rsidRPr="00335424" w:rsidRDefault="00C46D25" w:rsidP="00335424">
            <w:pPr>
              <w:widowControl w:val="0"/>
              <w:autoSpaceDE w:val="0"/>
              <w:autoSpaceDN w:val="0"/>
              <w:adjustRightInd w:val="0"/>
              <w:rPr>
                <w:b/>
              </w:rPr>
            </w:pPr>
          </w:p>
        </w:tc>
        <w:tc>
          <w:tcPr>
            <w:tcW w:w="1080" w:type="dxa"/>
            <w:tcBorders>
              <w:top w:val="dashed" w:sz="4" w:space="0" w:color="auto"/>
            </w:tcBorders>
          </w:tcPr>
          <w:p w14:paraId="59144D12" w14:textId="77777777" w:rsidR="00C46D25" w:rsidRPr="00335424" w:rsidRDefault="00C46D25" w:rsidP="00335424">
            <w:pPr>
              <w:widowControl w:val="0"/>
              <w:autoSpaceDE w:val="0"/>
              <w:autoSpaceDN w:val="0"/>
              <w:adjustRightInd w:val="0"/>
              <w:rPr>
                <w:b/>
              </w:rPr>
            </w:pPr>
          </w:p>
        </w:tc>
      </w:tr>
      <w:tr w:rsidR="00C46D25" w14:paraId="39569C43" w14:textId="77777777" w:rsidTr="00770169">
        <w:tc>
          <w:tcPr>
            <w:tcW w:w="801" w:type="dxa"/>
            <w:vMerge/>
            <w:vAlign w:val="center"/>
          </w:tcPr>
          <w:p w14:paraId="4DF0B9F6" w14:textId="77777777" w:rsidR="00C46D25" w:rsidRDefault="00C46D25" w:rsidP="00335424">
            <w:pPr>
              <w:widowControl w:val="0"/>
              <w:autoSpaceDE w:val="0"/>
              <w:autoSpaceDN w:val="0"/>
              <w:adjustRightInd w:val="0"/>
              <w:jc w:val="center"/>
              <w:rPr>
                <w:b/>
              </w:rPr>
            </w:pPr>
          </w:p>
        </w:tc>
        <w:tc>
          <w:tcPr>
            <w:tcW w:w="1077" w:type="dxa"/>
            <w:tcBorders>
              <w:top w:val="dashed" w:sz="4" w:space="0" w:color="auto"/>
            </w:tcBorders>
            <w:vAlign w:val="center"/>
          </w:tcPr>
          <w:p w14:paraId="6F4A73CE" w14:textId="77777777" w:rsidR="00C46D25" w:rsidRPr="00770169" w:rsidRDefault="00C46D25" w:rsidP="00770169">
            <w:pPr>
              <w:widowControl w:val="0"/>
              <w:autoSpaceDE w:val="0"/>
              <w:autoSpaceDN w:val="0"/>
              <w:adjustRightInd w:val="0"/>
              <w:jc w:val="center"/>
            </w:pPr>
            <w:r w:rsidRPr="00770169">
              <w:t>Activity</w:t>
            </w:r>
          </w:p>
          <w:p w14:paraId="271AFF64" w14:textId="77777777" w:rsidR="00C46D25" w:rsidRPr="00770169" w:rsidRDefault="00C46D25" w:rsidP="00770169">
            <w:pPr>
              <w:widowControl w:val="0"/>
              <w:autoSpaceDE w:val="0"/>
              <w:autoSpaceDN w:val="0"/>
              <w:adjustRightInd w:val="0"/>
              <w:jc w:val="center"/>
            </w:pPr>
          </w:p>
        </w:tc>
        <w:tc>
          <w:tcPr>
            <w:tcW w:w="833" w:type="dxa"/>
            <w:tcBorders>
              <w:top w:val="dashed" w:sz="4" w:space="0" w:color="auto"/>
            </w:tcBorders>
          </w:tcPr>
          <w:p w14:paraId="51C45DD1" w14:textId="77777777" w:rsidR="00C46D25" w:rsidRPr="00335424" w:rsidRDefault="00C46D25" w:rsidP="00335424">
            <w:pPr>
              <w:widowControl w:val="0"/>
              <w:autoSpaceDE w:val="0"/>
              <w:autoSpaceDN w:val="0"/>
              <w:adjustRightInd w:val="0"/>
              <w:rPr>
                <w:b/>
              </w:rPr>
            </w:pPr>
          </w:p>
        </w:tc>
        <w:tc>
          <w:tcPr>
            <w:tcW w:w="832" w:type="dxa"/>
            <w:tcBorders>
              <w:top w:val="dashed" w:sz="4" w:space="0" w:color="auto"/>
            </w:tcBorders>
          </w:tcPr>
          <w:p w14:paraId="7550077E" w14:textId="77777777" w:rsidR="00C46D25" w:rsidRPr="00335424" w:rsidRDefault="00C46D25" w:rsidP="00335424">
            <w:pPr>
              <w:widowControl w:val="0"/>
              <w:autoSpaceDE w:val="0"/>
              <w:autoSpaceDN w:val="0"/>
              <w:adjustRightInd w:val="0"/>
              <w:rPr>
                <w:b/>
              </w:rPr>
            </w:pPr>
          </w:p>
        </w:tc>
        <w:tc>
          <w:tcPr>
            <w:tcW w:w="833" w:type="dxa"/>
            <w:tcBorders>
              <w:top w:val="dashed" w:sz="4" w:space="0" w:color="auto"/>
            </w:tcBorders>
          </w:tcPr>
          <w:p w14:paraId="1A3C748C" w14:textId="77777777" w:rsidR="00C46D25" w:rsidRPr="00335424" w:rsidRDefault="00C46D25" w:rsidP="00335424">
            <w:pPr>
              <w:widowControl w:val="0"/>
              <w:autoSpaceDE w:val="0"/>
              <w:autoSpaceDN w:val="0"/>
              <w:adjustRightInd w:val="0"/>
              <w:rPr>
                <w:b/>
              </w:rPr>
            </w:pPr>
          </w:p>
        </w:tc>
        <w:tc>
          <w:tcPr>
            <w:tcW w:w="861" w:type="dxa"/>
            <w:tcBorders>
              <w:top w:val="dashed" w:sz="4" w:space="0" w:color="auto"/>
            </w:tcBorders>
          </w:tcPr>
          <w:p w14:paraId="1C4FD76F" w14:textId="77777777" w:rsidR="00C46D25" w:rsidRPr="00335424" w:rsidRDefault="00C46D25" w:rsidP="00335424">
            <w:pPr>
              <w:widowControl w:val="0"/>
              <w:autoSpaceDE w:val="0"/>
              <w:autoSpaceDN w:val="0"/>
              <w:adjustRightInd w:val="0"/>
              <w:rPr>
                <w:b/>
              </w:rPr>
            </w:pPr>
          </w:p>
        </w:tc>
        <w:tc>
          <w:tcPr>
            <w:tcW w:w="878" w:type="dxa"/>
            <w:tcBorders>
              <w:top w:val="dashed" w:sz="4" w:space="0" w:color="auto"/>
            </w:tcBorders>
          </w:tcPr>
          <w:p w14:paraId="3E08761F" w14:textId="77777777" w:rsidR="00C46D25" w:rsidRPr="00335424" w:rsidRDefault="00C46D25" w:rsidP="00335424">
            <w:pPr>
              <w:widowControl w:val="0"/>
              <w:autoSpaceDE w:val="0"/>
              <w:autoSpaceDN w:val="0"/>
              <w:adjustRightInd w:val="0"/>
              <w:rPr>
                <w:b/>
              </w:rPr>
            </w:pPr>
          </w:p>
        </w:tc>
        <w:tc>
          <w:tcPr>
            <w:tcW w:w="810" w:type="dxa"/>
            <w:tcBorders>
              <w:top w:val="dashed" w:sz="4" w:space="0" w:color="auto"/>
            </w:tcBorders>
          </w:tcPr>
          <w:p w14:paraId="65A850F6" w14:textId="77777777" w:rsidR="00C46D25" w:rsidRPr="00335424" w:rsidRDefault="00C46D25" w:rsidP="00335424">
            <w:pPr>
              <w:widowControl w:val="0"/>
              <w:autoSpaceDE w:val="0"/>
              <w:autoSpaceDN w:val="0"/>
              <w:adjustRightInd w:val="0"/>
              <w:rPr>
                <w:b/>
              </w:rPr>
            </w:pPr>
          </w:p>
        </w:tc>
        <w:tc>
          <w:tcPr>
            <w:tcW w:w="900" w:type="dxa"/>
            <w:tcBorders>
              <w:top w:val="dashed" w:sz="4" w:space="0" w:color="auto"/>
            </w:tcBorders>
          </w:tcPr>
          <w:p w14:paraId="0536D512" w14:textId="77777777" w:rsidR="00C46D25" w:rsidRPr="00335424" w:rsidRDefault="00C46D25" w:rsidP="00335424">
            <w:pPr>
              <w:widowControl w:val="0"/>
              <w:autoSpaceDE w:val="0"/>
              <w:autoSpaceDN w:val="0"/>
              <w:adjustRightInd w:val="0"/>
              <w:rPr>
                <w:b/>
              </w:rPr>
            </w:pPr>
          </w:p>
        </w:tc>
        <w:tc>
          <w:tcPr>
            <w:tcW w:w="1080" w:type="dxa"/>
            <w:tcBorders>
              <w:top w:val="dashed" w:sz="4" w:space="0" w:color="auto"/>
            </w:tcBorders>
          </w:tcPr>
          <w:p w14:paraId="2398D601" w14:textId="77777777" w:rsidR="00C46D25" w:rsidRPr="00335424" w:rsidRDefault="00C46D25" w:rsidP="00335424">
            <w:pPr>
              <w:widowControl w:val="0"/>
              <w:autoSpaceDE w:val="0"/>
              <w:autoSpaceDN w:val="0"/>
              <w:adjustRightInd w:val="0"/>
              <w:rPr>
                <w:b/>
              </w:rPr>
            </w:pPr>
          </w:p>
        </w:tc>
      </w:tr>
      <w:tr w:rsidR="00C46D25" w14:paraId="7A17160B" w14:textId="7ADD8BE5" w:rsidTr="00770169">
        <w:tc>
          <w:tcPr>
            <w:tcW w:w="801" w:type="dxa"/>
            <w:vMerge w:val="restart"/>
            <w:vAlign w:val="center"/>
          </w:tcPr>
          <w:p w14:paraId="543FAFD0" w14:textId="1F5676C5" w:rsidR="00C46D25" w:rsidRDefault="00C46D25" w:rsidP="00335424">
            <w:pPr>
              <w:widowControl w:val="0"/>
              <w:autoSpaceDE w:val="0"/>
              <w:autoSpaceDN w:val="0"/>
              <w:adjustRightInd w:val="0"/>
              <w:jc w:val="center"/>
              <w:rPr>
                <w:b/>
              </w:rPr>
            </w:pPr>
            <w:r>
              <w:rPr>
                <w:b/>
              </w:rPr>
              <w:t>Week 13</w:t>
            </w:r>
          </w:p>
        </w:tc>
        <w:tc>
          <w:tcPr>
            <w:tcW w:w="1077" w:type="dxa"/>
            <w:tcBorders>
              <w:bottom w:val="dashed" w:sz="4" w:space="0" w:color="auto"/>
            </w:tcBorders>
            <w:vAlign w:val="center"/>
          </w:tcPr>
          <w:p w14:paraId="2A488FF0" w14:textId="19384BB6" w:rsidR="00C46D25" w:rsidRPr="00770169" w:rsidRDefault="00C46D25" w:rsidP="00770169">
            <w:pPr>
              <w:widowControl w:val="0"/>
              <w:autoSpaceDE w:val="0"/>
              <w:autoSpaceDN w:val="0"/>
              <w:adjustRightInd w:val="0"/>
              <w:jc w:val="center"/>
            </w:pPr>
            <w:r w:rsidRPr="00770169">
              <w:t>Systolic</w:t>
            </w:r>
          </w:p>
        </w:tc>
        <w:tc>
          <w:tcPr>
            <w:tcW w:w="833" w:type="dxa"/>
            <w:tcBorders>
              <w:bottom w:val="dashed" w:sz="4" w:space="0" w:color="auto"/>
            </w:tcBorders>
          </w:tcPr>
          <w:p w14:paraId="3CC6A7B4" w14:textId="77777777" w:rsidR="00C46D25" w:rsidRPr="00335424" w:rsidRDefault="00C46D25" w:rsidP="00335424">
            <w:pPr>
              <w:widowControl w:val="0"/>
              <w:autoSpaceDE w:val="0"/>
              <w:autoSpaceDN w:val="0"/>
              <w:adjustRightInd w:val="0"/>
              <w:rPr>
                <w:b/>
              </w:rPr>
            </w:pPr>
          </w:p>
        </w:tc>
        <w:tc>
          <w:tcPr>
            <w:tcW w:w="832" w:type="dxa"/>
            <w:tcBorders>
              <w:bottom w:val="dashed" w:sz="4" w:space="0" w:color="auto"/>
            </w:tcBorders>
          </w:tcPr>
          <w:p w14:paraId="2C1C831A" w14:textId="77777777" w:rsidR="00C46D25" w:rsidRPr="00335424" w:rsidRDefault="00C46D25" w:rsidP="00335424">
            <w:pPr>
              <w:widowControl w:val="0"/>
              <w:autoSpaceDE w:val="0"/>
              <w:autoSpaceDN w:val="0"/>
              <w:adjustRightInd w:val="0"/>
              <w:rPr>
                <w:b/>
              </w:rPr>
            </w:pPr>
          </w:p>
        </w:tc>
        <w:tc>
          <w:tcPr>
            <w:tcW w:w="833" w:type="dxa"/>
            <w:tcBorders>
              <w:bottom w:val="dashed" w:sz="4" w:space="0" w:color="auto"/>
            </w:tcBorders>
          </w:tcPr>
          <w:p w14:paraId="5CDE46B3" w14:textId="77777777" w:rsidR="00C46D25" w:rsidRPr="00335424" w:rsidRDefault="00C46D25" w:rsidP="00335424">
            <w:pPr>
              <w:widowControl w:val="0"/>
              <w:autoSpaceDE w:val="0"/>
              <w:autoSpaceDN w:val="0"/>
              <w:adjustRightInd w:val="0"/>
              <w:rPr>
                <w:b/>
              </w:rPr>
            </w:pPr>
          </w:p>
        </w:tc>
        <w:tc>
          <w:tcPr>
            <w:tcW w:w="861" w:type="dxa"/>
            <w:tcBorders>
              <w:bottom w:val="dashed" w:sz="4" w:space="0" w:color="auto"/>
            </w:tcBorders>
          </w:tcPr>
          <w:p w14:paraId="564B1B17" w14:textId="77777777" w:rsidR="00C46D25" w:rsidRPr="00335424" w:rsidRDefault="00C46D25" w:rsidP="00335424">
            <w:pPr>
              <w:widowControl w:val="0"/>
              <w:autoSpaceDE w:val="0"/>
              <w:autoSpaceDN w:val="0"/>
              <w:adjustRightInd w:val="0"/>
              <w:rPr>
                <w:b/>
              </w:rPr>
            </w:pPr>
          </w:p>
        </w:tc>
        <w:tc>
          <w:tcPr>
            <w:tcW w:w="878" w:type="dxa"/>
            <w:tcBorders>
              <w:bottom w:val="dashed" w:sz="4" w:space="0" w:color="auto"/>
            </w:tcBorders>
          </w:tcPr>
          <w:p w14:paraId="1A5B27EF" w14:textId="77777777" w:rsidR="00C46D25" w:rsidRPr="00335424" w:rsidRDefault="00C46D25" w:rsidP="00335424">
            <w:pPr>
              <w:widowControl w:val="0"/>
              <w:autoSpaceDE w:val="0"/>
              <w:autoSpaceDN w:val="0"/>
              <w:adjustRightInd w:val="0"/>
              <w:rPr>
                <w:b/>
              </w:rPr>
            </w:pPr>
          </w:p>
        </w:tc>
        <w:tc>
          <w:tcPr>
            <w:tcW w:w="810" w:type="dxa"/>
            <w:tcBorders>
              <w:bottom w:val="dashed" w:sz="4" w:space="0" w:color="auto"/>
            </w:tcBorders>
          </w:tcPr>
          <w:p w14:paraId="3617C8DA" w14:textId="77777777" w:rsidR="00C46D25" w:rsidRPr="00335424" w:rsidRDefault="00C46D25" w:rsidP="00335424">
            <w:pPr>
              <w:widowControl w:val="0"/>
              <w:autoSpaceDE w:val="0"/>
              <w:autoSpaceDN w:val="0"/>
              <w:adjustRightInd w:val="0"/>
              <w:rPr>
                <w:b/>
              </w:rPr>
            </w:pPr>
          </w:p>
        </w:tc>
        <w:tc>
          <w:tcPr>
            <w:tcW w:w="900" w:type="dxa"/>
            <w:tcBorders>
              <w:bottom w:val="dashed" w:sz="4" w:space="0" w:color="auto"/>
            </w:tcBorders>
          </w:tcPr>
          <w:p w14:paraId="4981228B" w14:textId="77777777" w:rsidR="00C46D25" w:rsidRPr="00335424" w:rsidRDefault="00C46D25" w:rsidP="00335424">
            <w:pPr>
              <w:widowControl w:val="0"/>
              <w:autoSpaceDE w:val="0"/>
              <w:autoSpaceDN w:val="0"/>
              <w:adjustRightInd w:val="0"/>
              <w:rPr>
                <w:b/>
              </w:rPr>
            </w:pPr>
          </w:p>
        </w:tc>
        <w:tc>
          <w:tcPr>
            <w:tcW w:w="1080" w:type="dxa"/>
            <w:tcBorders>
              <w:bottom w:val="dashed" w:sz="4" w:space="0" w:color="auto"/>
            </w:tcBorders>
          </w:tcPr>
          <w:p w14:paraId="204CC0A9" w14:textId="77777777" w:rsidR="00C46D25" w:rsidRPr="00335424" w:rsidRDefault="00C46D25" w:rsidP="00335424">
            <w:pPr>
              <w:widowControl w:val="0"/>
              <w:autoSpaceDE w:val="0"/>
              <w:autoSpaceDN w:val="0"/>
              <w:adjustRightInd w:val="0"/>
              <w:rPr>
                <w:b/>
              </w:rPr>
            </w:pPr>
          </w:p>
        </w:tc>
      </w:tr>
      <w:tr w:rsidR="00C46D25" w14:paraId="015D82E7" w14:textId="3B87DF99" w:rsidTr="00770169">
        <w:tc>
          <w:tcPr>
            <w:tcW w:w="801" w:type="dxa"/>
            <w:vMerge/>
            <w:vAlign w:val="center"/>
          </w:tcPr>
          <w:p w14:paraId="150B4F31" w14:textId="77777777" w:rsidR="00C46D25" w:rsidRDefault="00C46D25" w:rsidP="00335424">
            <w:pPr>
              <w:widowControl w:val="0"/>
              <w:autoSpaceDE w:val="0"/>
              <w:autoSpaceDN w:val="0"/>
              <w:adjustRightInd w:val="0"/>
              <w:jc w:val="center"/>
              <w:rPr>
                <w:b/>
              </w:rPr>
            </w:pPr>
          </w:p>
        </w:tc>
        <w:tc>
          <w:tcPr>
            <w:tcW w:w="1077" w:type="dxa"/>
            <w:tcBorders>
              <w:top w:val="dashed" w:sz="4" w:space="0" w:color="auto"/>
            </w:tcBorders>
            <w:vAlign w:val="center"/>
          </w:tcPr>
          <w:p w14:paraId="6DE9BDD3" w14:textId="1FBD4795" w:rsidR="00C46D25" w:rsidRPr="00770169" w:rsidRDefault="00C46D25" w:rsidP="00770169">
            <w:pPr>
              <w:widowControl w:val="0"/>
              <w:autoSpaceDE w:val="0"/>
              <w:autoSpaceDN w:val="0"/>
              <w:adjustRightInd w:val="0"/>
              <w:jc w:val="center"/>
            </w:pPr>
            <w:r w:rsidRPr="00770169">
              <w:t>Diastolic</w:t>
            </w:r>
          </w:p>
        </w:tc>
        <w:tc>
          <w:tcPr>
            <w:tcW w:w="833" w:type="dxa"/>
            <w:tcBorders>
              <w:top w:val="dashed" w:sz="4" w:space="0" w:color="auto"/>
            </w:tcBorders>
          </w:tcPr>
          <w:p w14:paraId="3B243C3E" w14:textId="77777777" w:rsidR="00C46D25" w:rsidRPr="00335424" w:rsidRDefault="00C46D25" w:rsidP="00335424">
            <w:pPr>
              <w:widowControl w:val="0"/>
              <w:autoSpaceDE w:val="0"/>
              <w:autoSpaceDN w:val="0"/>
              <w:adjustRightInd w:val="0"/>
              <w:rPr>
                <w:b/>
              </w:rPr>
            </w:pPr>
          </w:p>
        </w:tc>
        <w:tc>
          <w:tcPr>
            <w:tcW w:w="832" w:type="dxa"/>
            <w:tcBorders>
              <w:top w:val="dashed" w:sz="4" w:space="0" w:color="auto"/>
            </w:tcBorders>
          </w:tcPr>
          <w:p w14:paraId="7827E246" w14:textId="77777777" w:rsidR="00C46D25" w:rsidRPr="00335424" w:rsidRDefault="00C46D25" w:rsidP="00335424">
            <w:pPr>
              <w:widowControl w:val="0"/>
              <w:autoSpaceDE w:val="0"/>
              <w:autoSpaceDN w:val="0"/>
              <w:adjustRightInd w:val="0"/>
              <w:rPr>
                <w:b/>
              </w:rPr>
            </w:pPr>
          </w:p>
        </w:tc>
        <w:tc>
          <w:tcPr>
            <w:tcW w:w="833" w:type="dxa"/>
            <w:tcBorders>
              <w:top w:val="dashed" w:sz="4" w:space="0" w:color="auto"/>
            </w:tcBorders>
          </w:tcPr>
          <w:p w14:paraId="2D2089C6" w14:textId="77777777" w:rsidR="00C46D25" w:rsidRPr="00335424" w:rsidRDefault="00C46D25" w:rsidP="00335424">
            <w:pPr>
              <w:widowControl w:val="0"/>
              <w:autoSpaceDE w:val="0"/>
              <w:autoSpaceDN w:val="0"/>
              <w:adjustRightInd w:val="0"/>
              <w:rPr>
                <w:b/>
              </w:rPr>
            </w:pPr>
          </w:p>
        </w:tc>
        <w:tc>
          <w:tcPr>
            <w:tcW w:w="861" w:type="dxa"/>
            <w:tcBorders>
              <w:top w:val="dashed" w:sz="4" w:space="0" w:color="auto"/>
            </w:tcBorders>
          </w:tcPr>
          <w:p w14:paraId="54522B99" w14:textId="77777777" w:rsidR="00C46D25" w:rsidRPr="00335424" w:rsidRDefault="00C46D25" w:rsidP="00335424">
            <w:pPr>
              <w:widowControl w:val="0"/>
              <w:autoSpaceDE w:val="0"/>
              <w:autoSpaceDN w:val="0"/>
              <w:adjustRightInd w:val="0"/>
              <w:rPr>
                <w:b/>
              </w:rPr>
            </w:pPr>
          </w:p>
        </w:tc>
        <w:tc>
          <w:tcPr>
            <w:tcW w:w="878" w:type="dxa"/>
            <w:tcBorders>
              <w:top w:val="dashed" w:sz="4" w:space="0" w:color="auto"/>
            </w:tcBorders>
          </w:tcPr>
          <w:p w14:paraId="6F5F6F09" w14:textId="77777777" w:rsidR="00C46D25" w:rsidRPr="00335424" w:rsidRDefault="00C46D25" w:rsidP="00335424">
            <w:pPr>
              <w:widowControl w:val="0"/>
              <w:autoSpaceDE w:val="0"/>
              <w:autoSpaceDN w:val="0"/>
              <w:adjustRightInd w:val="0"/>
              <w:rPr>
                <w:b/>
              </w:rPr>
            </w:pPr>
          </w:p>
        </w:tc>
        <w:tc>
          <w:tcPr>
            <w:tcW w:w="810" w:type="dxa"/>
            <w:tcBorders>
              <w:top w:val="dashed" w:sz="4" w:space="0" w:color="auto"/>
            </w:tcBorders>
          </w:tcPr>
          <w:p w14:paraId="3B33A009" w14:textId="77777777" w:rsidR="00C46D25" w:rsidRPr="00335424" w:rsidRDefault="00C46D25" w:rsidP="00335424">
            <w:pPr>
              <w:widowControl w:val="0"/>
              <w:autoSpaceDE w:val="0"/>
              <w:autoSpaceDN w:val="0"/>
              <w:adjustRightInd w:val="0"/>
              <w:rPr>
                <w:b/>
              </w:rPr>
            </w:pPr>
          </w:p>
        </w:tc>
        <w:tc>
          <w:tcPr>
            <w:tcW w:w="900" w:type="dxa"/>
            <w:tcBorders>
              <w:top w:val="dashed" w:sz="4" w:space="0" w:color="auto"/>
            </w:tcBorders>
          </w:tcPr>
          <w:p w14:paraId="468F452C" w14:textId="77777777" w:rsidR="00C46D25" w:rsidRPr="00335424" w:rsidRDefault="00C46D25" w:rsidP="00335424">
            <w:pPr>
              <w:widowControl w:val="0"/>
              <w:autoSpaceDE w:val="0"/>
              <w:autoSpaceDN w:val="0"/>
              <w:adjustRightInd w:val="0"/>
              <w:rPr>
                <w:b/>
              </w:rPr>
            </w:pPr>
          </w:p>
        </w:tc>
        <w:tc>
          <w:tcPr>
            <w:tcW w:w="1080" w:type="dxa"/>
            <w:tcBorders>
              <w:top w:val="dashed" w:sz="4" w:space="0" w:color="auto"/>
            </w:tcBorders>
          </w:tcPr>
          <w:p w14:paraId="6699C001" w14:textId="77777777" w:rsidR="00C46D25" w:rsidRPr="00335424" w:rsidRDefault="00C46D25" w:rsidP="00335424">
            <w:pPr>
              <w:widowControl w:val="0"/>
              <w:autoSpaceDE w:val="0"/>
              <w:autoSpaceDN w:val="0"/>
              <w:adjustRightInd w:val="0"/>
              <w:rPr>
                <w:b/>
              </w:rPr>
            </w:pPr>
          </w:p>
        </w:tc>
      </w:tr>
      <w:tr w:rsidR="00C46D25" w14:paraId="360185FB" w14:textId="77777777" w:rsidTr="00770169">
        <w:tc>
          <w:tcPr>
            <w:tcW w:w="801" w:type="dxa"/>
            <w:vMerge/>
            <w:vAlign w:val="center"/>
          </w:tcPr>
          <w:p w14:paraId="4520ADD1" w14:textId="77777777" w:rsidR="00C46D25" w:rsidRDefault="00C46D25" w:rsidP="00335424">
            <w:pPr>
              <w:widowControl w:val="0"/>
              <w:autoSpaceDE w:val="0"/>
              <w:autoSpaceDN w:val="0"/>
              <w:adjustRightInd w:val="0"/>
              <w:jc w:val="center"/>
              <w:rPr>
                <w:b/>
              </w:rPr>
            </w:pPr>
          </w:p>
        </w:tc>
        <w:tc>
          <w:tcPr>
            <w:tcW w:w="1077" w:type="dxa"/>
            <w:tcBorders>
              <w:top w:val="dashed" w:sz="4" w:space="0" w:color="auto"/>
            </w:tcBorders>
            <w:vAlign w:val="center"/>
          </w:tcPr>
          <w:p w14:paraId="21FDC4C2" w14:textId="77777777" w:rsidR="00C46D25" w:rsidRPr="00770169" w:rsidRDefault="00C46D25" w:rsidP="00770169">
            <w:pPr>
              <w:widowControl w:val="0"/>
              <w:autoSpaceDE w:val="0"/>
              <w:autoSpaceDN w:val="0"/>
              <w:adjustRightInd w:val="0"/>
              <w:jc w:val="center"/>
            </w:pPr>
            <w:r w:rsidRPr="00770169">
              <w:t>Activity</w:t>
            </w:r>
          </w:p>
          <w:p w14:paraId="11B9031F" w14:textId="77777777" w:rsidR="00C46D25" w:rsidRPr="00770169" w:rsidRDefault="00C46D25" w:rsidP="00770169">
            <w:pPr>
              <w:widowControl w:val="0"/>
              <w:autoSpaceDE w:val="0"/>
              <w:autoSpaceDN w:val="0"/>
              <w:adjustRightInd w:val="0"/>
              <w:jc w:val="center"/>
            </w:pPr>
          </w:p>
        </w:tc>
        <w:tc>
          <w:tcPr>
            <w:tcW w:w="833" w:type="dxa"/>
            <w:tcBorders>
              <w:top w:val="dashed" w:sz="4" w:space="0" w:color="auto"/>
            </w:tcBorders>
          </w:tcPr>
          <w:p w14:paraId="01B967B9" w14:textId="77777777" w:rsidR="00C46D25" w:rsidRPr="00335424" w:rsidRDefault="00C46D25" w:rsidP="00335424">
            <w:pPr>
              <w:widowControl w:val="0"/>
              <w:autoSpaceDE w:val="0"/>
              <w:autoSpaceDN w:val="0"/>
              <w:adjustRightInd w:val="0"/>
              <w:rPr>
                <w:b/>
              </w:rPr>
            </w:pPr>
          </w:p>
        </w:tc>
        <w:tc>
          <w:tcPr>
            <w:tcW w:w="832" w:type="dxa"/>
            <w:tcBorders>
              <w:top w:val="dashed" w:sz="4" w:space="0" w:color="auto"/>
            </w:tcBorders>
          </w:tcPr>
          <w:p w14:paraId="40CCE52C" w14:textId="77777777" w:rsidR="00C46D25" w:rsidRPr="00335424" w:rsidRDefault="00C46D25" w:rsidP="00335424">
            <w:pPr>
              <w:widowControl w:val="0"/>
              <w:autoSpaceDE w:val="0"/>
              <w:autoSpaceDN w:val="0"/>
              <w:adjustRightInd w:val="0"/>
              <w:rPr>
                <w:b/>
              </w:rPr>
            </w:pPr>
          </w:p>
        </w:tc>
        <w:tc>
          <w:tcPr>
            <w:tcW w:w="833" w:type="dxa"/>
            <w:tcBorders>
              <w:top w:val="dashed" w:sz="4" w:space="0" w:color="auto"/>
            </w:tcBorders>
          </w:tcPr>
          <w:p w14:paraId="0F808EF9" w14:textId="77777777" w:rsidR="00C46D25" w:rsidRPr="00335424" w:rsidRDefault="00C46D25" w:rsidP="00335424">
            <w:pPr>
              <w:widowControl w:val="0"/>
              <w:autoSpaceDE w:val="0"/>
              <w:autoSpaceDN w:val="0"/>
              <w:adjustRightInd w:val="0"/>
              <w:rPr>
                <w:b/>
              </w:rPr>
            </w:pPr>
          </w:p>
        </w:tc>
        <w:tc>
          <w:tcPr>
            <w:tcW w:w="861" w:type="dxa"/>
            <w:tcBorders>
              <w:top w:val="dashed" w:sz="4" w:space="0" w:color="auto"/>
            </w:tcBorders>
          </w:tcPr>
          <w:p w14:paraId="51F9A399" w14:textId="77777777" w:rsidR="00C46D25" w:rsidRPr="00335424" w:rsidRDefault="00C46D25" w:rsidP="00335424">
            <w:pPr>
              <w:widowControl w:val="0"/>
              <w:autoSpaceDE w:val="0"/>
              <w:autoSpaceDN w:val="0"/>
              <w:adjustRightInd w:val="0"/>
              <w:rPr>
                <w:b/>
              </w:rPr>
            </w:pPr>
          </w:p>
        </w:tc>
        <w:tc>
          <w:tcPr>
            <w:tcW w:w="878" w:type="dxa"/>
            <w:tcBorders>
              <w:top w:val="dashed" w:sz="4" w:space="0" w:color="auto"/>
            </w:tcBorders>
          </w:tcPr>
          <w:p w14:paraId="710606CF" w14:textId="77777777" w:rsidR="00C46D25" w:rsidRPr="00335424" w:rsidRDefault="00C46D25" w:rsidP="00335424">
            <w:pPr>
              <w:widowControl w:val="0"/>
              <w:autoSpaceDE w:val="0"/>
              <w:autoSpaceDN w:val="0"/>
              <w:adjustRightInd w:val="0"/>
              <w:rPr>
                <w:b/>
              </w:rPr>
            </w:pPr>
          </w:p>
        </w:tc>
        <w:tc>
          <w:tcPr>
            <w:tcW w:w="810" w:type="dxa"/>
            <w:tcBorders>
              <w:top w:val="dashed" w:sz="4" w:space="0" w:color="auto"/>
            </w:tcBorders>
          </w:tcPr>
          <w:p w14:paraId="0F40386D" w14:textId="77777777" w:rsidR="00C46D25" w:rsidRPr="00335424" w:rsidRDefault="00C46D25" w:rsidP="00335424">
            <w:pPr>
              <w:widowControl w:val="0"/>
              <w:autoSpaceDE w:val="0"/>
              <w:autoSpaceDN w:val="0"/>
              <w:adjustRightInd w:val="0"/>
              <w:rPr>
                <w:b/>
              </w:rPr>
            </w:pPr>
          </w:p>
        </w:tc>
        <w:tc>
          <w:tcPr>
            <w:tcW w:w="900" w:type="dxa"/>
            <w:tcBorders>
              <w:top w:val="dashed" w:sz="4" w:space="0" w:color="auto"/>
            </w:tcBorders>
          </w:tcPr>
          <w:p w14:paraId="2DC15F94" w14:textId="77777777" w:rsidR="00C46D25" w:rsidRPr="00335424" w:rsidRDefault="00C46D25" w:rsidP="00335424">
            <w:pPr>
              <w:widowControl w:val="0"/>
              <w:autoSpaceDE w:val="0"/>
              <w:autoSpaceDN w:val="0"/>
              <w:adjustRightInd w:val="0"/>
              <w:rPr>
                <w:b/>
              </w:rPr>
            </w:pPr>
          </w:p>
        </w:tc>
        <w:tc>
          <w:tcPr>
            <w:tcW w:w="1080" w:type="dxa"/>
            <w:tcBorders>
              <w:top w:val="dashed" w:sz="4" w:space="0" w:color="auto"/>
            </w:tcBorders>
          </w:tcPr>
          <w:p w14:paraId="6E7C6A28" w14:textId="77777777" w:rsidR="00C46D25" w:rsidRPr="00335424" w:rsidRDefault="00C46D25" w:rsidP="00335424">
            <w:pPr>
              <w:widowControl w:val="0"/>
              <w:autoSpaceDE w:val="0"/>
              <w:autoSpaceDN w:val="0"/>
              <w:adjustRightInd w:val="0"/>
              <w:rPr>
                <w:b/>
              </w:rPr>
            </w:pPr>
          </w:p>
        </w:tc>
      </w:tr>
      <w:tr w:rsidR="00C46D25" w14:paraId="78F56E7F" w14:textId="3367D4E2" w:rsidTr="00770169">
        <w:tc>
          <w:tcPr>
            <w:tcW w:w="801" w:type="dxa"/>
            <w:vMerge w:val="restart"/>
            <w:vAlign w:val="center"/>
          </w:tcPr>
          <w:p w14:paraId="06B672EB" w14:textId="53172FC5" w:rsidR="00C46D25" w:rsidRDefault="00C46D25" w:rsidP="00335424">
            <w:pPr>
              <w:widowControl w:val="0"/>
              <w:autoSpaceDE w:val="0"/>
              <w:autoSpaceDN w:val="0"/>
              <w:adjustRightInd w:val="0"/>
              <w:jc w:val="center"/>
              <w:rPr>
                <w:b/>
              </w:rPr>
            </w:pPr>
            <w:r>
              <w:rPr>
                <w:b/>
              </w:rPr>
              <w:t>Week 14</w:t>
            </w:r>
          </w:p>
        </w:tc>
        <w:tc>
          <w:tcPr>
            <w:tcW w:w="1077" w:type="dxa"/>
            <w:tcBorders>
              <w:bottom w:val="dashed" w:sz="4" w:space="0" w:color="auto"/>
            </w:tcBorders>
            <w:vAlign w:val="center"/>
          </w:tcPr>
          <w:p w14:paraId="206345F0" w14:textId="5513D696" w:rsidR="00C46D25" w:rsidRPr="00770169" w:rsidRDefault="00C46D25" w:rsidP="00770169">
            <w:pPr>
              <w:widowControl w:val="0"/>
              <w:autoSpaceDE w:val="0"/>
              <w:autoSpaceDN w:val="0"/>
              <w:adjustRightInd w:val="0"/>
              <w:jc w:val="center"/>
            </w:pPr>
            <w:r w:rsidRPr="00770169">
              <w:t>Systolic</w:t>
            </w:r>
          </w:p>
        </w:tc>
        <w:tc>
          <w:tcPr>
            <w:tcW w:w="833" w:type="dxa"/>
            <w:tcBorders>
              <w:bottom w:val="dashed" w:sz="4" w:space="0" w:color="auto"/>
            </w:tcBorders>
          </w:tcPr>
          <w:p w14:paraId="1B7ED43E" w14:textId="77777777" w:rsidR="00C46D25" w:rsidRPr="00335424" w:rsidRDefault="00C46D25" w:rsidP="00335424">
            <w:pPr>
              <w:widowControl w:val="0"/>
              <w:autoSpaceDE w:val="0"/>
              <w:autoSpaceDN w:val="0"/>
              <w:adjustRightInd w:val="0"/>
              <w:rPr>
                <w:b/>
              </w:rPr>
            </w:pPr>
          </w:p>
        </w:tc>
        <w:tc>
          <w:tcPr>
            <w:tcW w:w="832" w:type="dxa"/>
            <w:tcBorders>
              <w:bottom w:val="dashed" w:sz="4" w:space="0" w:color="auto"/>
            </w:tcBorders>
          </w:tcPr>
          <w:p w14:paraId="6BA11002" w14:textId="77777777" w:rsidR="00C46D25" w:rsidRPr="00335424" w:rsidRDefault="00C46D25" w:rsidP="00335424">
            <w:pPr>
              <w:widowControl w:val="0"/>
              <w:autoSpaceDE w:val="0"/>
              <w:autoSpaceDN w:val="0"/>
              <w:adjustRightInd w:val="0"/>
              <w:rPr>
                <w:b/>
              </w:rPr>
            </w:pPr>
          </w:p>
        </w:tc>
        <w:tc>
          <w:tcPr>
            <w:tcW w:w="833" w:type="dxa"/>
            <w:tcBorders>
              <w:bottom w:val="dashed" w:sz="4" w:space="0" w:color="auto"/>
            </w:tcBorders>
          </w:tcPr>
          <w:p w14:paraId="1CF0137E" w14:textId="77777777" w:rsidR="00C46D25" w:rsidRPr="00335424" w:rsidRDefault="00C46D25" w:rsidP="00335424">
            <w:pPr>
              <w:widowControl w:val="0"/>
              <w:autoSpaceDE w:val="0"/>
              <w:autoSpaceDN w:val="0"/>
              <w:adjustRightInd w:val="0"/>
              <w:rPr>
                <w:b/>
              </w:rPr>
            </w:pPr>
          </w:p>
        </w:tc>
        <w:tc>
          <w:tcPr>
            <w:tcW w:w="861" w:type="dxa"/>
            <w:tcBorders>
              <w:bottom w:val="dashed" w:sz="4" w:space="0" w:color="auto"/>
            </w:tcBorders>
          </w:tcPr>
          <w:p w14:paraId="41287881" w14:textId="77777777" w:rsidR="00C46D25" w:rsidRPr="00335424" w:rsidRDefault="00C46D25" w:rsidP="00335424">
            <w:pPr>
              <w:widowControl w:val="0"/>
              <w:autoSpaceDE w:val="0"/>
              <w:autoSpaceDN w:val="0"/>
              <w:adjustRightInd w:val="0"/>
              <w:rPr>
                <w:b/>
              </w:rPr>
            </w:pPr>
          </w:p>
        </w:tc>
        <w:tc>
          <w:tcPr>
            <w:tcW w:w="878" w:type="dxa"/>
            <w:tcBorders>
              <w:bottom w:val="dashed" w:sz="4" w:space="0" w:color="auto"/>
            </w:tcBorders>
          </w:tcPr>
          <w:p w14:paraId="48A3BB63" w14:textId="77777777" w:rsidR="00C46D25" w:rsidRPr="00335424" w:rsidRDefault="00C46D25" w:rsidP="00335424">
            <w:pPr>
              <w:widowControl w:val="0"/>
              <w:autoSpaceDE w:val="0"/>
              <w:autoSpaceDN w:val="0"/>
              <w:adjustRightInd w:val="0"/>
              <w:rPr>
                <w:b/>
              </w:rPr>
            </w:pPr>
          </w:p>
        </w:tc>
        <w:tc>
          <w:tcPr>
            <w:tcW w:w="810" w:type="dxa"/>
            <w:tcBorders>
              <w:bottom w:val="dashed" w:sz="4" w:space="0" w:color="auto"/>
            </w:tcBorders>
          </w:tcPr>
          <w:p w14:paraId="4C58AC97" w14:textId="77777777" w:rsidR="00C46D25" w:rsidRPr="00335424" w:rsidRDefault="00C46D25" w:rsidP="00335424">
            <w:pPr>
              <w:widowControl w:val="0"/>
              <w:autoSpaceDE w:val="0"/>
              <w:autoSpaceDN w:val="0"/>
              <w:adjustRightInd w:val="0"/>
              <w:rPr>
                <w:b/>
              </w:rPr>
            </w:pPr>
          </w:p>
        </w:tc>
        <w:tc>
          <w:tcPr>
            <w:tcW w:w="900" w:type="dxa"/>
            <w:tcBorders>
              <w:bottom w:val="dashed" w:sz="4" w:space="0" w:color="auto"/>
            </w:tcBorders>
          </w:tcPr>
          <w:p w14:paraId="00E1FEB7" w14:textId="77777777" w:rsidR="00C46D25" w:rsidRPr="00335424" w:rsidRDefault="00C46D25" w:rsidP="00335424">
            <w:pPr>
              <w:widowControl w:val="0"/>
              <w:autoSpaceDE w:val="0"/>
              <w:autoSpaceDN w:val="0"/>
              <w:adjustRightInd w:val="0"/>
              <w:rPr>
                <w:b/>
              </w:rPr>
            </w:pPr>
          </w:p>
        </w:tc>
        <w:tc>
          <w:tcPr>
            <w:tcW w:w="1080" w:type="dxa"/>
            <w:tcBorders>
              <w:bottom w:val="dashed" w:sz="4" w:space="0" w:color="auto"/>
            </w:tcBorders>
          </w:tcPr>
          <w:p w14:paraId="315EB8DF" w14:textId="77777777" w:rsidR="00C46D25" w:rsidRPr="00335424" w:rsidRDefault="00C46D25" w:rsidP="00335424">
            <w:pPr>
              <w:widowControl w:val="0"/>
              <w:autoSpaceDE w:val="0"/>
              <w:autoSpaceDN w:val="0"/>
              <w:adjustRightInd w:val="0"/>
              <w:rPr>
                <w:b/>
              </w:rPr>
            </w:pPr>
          </w:p>
        </w:tc>
      </w:tr>
      <w:tr w:rsidR="00C46D25" w14:paraId="71C8AAD7" w14:textId="19E70387" w:rsidTr="00770169">
        <w:tc>
          <w:tcPr>
            <w:tcW w:w="801" w:type="dxa"/>
            <w:vMerge/>
            <w:vAlign w:val="center"/>
          </w:tcPr>
          <w:p w14:paraId="786DF7F7" w14:textId="77777777" w:rsidR="00C46D25" w:rsidRDefault="00C46D25" w:rsidP="00335424">
            <w:pPr>
              <w:widowControl w:val="0"/>
              <w:autoSpaceDE w:val="0"/>
              <w:autoSpaceDN w:val="0"/>
              <w:adjustRightInd w:val="0"/>
              <w:jc w:val="center"/>
              <w:rPr>
                <w:b/>
              </w:rPr>
            </w:pPr>
          </w:p>
        </w:tc>
        <w:tc>
          <w:tcPr>
            <w:tcW w:w="1077" w:type="dxa"/>
            <w:tcBorders>
              <w:top w:val="dashed" w:sz="4" w:space="0" w:color="auto"/>
            </w:tcBorders>
            <w:vAlign w:val="center"/>
          </w:tcPr>
          <w:p w14:paraId="2DCEB8DD" w14:textId="751C12ED" w:rsidR="00C46D25" w:rsidRPr="00770169" w:rsidRDefault="00C46D25" w:rsidP="00770169">
            <w:pPr>
              <w:widowControl w:val="0"/>
              <w:autoSpaceDE w:val="0"/>
              <w:autoSpaceDN w:val="0"/>
              <w:adjustRightInd w:val="0"/>
              <w:jc w:val="center"/>
            </w:pPr>
            <w:r w:rsidRPr="00770169">
              <w:t>Diastolic</w:t>
            </w:r>
          </w:p>
        </w:tc>
        <w:tc>
          <w:tcPr>
            <w:tcW w:w="833" w:type="dxa"/>
            <w:tcBorders>
              <w:top w:val="dashed" w:sz="4" w:space="0" w:color="auto"/>
            </w:tcBorders>
          </w:tcPr>
          <w:p w14:paraId="6E96D31E" w14:textId="77777777" w:rsidR="00C46D25" w:rsidRPr="00335424" w:rsidRDefault="00C46D25" w:rsidP="00335424">
            <w:pPr>
              <w:widowControl w:val="0"/>
              <w:autoSpaceDE w:val="0"/>
              <w:autoSpaceDN w:val="0"/>
              <w:adjustRightInd w:val="0"/>
              <w:rPr>
                <w:b/>
              </w:rPr>
            </w:pPr>
          </w:p>
        </w:tc>
        <w:tc>
          <w:tcPr>
            <w:tcW w:w="832" w:type="dxa"/>
            <w:tcBorders>
              <w:top w:val="dashed" w:sz="4" w:space="0" w:color="auto"/>
            </w:tcBorders>
          </w:tcPr>
          <w:p w14:paraId="2B2E2820" w14:textId="77777777" w:rsidR="00C46D25" w:rsidRPr="00335424" w:rsidRDefault="00C46D25" w:rsidP="00335424">
            <w:pPr>
              <w:widowControl w:val="0"/>
              <w:autoSpaceDE w:val="0"/>
              <w:autoSpaceDN w:val="0"/>
              <w:adjustRightInd w:val="0"/>
              <w:rPr>
                <w:b/>
              </w:rPr>
            </w:pPr>
          </w:p>
        </w:tc>
        <w:tc>
          <w:tcPr>
            <w:tcW w:w="833" w:type="dxa"/>
            <w:tcBorders>
              <w:top w:val="dashed" w:sz="4" w:space="0" w:color="auto"/>
            </w:tcBorders>
          </w:tcPr>
          <w:p w14:paraId="24C621C7" w14:textId="77777777" w:rsidR="00C46D25" w:rsidRPr="00335424" w:rsidRDefault="00C46D25" w:rsidP="00335424">
            <w:pPr>
              <w:widowControl w:val="0"/>
              <w:autoSpaceDE w:val="0"/>
              <w:autoSpaceDN w:val="0"/>
              <w:adjustRightInd w:val="0"/>
              <w:rPr>
                <w:b/>
              </w:rPr>
            </w:pPr>
          </w:p>
        </w:tc>
        <w:tc>
          <w:tcPr>
            <w:tcW w:w="861" w:type="dxa"/>
            <w:tcBorders>
              <w:top w:val="dashed" w:sz="4" w:space="0" w:color="auto"/>
            </w:tcBorders>
          </w:tcPr>
          <w:p w14:paraId="600A9413" w14:textId="77777777" w:rsidR="00C46D25" w:rsidRPr="00335424" w:rsidRDefault="00C46D25" w:rsidP="00335424">
            <w:pPr>
              <w:widowControl w:val="0"/>
              <w:autoSpaceDE w:val="0"/>
              <w:autoSpaceDN w:val="0"/>
              <w:adjustRightInd w:val="0"/>
              <w:rPr>
                <w:b/>
              </w:rPr>
            </w:pPr>
          </w:p>
        </w:tc>
        <w:tc>
          <w:tcPr>
            <w:tcW w:w="878" w:type="dxa"/>
            <w:tcBorders>
              <w:top w:val="dashed" w:sz="4" w:space="0" w:color="auto"/>
            </w:tcBorders>
          </w:tcPr>
          <w:p w14:paraId="10DF935E" w14:textId="77777777" w:rsidR="00C46D25" w:rsidRPr="00335424" w:rsidRDefault="00C46D25" w:rsidP="00335424">
            <w:pPr>
              <w:widowControl w:val="0"/>
              <w:autoSpaceDE w:val="0"/>
              <w:autoSpaceDN w:val="0"/>
              <w:adjustRightInd w:val="0"/>
              <w:rPr>
                <w:b/>
              </w:rPr>
            </w:pPr>
          </w:p>
        </w:tc>
        <w:tc>
          <w:tcPr>
            <w:tcW w:w="810" w:type="dxa"/>
            <w:tcBorders>
              <w:top w:val="dashed" w:sz="4" w:space="0" w:color="auto"/>
            </w:tcBorders>
          </w:tcPr>
          <w:p w14:paraId="6C25374A" w14:textId="77777777" w:rsidR="00C46D25" w:rsidRPr="00335424" w:rsidRDefault="00C46D25" w:rsidP="00335424">
            <w:pPr>
              <w:widowControl w:val="0"/>
              <w:autoSpaceDE w:val="0"/>
              <w:autoSpaceDN w:val="0"/>
              <w:adjustRightInd w:val="0"/>
              <w:rPr>
                <w:b/>
              </w:rPr>
            </w:pPr>
          </w:p>
        </w:tc>
        <w:tc>
          <w:tcPr>
            <w:tcW w:w="900" w:type="dxa"/>
            <w:tcBorders>
              <w:top w:val="dashed" w:sz="4" w:space="0" w:color="auto"/>
            </w:tcBorders>
          </w:tcPr>
          <w:p w14:paraId="6AC71049" w14:textId="77777777" w:rsidR="00C46D25" w:rsidRPr="00335424" w:rsidRDefault="00C46D25" w:rsidP="00335424">
            <w:pPr>
              <w:widowControl w:val="0"/>
              <w:autoSpaceDE w:val="0"/>
              <w:autoSpaceDN w:val="0"/>
              <w:adjustRightInd w:val="0"/>
              <w:rPr>
                <w:b/>
              </w:rPr>
            </w:pPr>
          </w:p>
        </w:tc>
        <w:tc>
          <w:tcPr>
            <w:tcW w:w="1080" w:type="dxa"/>
            <w:tcBorders>
              <w:top w:val="dashed" w:sz="4" w:space="0" w:color="auto"/>
            </w:tcBorders>
          </w:tcPr>
          <w:p w14:paraId="4E7F1494" w14:textId="77777777" w:rsidR="00C46D25" w:rsidRPr="00335424" w:rsidRDefault="00C46D25" w:rsidP="00335424">
            <w:pPr>
              <w:widowControl w:val="0"/>
              <w:autoSpaceDE w:val="0"/>
              <w:autoSpaceDN w:val="0"/>
              <w:adjustRightInd w:val="0"/>
              <w:rPr>
                <w:b/>
              </w:rPr>
            </w:pPr>
          </w:p>
        </w:tc>
      </w:tr>
      <w:tr w:rsidR="00C46D25" w14:paraId="3A4AED2E" w14:textId="77777777" w:rsidTr="00770169">
        <w:tc>
          <w:tcPr>
            <w:tcW w:w="801" w:type="dxa"/>
            <w:vMerge/>
            <w:vAlign w:val="center"/>
          </w:tcPr>
          <w:p w14:paraId="48B5B7BD" w14:textId="77777777" w:rsidR="00C46D25" w:rsidRDefault="00C46D25" w:rsidP="00335424">
            <w:pPr>
              <w:widowControl w:val="0"/>
              <w:autoSpaceDE w:val="0"/>
              <w:autoSpaceDN w:val="0"/>
              <w:adjustRightInd w:val="0"/>
              <w:jc w:val="center"/>
              <w:rPr>
                <w:b/>
              </w:rPr>
            </w:pPr>
          </w:p>
        </w:tc>
        <w:tc>
          <w:tcPr>
            <w:tcW w:w="1077" w:type="dxa"/>
            <w:tcBorders>
              <w:top w:val="dashed" w:sz="4" w:space="0" w:color="auto"/>
            </w:tcBorders>
            <w:vAlign w:val="center"/>
          </w:tcPr>
          <w:p w14:paraId="76E74543" w14:textId="77777777" w:rsidR="00C46D25" w:rsidRPr="00770169" w:rsidRDefault="00C46D25" w:rsidP="00770169">
            <w:pPr>
              <w:widowControl w:val="0"/>
              <w:autoSpaceDE w:val="0"/>
              <w:autoSpaceDN w:val="0"/>
              <w:adjustRightInd w:val="0"/>
              <w:jc w:val="center"/>
            </w:pPr>
            <w:r w:rsidRPr="00770169">
              <w:t>Activity</w:t>
            </w:r>
          </w:p>
          <w:p w14:paraId="7E569FA1" w14:textId="77777777" w:rsidR="00C46D25" w:rsidRPr="00770169" w:rsidRDefault="00C46D25" w:rsidP="00770169">
            <w:pPr>
              <w:widowControl w:val="0"/>
              <w:autoSpaceDE w:val="0"/>
              <w:autoSpaceDN w:val="0"/>
              <w:adjustRightInd w:val="0"/>
              <w:jc w:val="center"/>
            </w:pPr>
          </w:p>
        </w:tc>
        <w:tc>
          <w:tcPr>
            <w:tcW w:w="833" w:type="dxa"/>
            <w:tcBorders>
              <w:top w:val="dashed" w:sz="4" w:space="0" w:color="auto"/>
            </w:tcBorders>
          </w:tcPr>
          <w:p w14:paraId="5C36D8C0" w14:textId="77777777" w:rsidR="00C46D25" w:rsidRPr="00335424" w:rsidRDefault="00C46D25" w:rsidP="00335424">
            <w:pPr>
              <w:widowControl w:val="0"/>
              <w:autoSpaceDE w:val="0"/>
              <w:autoSpaceDN w:val="0"/>
              <w:adjustRightInd w:val="0"/>
              <w:rPr>
                <w:b/>
              </w:rPr>
            </w:pPr>
          </w:p>
        </w:tc>
        <w:tc>
          <w:tcPr>
            <w:tcW w:w="832" w:type="dxa"/>
            <w:tcBorders>
              <w:top w:val="dashed" w:sz="4" w:space="0" w:color="auto"/>
            </w:tcBorders>
          </w:tcPr>
          <w:p w14:paraId="3F2621EE" w14:textId="77777777" w:rsidR="00C46D25" w:rsidRPr="00335424" w:rsidRDefault="00C46D25" w:rsidP="00335424">
            <w:pPr>
              <w:widowControl w:val="0"/>
              <w:autoSpaceDE w:val="0"/>
              <w:autoSpaceDN w:val="0"/>
              <w:adjustRightInd w:val="0"/>
              <w:rPr>
                <w:b/>
              </w:rPr>
            </w:pPr>
          </w:p>
        </w:tc>
        <w:tc>
          <w:tcPr>
            <w:tcW w:w="833" w:type="dxa"/>
            <w:tcBorders>
              <w:top w:val="dashed" w:sz="4" w:space="0" w:color="auto"/>
            </w:tcBorders>
          </w:tcPr>
          <w:p w14:paraId="34F07BAE" w14:textId="77777777" w:rsidR="00C46D25" w:rsidRPr="00335424" w:rsidRDefault="00C46D25" w:rsidP="00335424">
            <w:pPr>
              <w:widowControl w:val="0"/>
              <w:autoSpaceDE w:val="0"/>
              <w:autoSpaceDN w:val="0"/>
              <w:adjustRightInd w:val="0"/>
              <w:rPr>
                <w:b/>
              </w:rPr>
            </w:pPr>
          </w:p>
        </w:tc>
        <w:tc>
          <w:tcPr>
            <w:tcW w:w="861" w:type="dxa"/>
            <w:tcBorders>
              <w:top w:val="dashed" w:sz="4" w:space="0" w:color="auto"/>
            </w:tcBorders>
          </w:tcPr>
          <w:p w14:paraId="08C5A259" w14:textId="77777777" w:rsidR="00C46D25" w:rsidRPr="00335424" w:rsidRDefault="00C46D25" w:rsidP="00335424">
            <w:pPr>
              <w:widowControl w:val="0"/>
              <w:autoSpaceDE w:val="0"/>
              <w:autoSpaceDN w:val="0"/>
              <w:adjustRightInd w:val="0"/>
              <w:rPr>
                <w:b/>
              </w:rPr>
            </w:pPr>
          </w:p>
        </w:tc>
        <w:tc>
          <w:tcPr>
            <w:tcW w:w="878" w:type="dxa"/>
            <w:tcBorders>
              <w:top w:val="dashed" w:sz="4" w:space="0" w:color="auto"/>
            </w:tcBorders>
          </w:tcPr>
          <w:p w14:paraId="20F1E589" w14:textId="77777777" w:rsidR="00C46D25" w:rsidRPr="00335424" w:rsidRDefault="00C46D25" w:rsidP="00335424">
            <w:pPr>
              <w:widowControl w:val="0"/>
              <w:autoSpaceDE w:val="0"/>
              <w:autoSpaceDN w:val="0"/>
              <w:adjustRightInd w:val="0"/>
              <w:rPr>
                <w:b/>
              </w:rPr>
            </w:pPr>
          </w:p>
        </w:tc>
        <w:tc>
          <w:tcPr>
            <w:tcW w:w="810" w:type="dxa"/>
            <w:tcBorders>
              <w:top w:val="dashed" w:sz="4" w:space="0" w:color="auto"/>
            </w:tcBorders>
          </w:tcPr>
          <w:p w14:paraId="7AFF6AE5" w14:textId="77777777" w:rsidR="00C46D25" w:rsidRPr="00335424" w:rsidRDefault="00C46D25" w:rsidP="00335424">
            <w:pPr>
              <w:widowControl w:val="0"/>
              <w:autoSpaceDE w:val="0"/>
              <w:autoSpaceDN w:val="0"/>
              <w:adjustRightInd w:val="0"/>
              <w:rPr>
                <w:b/>
              </w:rPr>
            </w:pPr>
          </w:p>
        </w:tc>
        <w:tc>
          <w:tcPr>
            <w:tcW w:w="900" w:type="dxa"/>
            <w:tcBorders>
              <w:top w:val="dashed" w:sz="4" w:space="0" w:color="auto"/>
            </w:tcBorders>
          </w:tcPr>
          <w:p w14:paraId="33B4C0E3" w14:textId="77777777" w:rsidR="00C46D25" w:rsidRPr="00335424" w:rsidRDefault="00C46D25" w:rsidP="00335424">
            <w:pPr>
              <w:widowControl w:val="0"/>
              <w:autoSpaceDE w:val="0"/>
              <w:autoSpaceDN w:val="0"/>
              <w:adjustRightInd w:val="0"/>
              <w:rPr>
                <w:b/>
              </w:rPr>
            </w:pPr>
          </w:p>
        </w:tc>
        <w:tc>
          <w:tcPr>
            <w:tcW w:w="1080" w:type="dxa"/>
            <w:tcBorders>
              <w:top w:val="dashed" w:sz="4" w:space="0" w:color="auto"/>
            </w:tcBorders>
          </w:tcPr>
          <w:p w14:paraId="38589B4F" w14:textId="77777777" w:rsidR="00C46D25" w:rsidRPr="00335424" w:rsidRDefault="00C46D25" w:rsidP="00335424">
            <w:pPr>
              <w:widowControl w:val="0"/>
              <w:autoSpaceDE w:val="0"/>
              <w:autoSpaceDN w:val="0"/>
              <w:adjustRightInd w:val="0"/>
              <w:rPr>
                <w:b/>
              </w:rPr>
            </w:pPr>
          </w:p>
        </w:tc>
      </w:tr>
      <w:tr w:rsidR="00C46D25" w14:paraId="326F9DAA" w14:textId="7C4556FE" w:rsidTr="00770169">
        <w:tc>
          <w:tcPr>
            <w:tcW w:w="801" w:type="dxa"/>
            <w:vMerge w:val="restart"/>
            <w:vAlign w:val="center"/>
          </w:tcPr>
          <w:p w14:paraId="360AA805" w14:textId="3B9067FE" w:rsidR="00C46D25" w:rsidRDefault="00C46D25" w:rsidP="00335424">
            <w:pPr>
              <w:widowControl w:val="0"/>
              <w:autoSpaceDE w:val="0"/>
              <w:autoSpaceDN w:val="0"/>
              <w:adjustRightInd w:val="0"/>
              <w:jc w:val="center"/>
              <w:rPr>
                <w:b/>
              </w:rPr>
            </w:pPr>
            <w:r>
              <w:rPr>
                <w:b/>
              </w:rPr>
              <w:t>Week 15</w:t>
            </w:r>
          </w:p>
        </w:tc>
        <w:tc>
          <w:tcPr>
            <w:tcW w:w="1077" w:type="dxa"/>
            <w:tcBorders>
              <w:bottom w:val="dashed" w:sz="4" w:space="0" w:color="auto"/>
            </w:tcBorders>
            <w:vAlign w:val="center"/>
          </w:tcPr>
          <w:p w14:paraId="51DC9717" w14:textId="0C7E9C21" w:rsidR="00C46D25" w:rsidRPr="00770169" w:rsidRDefault="00C46D25" w:rsidP="00770169">
            <w:pPr>
              <w:widowControl w:val="0"/>
              <w:autoSpaceDE w:val="0"/>
              <w:autoSpaceDN w:val="0"/>
              <w:adjustRightInd w:val="0"/>
              <w:jc w:val="center"/>
            </w:pPr>
            <w:r w:rsidRPr="00770169">
              <w:t>Systolic</w:t>
            </w:r>
          </w:p>
        </w:tc>
        <w:tc>
          <w:tcPr>
            <w:tcW w:w="833" w:type="dxa"/>
            <w:tcBorders>
              <w:bottom w:val="dashed" w:sz="4" w:space="0" w:color="auto"/>
            </w:tcBorders>
          </w:tcPr>
          <w:p w14:paraId="169D2DF1" w14:textId="77777777" w:rsidR="00C46D25" w:rsidRPr="00335424" w:rsidRDefault="00C46D25" w:rsidP="00335424">
            <w:pPr>
              <w:widowControl w:val="0"/>
              <w:autoSpaceDE w:val="0"/>
              <w:autoSpaceDN w:val="0"/>
              <w:adjustRightInd w:val="0"/>
              <w:rPr>
                <w:b/>
              </w:rPr>
            </w:pPr>
          </w:p>
        </w:tc>
        <w:tc>
          <w:tcPr>
            <w:tcW w:w="832" w:type="dxa"/>
            <w:tcBorders>
              <w:bottom w:val="dashed" w:sz="4" w:space="0" w:color="auto"/>
            </w:tcBorders>
          </w:tcPr>
          <w:p w14:paraId="26F82F33" w14:textId="77777777" w:rsidR="00C46D25" w:rsidRPr="00335424" w:rsidRDefault="00C46D25" w:rsidP="00335424">
            <w:pPr>
              <w:widowControl w:val="0"/>
              <w:autoSpaceDE w:val="0"/>
              <w:autoSpaceDN w:val="0"/>
              <w:adjustRightInd w:val="0"/>
              <w:rPr>
                <w:b/>
              </w:rPr>
            </w:pPr>
          </w:p>
        </w:tc>
        <w:tc>
          <w:tcPr>
            <w:tcW w:w="833" w:type="dxa"/>
            <w:tcBorders>
              <w:bottom w:val="dashed" w:sz="4" w:space="0" w:color="auto"/>
            </w:tcBorders>
          </w:tcPr>
          <w:p w14:paraId="1A37774B" w14:textId="77777777" w:rsidR="00C46D25" w:rsidRPr="00335424" w:rsidRDefault="00C46D25" w:rsidP="00335424">
            <w:pPr>
              <w:widowControl w:val="0"/>
              <w:autoSpaceDE w:val="0"/>
              <w:autoSpaceDN w:val="0"/>
              <w:adjustRightInd w:val="0"/>
              <w:rPr>
                <w:b/>
              </w:rPr>
            </w:pPr>
          </w:p>
        </w:tc>
        <w:tc>
          <w:tcPr>
            <w:tcW w:w="861" w:type="dxa"/>
            <w:tcBorders>
              <w:bottom w:val="dashed" w:sz="4" w:space="0" w:color="auto"/>
            </w:tcBorders>
          </w:tcPr>
          <w:p w14:paraId="5CE841D3" w14:textId="77777777" w:rsidR="00C46D25" w:rsidRPr="00335424" w:rsidRDefault="00C46D25" w:rsidP="00335424">
            <w:pPr>
              <w:widowControl w:val="0"/>
              <w:autoSpaceDE w:val="0"/>
              <w:autoSpaceDN w:val="0"/>
              <w:adjustRightInd w:val="0"/>
              <w:rPr>
                <w:b/>
              </w:rPr>
            </w:pPr>
          </w:p>
        </w:tc>
        <w:tc>
          <w:tcPr>
            <w:tcW w:w="878" w:type="dxa"/>
            <w:tcBorders>
              <w:bottom w:val="dashed" w:sz="4" w:space="0" w:color="auto"/>
            </w:tcBorders>
          </w:tcPr>
          <w:p w14:paraId="553223BA" w14:textId="77777777" w:rsidR="00C46D25" w:rsidRPr="00335424" w:rsidRDefault="00C46D25" w:rsidP="00335424">
            <w:pPr>
              <w:widowControl w:val="0"/>
              <w:autoSpaceDE w:val="0"/>
              <w:autoSpaceDN w:val="0"/>
              <w:adjustRightInd w:val="0"/>
              <w:rPr>
                <w:b/>
              </w:rPr>
            </w:pPr>
          </w:p>
        </w:tc>
        <w:tc>
          <w:tcPr>
            <w:tcW w:w="810" w:type="dxa"/>
            <w:tcBorders>
              <w:bottom w:val="dashed" w:sz="4" w:space="0" w:color="auto"/>
            </w:tcBorders>
          </w:tcPr>
          <w:p w14:paraId="7F917BDF" w14:textId="77777777" w:rsidR="00C46D25" w:rsidRPr="00335424" w:rsidRDefault="00C46D25" w:rsidP="00335424">
            <w:pPr>
              <w:widowControl w:val="0"/>
              <w:autoSpaceDE w:val="0"/>
              <w:autoSpaceDN w:val="0"/>
              <w:adjustRightInd w:val="0"/>
              <w:rPr>
                <w:b/>
              </w:rPr>
            </w:pPr>
          </w:p>
        </w:tc>
        <w:tc>
          <w:tcPr>
            <w:tcW w:w="900" w:type="dxa"/>
            <w:tcBorders>
              <w:bottom w:val="dashed" w:sz="4" w:space="0" w:color="auto"/>
            </w:tcBorders>
          </w:tcPr>
          <w:p w14:paraId="0B4A0A08" w14:textId="77777777" w:rsidR="00C46D25" w:rsidRPr="00335424" w:rsidRDefault="00C46D25" w:rsidP="00335424">
            <w:pPr>
              <w:widowControl w:val="0"/>
              <w:autoSpaceDE w:val="0"/>
              <w:autoSpaceDN w:val="0"/>
              <w:adjustRightInd w:val="0"/>
              <w:rPr>
                <w:b/>
              </w:rPr>
            </w:pPr>
          </w:p>
        </w:tc>
        <w:tc>
          <w:tcPr>
            <w:tcW w:w="1080" w:type="dxa"/>
            <w:tcBorders>
              <w:bottom w:val="dashed" w:sz="4" w:space="0" w:color="auto"/>
            </w:tcBorders>
          </w:tcPr>
          <w:p w14:paraId="0B273754" w14:textId="77777777" w:rsidR="00C46D25" w:rsidRPr="00335424" w:rsidRDefault="00C46D25" w:rsidP="00335424">
            <w:pPr>
              <w:widowControl w:val="0"/>
              <w:autoSpaceDE w:val="0"/>
              <w:autoSpaceDN w:val="0"/>
              <w:adjustRightInd w:val="0"/>
              <w:rPr>
                <w:b/>
              </w:rPr>
            </w:pPr>
          </w:p>
        </w:tc>
      </w:tr>
      <w:tr w:rsidR="00C46D25" w14:paraId="4E1DC2A5" w14:textId="7A82381A" w:rsidTr="00770169">
        <w:tc>
          <w:tcPr>
            <w:tcW w:w="801" w:type="dxa"/>
            <w:vMerge/>
            <w:vAlign w:val="center"/>
          </w:tcPr>
          <w:p w14:paraId="6ED3853B" w14:textId="77777777" w:rsidR="00C46D25" w:rsidRDefault="00C46D25" w:rsidP="00335424">
            <w:pPr>
              <w:widowControl w:val="0"/>
              <w:autoSpaceDE w:val="0"/>
              <w:autoSpaceDN w:val="0"/>
              <w:adjustRightInd w:val="0"/>
              <w:jc w:val="center"/>
              <w:rPr>
                <w:b/>
              </w:rPr>
            </w:pPr>
          </w:p>
        </w:tc>
        <w:tc>
          <w:tcPr>
            <w:tcW w:w="1077" w:type="dxa"/>
            <w:tcBorders>
              <w:top w:val="dashed" w:sz="4" w:space="0" w:color="auto"/>
            </w:tcBorders>
            <w:vAlign w:val="center"/>
          </w:tcPr>
          <w:p w14:paraId="43AB1FCB" w14:textId="66C120CF" w:rsidR="00C46D25" w:rsidRPr="00770169" w:rsidRDefault="00C46D25" w:rsidP="00770169">
            <w:pPr>
              <w:widowControl w:val="0"/>
              <w:autoSpaceDE w:val="0"/>
              <w:autoSpaceDN w:val="0"/>
              <w:adjustRightInd w:val="0"/>
              <w:jc w:val="center"/>
            </w:pPr>
            <w:r w:rsidRPr="00770169">
              <w:t>Diastolic</w:t>
            </w:r>
          </w:p>
        </w:tc>
        <w:tc>
          <w:tcPr>
            <w:tcW w:w="833" w:type="dxa"/>
            <w:tcBorders>
              <w:top w:val="dashed" w:sz="4" w:space="0" w:color="auto"/>
            </w:tcBorders>
          </w:tcPr>
          <w:p w14:paraId="16EF963A" w14:textId="77777777" w:rsidR="00C46D25" w:rsidRPr="00335424" w:rsidRDefault="00C46D25" w:rsidP="00335424">
            <w:pPr>
              <w:widowControl w:val="0"/>
              <w:autoSpaceDE w:val="0"/>
              <w:autoSpaceDN w:val="0"/>
              <w:adjustRightInd w:val="0"/>
              <w:rPr>
                <w:b/>
              </w:rPr>
            </w:pPr>
          </w:p>
        </w:tc>
        <w:tc>
          <w:tcPr>
            <w:tcW w:w="832" w:type="dxa"/>
            <w:tcBorders>
              <w:top w:val="dashed" w:sz="4" w:space="0" w:color="auto"/>
            </w:tcBorders>
          </w:tcPr>
          <w:p w14:paraId="0062DCA2" w14:textId="77777777" w:rsidR="00C46D25" w:rsidRPr="00335424" w:rsidRDefault="00C46D25" w:rsidP="00335424">
            <w:pPr>
              <w:widowControl w:val="0"/>
              <w:autoSpaceDE w:val="0"/>
              <w:autoSpaceDN w:val="0"/>
              <w:adjustRightInd w:val="0"/>
              <w:rPr>
                <w:b/>
              </w:rPr>
            </w:pPr>
          </w:p>
        </w:tc>
        <w:tc>
          <w:tcPr>
            <w:tcW w:w="833" w:type="dxa"/>
            <w:tcBorders>
              <w:top w:val="dashed" w:sz="4" w:space="0" w:color="auto"/>
            </w:tcBorders>
          </w:tcPr>
          <w:p w14:paraId="6BB6D0BF" w14:textId="77777777" w:rsidR="00C46D25" w:rsidRPr="00335424" w:rsidRDefault="00C46D25" w:rsidP="00335424">
            <w:pPr>
              <w:widowControl w:val="0"/>
              <w:autoSpaceDE w:val="0"/>
              <w:autoSpaceDN w:val="0"/>
              <w:adjustRightInd w:val="0"/>
              <w:rPr>
                <w:b/>
              </w:rPr>
            </w:pPr>
          </w:p>
        </w:tc>
        <w:tc>
          <w:tcPr>
            <w:tcW w:w="861" w:type="dxa"/>
            <w:tcBorders>
              <w:top w:val="dashed" w:sz="4" w:space="0" w:color="auto"/>
            </w:tcBorders>
          </w:tcPr>
          <w:p w14:paraId="5F731B6F" w14:textId="77777777" w:rsidR="00C46D25" w:rsidRPr="00335424" w:rsidRDefault="00C46D25" w:rsidP="00335424">
            <w:pPr>
              <w:widowControl w:val="0"/>
              <w:autoSpaceDE w:val="0"/>
              <w:autoSpaceDN w:val="0"/>
              <w:adjustRightInd w:val="0"/>
              <w:rPr>
                <w:b/>
              </w:rPr>
            </w:pPr>
          </w:p>
        </w:tc>
        <w:tc>
          <w:tcPr>
            <w:tcW w:w="878" w:type="dxa"/>
            <w:tcBorders>
              <w:top w:val="dashed" w:sz="4" w:space="0" w:color="auto"/>
            </w:tcBorders>
          </w:tcPr>
          <w:p w14:paraId="5DF056B3" w14:textId="77777777" w:rsidR="00C46D25" w:rsidRPr="00335424" w:rsidRDefault="00C46D25" w:rsidP="00335424">
            <w:pPr>
              <w:widowControl w:val="0"/>
              <w:autoSpaceDE w:val="0"/>
              <w:autoSpaceDN w:val="0"/>
              <w:adjustRightInd w:val="0"/>
              <w:rPr>
                <w:b/>
              </w:rPr>
            </w:pPr>
          </w:p>
        </w:tc>
        <w:tc>
          <w:tcPr>
            <w:tcW w:w="810" w:type="dxa"/>
            <w:tcBorders>
              <w:top w:val="dashed" w:sz="4" w:space="0" w:color="auto"/>
            </w:tcBorders>
          </w:tcPr>
          <w:p w14:paraId="683B0803" w14:textId="77777777" w:rsidR="00C46D25" w:rsidRPr="00335424" w:rsidRDefault="00C46D25" w:rsidP="00335424">
            <w:pPr>
              <w:widowControl w:val="0"/>
              <w:autoSpaceDE w:val="0"/>
              <w:autoSpaceDN w:val="0"/>
              <w:adjustRightInd w:val="0"/>
              <w:rPr>
                <w:b/>
              </w:rPr>
            </w:pPr>
          </w:p>
        </w:tc>
        <w:tc>
          <w:tcPr>
            <w:tcW w:w="900" w:type="dxa"/>
            <w:tcBorders>
              <w:top w:val="dashed" w:sz="4" w:space="0" w:color="auto"/>
            </w:tcBorders>
          </w:tcPr>
          <w:p w14:paraId="3BAF4603" w14:textId="77777777" w:rsidR="00C46D25" w:rsidRPr="00335424" w:rsidRDefault="00C46D25" w:rsidP="00335424">
            <w:pPr>
              <w:widowControl w:val="0"/>
              <w:autoSpaceDE w:val="0"/>
              <w:autoSpaceDN w:val="0"/>
              <w:adjustRightInd w:val="0"/>
              <w:rPr>
                <w:b/>
              </w:rPr>
            </w:pPr>
          </w:p>
        </w:tc>
        <w:tc>
          <w:tcPr>
            <w:tcW w:w="1080" w:type="dxa"/>
            <w:tcBorders>
              <w:top w:val="dashed" w:sz="4" w:space="0" w:color="auto"/>
            </w:tcBorders>
          </w:tcPr>
          <w:p w14:paraId="70AF2C30" w14:textId="77777777" w:rsidR="00C46D25" w:rsidRPr="00335424" w:rsidRDefault="00C46D25" w:rsidP="00335424">
            <w:pPr>
              <w:widowControl w:val="0"/>
              <w:autoSpaceDE w:val="0"/>
              <w:autoSpaceDN w:val="0"/>
              <w:adjustRightInd w:val="0"/>
              <w:rPr>
                <w:b/>
              </w:rPr>
            </w:pPr>
          </w:p>
        </w:tc>
      </w:tr>
      <w:tr w:rsidR="00C46D25" w14:paraId="108486B1" w14:textId="77777777" w:rsidTr="00770169">
        <w:tc>
          <w:tcPr>
            <w:tcW w:w="801" w:type="dxa"/>
            <w:vMerge/>
            <w:vAlign w:val="center"/>
          </w:tcPr>
          <w:p w14:paraId="0D61CDE1" w14:textId="77777777" w:rsidR="00C46D25" w:rsidRDefault="00C46D25" w:rsidP="00335424">
            <w:pPr>
              <w:widowControl w:val="0"/>
              <w:autoSpaceDE w:val="0"/>
              <w:autoSpaceDN w:val="0"/>
              <w:adjustRightInd w:val="0"/>
              <w:jc w:val="center"/>
              <w:rPr>
                <w:b/>
              </w:rPr>
            </w:pPr>
          </w:p>
        </w:tc>
        <w:tc>
          <w:tcPr>
            <w:tcW w:w="1077" w:type="dxa"/>
            <w:tcBorders>
              <w:top w:val="dashed" w:sz="4" w:space="0" w:color="auto"/>
            </w:tcBorders>
            <w:vAlign w:val="center"/>
          </w:tcPr>
          <w:p w14:paraId="6F26FBD5" w14:textId="77777777" w:rsidR="00C46D25" w:rsidRPr="00770169" w:rsidRDefault="00C46D25" w:rsidP="00770169">
            <w:pPr>
              <w:widowControl w:val="0"/>
              <w:autoSpaceDE w:val="0"/>
              <w:autoSpaceDN w:val="0"/>
              <w:adjustRightInd w:val="0"/>
              <w:jc w:val="center"/>
            </w:pPr>
            <w:r w:rsidRPr="00770169">
              <w:t>Activity</w:t>
            </w:r>
          </w:p>
          <w:p w14:paraId="7C23DBE5" w14:textId="77777777" w:rsidR="00C46D25" w:rsidRPr="00770169" w:rsidRDefault="00C46D25" w:rsidP="00770169">
            <w:pPr>
              <w:widowControl w:val="0"/>
              <w:autoSpaceDE w:val="0"/>
              <w:autoSpaceDN w:val="0"/>
              <w:adjustRightInd w:val="0"/>
              <w:jc w:val="center"/>
            </w:pPr>
          </w:p>
        </w:tc>
        <w:tc>
          <w:tcPr>
            <w:tcW w:w="833" w:type="dxa"/>
            <w:tcBorders>
              <w:top w:val="dashed" w:sz="4" w:space="0" w:color="auto"/>
            </w:tcBorders>
          </w:tcPr>
          <w:p w14:paraId="06B7D203" w14:textId="77777777" w:rsidR="00C46D25" w:rsidRPr="00335424" w:rsidRDefault="00C46D25" w:rsidP="00335424">
            <w:pPr>
              <w:widowControl w:val="0"/>
              <w:autoSpaceDE w:val="0"/>
              <w:autoSpaceDN w:val="0"/>
              <w:adjustRightInd w:val="0"/>
              <w:rPr>
                <w:b/>
              </w:rPr>
            </w:pPr>
          </w:p>
        </w:tc>
        <w:tc>
          <w:tcPr>
            <w:tcW w:w="832" w:type="dxa"/>
            <w:tcBorders>
              <w:top w:val="dashed" w:sz="4" w:space="0" w:color="auto"/>
            </w:tcBorders>
          </w:tcPr>
          <w:p w14:paraId="55006D45" w14:textId="77777777" w:rsidR="00C46D25" w:rsidRPr="00335424" w:rsidRDefault="00C46D25" w:rsidP="00335424">
            <w:pPr>
              <w:widowControl w:val="0"/>
              <w:autoSpaceDE w:val="0"/>
              <w:autoSpaceDN w:val="0"/>
              <w:adjustRightInd w:val="0"/>
              <w:rPr>
                <w:b/>
              </w:rPr>
            </w:pPr>
          </w:p>
        </w:tc>
        <w:tc>
          <w:tcPr>
            <w:tcW w:w="833" w:type="dxa"/>
            <w:tcBorders>
              <w:top w:val="dashed" w:sz="4" w:space="0" w:color="auto"/>
            </w:tcBorders>
          </w:tcPr>
          <w:p w14:paraId="0C6CC20B" w14:textId="77777777" w:rsidR="00C46D25" w:rsidRPr="00335424" w:rsidRDefault="00C46D25" w:rsidP="00335424">
            <w:pPr>
              <w:widowControl w:val="0"/>
              <w:autoSpaceDE w:val="0"/>
              <w:autoSpaceDN w:val="0"/>
              <w:adjustRightInd w:val="0"/>
              <w:rPr>
                <w:b/>
              </w:rPr>
            </w:pPr>
          </w:p>
        </w:tc>
        <w:tc>
          <w:tcPr>
            <w:tcW w:w="861" w:type="dxa"/>
            <w:tcBorders>
              <w:top w:val="dashed" w:sz="4" w:space="0" w:color="auto"/>
            </w:tcBorders>
          </w:tcPr>
          <w:p w14:paraId="435CC888" w14:textId="77777777" w:rsidR="00C46D25" w:rsidRPr="00335424" w:rsidRDefault="00C46D25" w:rsidP="00335424">
            <w:pPr>
              <w:widowControl w:val="0"/>
              <w:autoSpaceDE w:val="0"/>
              <w:autoSpaceDN w:val="0"/>
              <w:adjustRightInd w:val="0"/>
              <w:rPr>
                <w:b/>
              </w:rPr>
            </w:pPr>
          </w:p>
        </w:tc>
        <w:tc>
          <w:tcPr>
            <w:tcW w:w="878" w:type="dxa"/>
            <w:tcBorders>
              <w:top w:val="dashed" w:sz="4" w:space="0" w:color="auto"/>
            </w:tcBorders>
          </w:tcPr>
          <w:p w14:paraId="5985ED82" w14:textId="77777777" w:rsidR="00C46D25" w:rsidRPr="00335424" w:rsidRDefault="00C46D25" w:rsidP="00335424">
            <w:pPr>
              <w:widowControl w:val="0"/>
              <w:autoSpaceDE w:val="0"/>
              <w:autoSpaceDN w:val="0"/>
              <w:adjustRightInd w:val="0"/>
              <w:rPr>
                <w:b/>
              </w:rPr>
            </w:pPr>
          </w:p>
        </w:tc>
        <w:tc>
          <w:tcPr>
            <w:tcW w:w="810" w:type="dxa"/>
            <w:tcBorders>
              <w:top w:val="dashed" w:sz="4" w:space="0" w:color="auto"/>
            </w:tcBorders>
          </w:tcPr>
          <w:p w14:paraId="01F587D8" w14:textId="77777777" w:rsidR="00C46D25" w:rsidRPr="00335424" w:rsidRDefault="00C46D25" w:rsidP="00335424">
            <w:pPr>
              <w:widowControl w:val="0"/>
              <w:autoSpaceDE w:val="0"/>
              <w:autoSpaceDN w:val="0"/>
              <w:adjustRightInd w:val="0"/>
              <w:rPr>
                <w:b/>
              </w:rPr>
            </w:pPr>
          </w:p>
        </w:tc>
        <w:tc>
          <w:tcPr>
            <w:tcW w:w="900" w:type="dxa"/>
            <w:tcBorders>
              <w:top w:val="dashed" w:sz="4" w:space="0" w:color="auto"/>
            </w:tcBorders>
          </w:tcPr>
          <w:p w14:paraId="4369275C" w14:textId="77777777" w:rsidR="00C46D25" w:rsidRPr="00335424" w:rsidRDefault="00C46D25" w:rsidP="00335424">
            <w:pPr>
              <w:widowControl w:val="0"/>
              <w:autoSpaceDE w:val="0"/>
              <w:autoSpaceDN w:val="0"/>
              <w:adjustRightInd w:val="0"/>
              <w:rPr>
                <w:b/>
              </w:rPr>
            </w:pPr>
          </w:p>
        </w:tc>
        <w:tc>
          <w:tcPr>
            <w:tcW w:w="1080" w:type="dxa"/>
            <w:tcBorders>
              <w:top w:val="dashed" w:sz="4" w:space="0" w:color="auto"/>
            </w:tcBorders>
          </w:tcPr>
          <w:p w14:paraId="3417CF9D" w14:textId="77777777" w:rsidR="00C46D25" w:rsidRPr="00335424" w:rsidRDefault="00C46D25" w:rsidP="00335424">
            <w:pPr>
              <w:widowControl w:val="0"/>
              <w:autoSpaceDE w:val="0"/>
              <w:autoSpaceDN w:val="0"/>
              <w:adjustRightInd w:val="0"/>
              <w:rPr>
                <w:b/>
              </w:rPr>
            </w:pPr>
          </w:p>
        </w:tc>
      </w:tr>
      <w:tr w:rsidR="00C46D25" w14:paraId="02C49745" w14:textId="0B3F1943" w:rsidTr="00770169">
        <w:tc>
          <w:tcPr>
            <w:tcW w:w="801" w:type="dxa"/>
            <w:vMerge w:val="restart"/>
            <w:vAlign w:val="center"/>
          </w:tcPr>
          <w:p w14:paraId="6AF23C0B" w14:textId="43BE9C03" w:rsidR="00C46D25" w:rsidRDefault="00C46D25" w:rsidP="00335424">
            <w:pPr>
              <w:widowControl w:val="0"/>
              <w:autoSpaceDE w:val="0"/>
              <w:autoSpaceDN w:val="0"/>
              <w:adjustRightInd w:val="0"/>
              <w:jc w:val="center"/>
              <w:rPr>
                <w:b/>
              </w:rPr>
            </w:pPr>
            <w:r>
              <w:rPr>
                <w:b/>
              </w:rPr>
              <w:t>Week 16</w:t>
            </w:r>
          </w:p>
        </w:tc>
        <w:tc>
          <w:tcPr>
            <w:tcW w:w="1077" w:type="dxa"/>
            <w:tcBorders>
              <w:bottom w:val="dashed" w:sz="4" w:space="0" w:color="auto"/>
            </w:tcBorders>
            <w:vAlign w:val="center"/>
          </w:tcPr>
          <w:p w14:paraId="69F65C04" w14:textId="11580019" w:rsidR="00C46D25" w:rsidRPr="00770169" w:rsidRDefault="00C46D25" w:rsidP="00770169">
            <w:pPr>
              <w:widowControl w:val="0"/>
              <w:autoSpaceDE w:val="0"/>
              <w:autoSpaceDN w:val="0"/>
              <w:adjustRightInd w:val="0"/>
              <w:jc w:val="center"/>
            </w:pPr>
            <w:r w:rsidRPr="00770169">
              <w:t>Systolic</w:t>
            </w:r>
          </w:p>
        </w:tc>
        <w:tc>
          <w:tcPr>
            <w:tcW w:w="833" w:type="dxa"/>
            <w:tcBorders>
              <w:bottom w:val="dashed" w:sz="4" w:space="0" w:color="auto"/>
            </w:tcBorders>
          </w:tcPr>
          <w:p w14:paraId="2B35068E" w14:textId="77777777" w:rsidR="00C46D25" w:rsidRPr="00335424" w:rsidRDefault="00C46D25" w:rsidP="00335424">
            <w:pPr>
              <w:widowControl w:val="0"/>
              <w:autoSpaceDE w:val="0"/>
              <w:autoSpaceDN w:val="0"/>
              <w:adjustRightInd w:val="0"/>
              <w:rPr>
                <w:b/>
              </w:rPr>
            </w:pPr>
          </w:p>
        </w:tc>
        <w:tc>
          <w:tcPr>
            <w:tcW w:w="832" w:type="dxa"/>
            <w:tcBorders>
              <w:bottom w:val="dashed" w:sz="4" w:space="0" w:color="auto"/>
            </w:tcBorders>
          </w:tcPr>
          <w:p w14:paraId="2C494E27" w14:textId="77777777" w:rsidR="00C46D25" w:rsidRPr="00335424" w:rsidRDefault="00C46D25" w:rsidP="00335424">
            <w:pPr>
              <w:widowControl w:val="0"/>
              <w:autoSpaceDE w:val="0"/>
              <w:autoSpaceDN w:val="0"/>
              <w:adjustRightInd w:val="0"/>
              <w:rPr>
                <w:b/>
              </w:rPr>
            </w:pPr>
          </w:p>
        </w:tc>
        <w:tc>
          <w:tcPr>
            <w:tcW w:w="833" w:type="dxa"/>
            <w:tcBorders>
              <w:bottom w:val="dashed" w:sz="4" w:space="0" w:color="auto"/>
            </w:tcBorders>
          </w:tcPr>
          <w:p w14:paraId="1347FC79" w14:textId="77777777" w:rsidR="00C46D25" w:rsidRPr="00335424" w:rsidRDefault="00C46D25" w:rsidP="00335424">
            <w:pPr>
              <w:widowControl w:val="0"/>
              <w:autoSpaceDE w:val="0"/>
              <w:autoSpaceDN w:val="0"/>
              <w:adjustRightInd w:val="0"/>
              <w:rPr>
                <w:b/>
              </w:rPr>
            </w:pPr>
          </w:p>
        </w:tc>
        <w:tc>
          <w:tcPr>
            <w:tcW w:w="861" w:type="dxa"/>
            <w:tcBorders>
              <w:bottom w:val="dashed" w:sz="4" w:space="0" w:color="auto"/>
            </w:tcBorders>
          </w:tcPr>
          <w:p w14:paraId="4BAD5A50" w14:textId="77777777" w:rsidR="00C46D25" w:rsidRPr="00335424" w:rsidRDefault="00C46D25" w:rsidP="00335424">
            <w:pPr>
              <w:widowControl w:val="0"/>
              <w:autoSpaceDE w:val="0"/>
              <w:autoSpaceDN w:val="0"/>
              <w:adjustRightInd w:val="0"/>
              <w:rPr>
                <w:b/>
              </w:rPr>
            </w:pPr>
          </w:p>
        </w:tc>
        <w:tc>
          <w:tcPr>
            <w:tcW w:w="878" w:type="dxa"/>
            <w:tcBorders>
              <w:bottom w:val="dashed" w:sz="4" w:space="0" w:color="auto"/>
            </w:tcBorders>
          </w:tcPr>
          <w:p w14:paraId="546E9D48" w14:textId="77777777" w:rsidR="00C46D25" w:rsidRPr="00335424" w:rsidRDefault="00C46D25" w:rsidP="00335424">
            <w:pPr>
              <w:widowControl w:val="0"/>
              <w:autoSpaceDE w:val="0"/>
              <w:autoSpaceDN w:val="0"/>
              <w:adjustRightInd w:val="0"/>
              <w:rPr>
                <w:b/>
              </w:rPr>
            </w:pPr>
          </w:p>
        </w:tc>
        <w:tc>
          <w:tcPr>
            <w:tcW w:w="810" w:type="dxa"/>
            <w:tcBorders>
              <w:bottom w:val="dashed" w:sz="4" w:space="0" w:color="auto"/>
            </w:tcBorders>
          </w:tcPr>
          <w:p w14:paraId="3294B46A" w14:textId="77777777" w:rsidR="00C46D25" w:rsidRPr="00335424" w:rsidRDefault="00C46D25" w:rsidP="00335424">
            <w:pPr>
              <w:widowControl w:val="0"/>
              <w:autoSpaceDE w:val="0"/>
              <w:autoSpaceDN w:val="0"/>
              <w:adjustRightInd w:val="0"/>
              <w:rPr>
                <w:b/>
              </w:rPr>
            </w:pPr>
          </w:p>
        </w:tc>
        <w:tc>
          <w:tcPr>
            <w:tcW w:w="900" w:type="dxa"/>
            <w:tcBorders>
              <w:bottom w:val="dashed" w:sz="4" w:space="0" w:color="auto"/>
            </w:tcBorders>
          </w:tcPr>
          <w:p w14:paraId="0DDA1782" w14:textId="77777777" w:rsidR="00C46D25" w:rsidRPr="00335424" w:rsidRDefault="00C46D25" w:rsidP="00335424">
            <w:pPr>
              <w:widowControl w:val="0"/>
              <w:autoSpaceDE w:val="0"/>
              <w:autoSpaceDN w:val="0"/>
              <w:adjustRightInd w:val="0"/>
              <w:rPr>
                <w:b/>
              </w:rPr>
            </w:pPr>
          </w:p>
        </w:tc>
        <w:tc>
          <w:tcPr>
            <w:tcW w:w="1080" w:type="dxa"/>
            <w:tcBorders>
              <w:bottom w:val="dashed" w:sz="4" w:space="0" w:color="auto"/>
            </w:tcBorders>
          </w:tcPr>
          <w:p w14:paraId="0EB8E181" w14:textId="77777777" w:rsidR="00C46D25" w:rsidRPr="00335424" w:rsidRDefault="00C46D25" w:rsidP="00335424">
            <w:pPr>
              <w:widowControl w:val="0"/>
              <w:autoSpaceDE w:val="0"/>
              <w:autoSpaceDN w:val="0"/>
              <w:adjustRightInd w:val="0"/>
              <w:rPr>
                <w:b/>
              </w:rPr>
            </w:pPr>
          </w:p>
        </w:tc>
      </w:tr>
      <w:tr w:rsidR="00C46D25" w14:paraId="2915212B" w14:textId="65AFD43F" w:rsidTr="00770169">
        <w:tc>
          <w:tcPr>
            <w:tcW w:w="801" w:type="dxa"/>
            <w:vMerge/>
            <w:vAlign w:val="center"/>
          </w:tcPr>
          <w:p w14:paraId="6D0D9640" w14:textId="77777777" w:rsidR="00C46D25" w:rsidRDefault="00C46D25" w:rsidP="00335424">
            <w:pPr>
              <w:widowControl w:val="0"/>
              <w:autoSpaceDE w:val="0"/>
              <w:autoSpaceDN w:val="0"/>
              <w:adjustRightInd w:val="0"/>
              <w:jc w:val="center"/>
              <w:rPr>
                <w:b/>
              </w:rPr>
            </w:pPr>
          </w:p>
        </w:tc>
        <w:tc>
          <w:tcPr>
            <w:tcW w:w="1077" w:type="dxa"/>
            <w:tcBorders>
              <w:top w:val="dashed" w:sz="4" w:space="0" w:color="auto"/>
              <w:bottom w:val="dashed" w:sz="4" w:space="0" w:color="auto"/>
            </w:tcBorders>
            <w:vAlign w:val="center"/>
          </w:tcPr>
          <w:p w14:paraId="3D49FE86" w14:textId="2AA62AA4" w:rsidR="00C46D25" w:rsidRPr="00770169" w:rsidRDefault="00C46D25" w:rsidP="00770169">
            <w:pPr>
              <w:widowControl w:val="0"/>
              <w:autoSpaceDE w:val="0"/>
              <w:autoSpaceDN w:val="0"/>
              <w:adjustRightInd w:val="0"/>
              <w:jc w:val="center"/>
            </w:pPr>
            <w:r w:rsidRPr="00770169">
              <w:t>Diastolic</w:t>
            </w:r>
          </w:p>
        </w:tc>
        <w:tc>
          <w:tcPr>
            <w:tcW w:w="833" w:type="dxa"/>
            <w:tcBorders>
              <w:top w:val="dashed" w:sz="4" w:space="0" w:color="auto"/>
              <w:bottom w:val="dashed" w:sz="4" w:space="0" w:color="auto"/>
            </w:tcBorders>
          </w:tcPr>
          <w:p w14:paraId="5AB63C76" w14:textId="77777777" w:rsidR="00C46D25" w:rsidRPr="00335424" w:rsidRDefault="00C46D25" w:rsidP="00335424">
            <w:pPr>
              <w:widowControl w:val="0"/>
              <w:autoSpaceDE w:val="0"/>
              <w:autoSpaceDN w:val="0"/>
              <w:adjustRightInd w:val="0"/>
              <w:rPr>
                <w:b/>
              </w:rPr>
            </w:pPr>
          </w:p>
        </w:tc>
        <w:tc>
          <w:tcPr>
            <w:tcW w:w="832" w:type="dxa"/>
            <w:tcBorders>
              <w:top w:val="dashed" w:sz="4" w:space="0" w:color="auto"/>
              <w:bottom w:val="dashed" w:sz="4" w:space="0" w:color="auto"/>
            </w:tcBorders>
          </w:tcPr>
          <w:p w14:paraId="1C3A5648" w14:textId="77777777" w:rsidR="00C46D25" w:rsidRPr="00335424" w:rsidRDefault="00C46D25" w:rsidP="00335424">
            <w:pPr>
              <w:widowControl w:val="0"/>
              <w:autoSpaceDE w:val="0"/>
              <w:autoSpaceDN w:val="0"/>
              <w:adjustRightInd w:val="0"/>
              <w:rPr>
                <w:b/>
              </w:rPr>
            </w:pPr>
          </w:p>
        </w:tc>
        <w:tc>
          <w:tcPr>
            <w:tcW w:w="833" w:type="dxa"/>
            <w:tcBorders>
              <w:top w:val="dashed" w:sz="4" w:space="0" w:color="auto"/>
              <w:bottom w:val="dashed" w:sz="4" w:space="0" w:color="auto"/>
            </w:tcBorders>
          </w:tcPr>
          <w:p w14:paraId="050CD2B7" w14:textId="77777777" w:rsidR="00C46D25" w:rsidRPr="00335424" w:rsidRDefault="00C46D25" w:rsidP="00335424">
            <w:pPr>
              <w:widowControl w:val="0"/>
              <w:autoSpaceDE w:val="0"/>
              <w:autoSpaceDN w:val="0"/>
              <w:adjustRightInd w:val="0"/>
              <w:rPr>
                <w:b/>
              </w:rPr>
            </w:pPr>
          </w:p>
        </w:tc>
        <w:tc>
          <w:tcPr>
            <w:tcW w:w="861" w:type="dxa"/>
            <w:tcBorders>
              <w:top w:val="dashed" w:sz="4" w:space="0" w:color="auto"/>
              <w:bottom w:val="dashed" w:sz="4" w:space="0" w:color="auto"/>
            </w:tcBorders>
          </w:tcPr>
          <w:p w14:paraId="57FC5FB1" w14:textId="77777777" w:rsidR="00C46D25" w:rsidRPr="00335424" w:rsidRDefault="00C46D25" w:rsidP="00335424">
            <w:pPr>
              <w:widowControl w:val="0"/>
              <w:autoSpaceDE w:val="0"/>
              <w:autoSpaceDN w:val="0"/>
              <w:adjustRightInd w:val="0"/>
              <w:rPr>
                <w:b/>
              </w:rPr>
            </w:pPr>
          </w:p>
        </w:tc>
        <w:tc>
          <w:tcPr>
            <w:tcW w:w="878" w:type="dxa"/>
            <w:tcBorders>
              <w:top w:val="dashed" w:sz="4" w:space="0" w:color="auto"/>
              <w:bottom w:val="dashed" w:sz="4" w:space="0" w:color="auto"/>
            </w:tcBorders>
          </w:tcPr>
          <w:p w14:paraId="07EFDF66" w14:textId="77777777" w:rsidR="00C46D25" w:rsidRPr="00335424" w:rsidRDefault="00C46D25" w:rsidP="00335424">
            <w:pPr>
              <w:widowControl w:val="0"/>
              <w:autoSpaceDE w:val="0"/>
              <w:autoSpaceDN w:val="0"/>
              <w:adjustRightInd w:val="0"/>
              <w:rPr>
                <w:b/>
              </w:rPr>
            </w:pPr>
          </w:p>
        </w:tc>
        <w:tc>
          <w:tcPr>
            <w:tcW w:w="810" w:type="dxa"/>
            <w:tcBorders>
              <w:top w:val="dashed" w:sz="4" w:space="0" w:color="auto"/>
              <w:bottom w:val="dashed" w:sz="4" w:space="0" w:color="auto"/>
            </w:tcBorders>
          </w:tcPr>
          <w:p w14:paraId="1859F438" w14:textId="77777777" w:rsidR="00C46D25" w:rsidRPr="00335424" w:rsidRDefault="00C46D25" w:rsidP="00335424">
            <w:pPr>
              <w:widowControl w:val="0"/>
              <w:autoSpaceDE w:val="0"/>
              <w:autoSpaceDN w:val="0"/>
              <w:adjustRightInd w:val="0"/>
              <w:rPr>
                <w:b/>
              </w:rPr>
            </w:pPr>
          </w:p>
        </w:tc>
        <w:tc>
          <w:tcPr>
            <w:tcW w:w="900" w:type="dxa"/>
            <w:tcBorders>
              <w:top w:val="dashed" w:sz="4" w:space="0" w:color="auto"/>
              <w:bottom w:val="dashed" w:sz="4" w:space="0" w:color="auto"/>
            </w:tcBorders>
          </w:tcPr>
          <w:p w14:paraId="4DFAC99B" w14:textId="77777777" w:rsidR="00C46D25" w:rsidRPr="00335424" w:rsidRDefault="00C46D25" w:rsidP="00335424">
            <w:pPr>
              <w:widowControl w:val="0"/>
              <w:autoSpaceDE w:val="0"/>
              <w:autoSpaceDN w:val="0"/>
              <w:adjustRightInd w:val="0"/>
              <w:rPr>
                <w:b/>
              </w:rPr>
            </w:pPr>
          </w:p>
        </w:tc>
        <w:tc>
          <w:tcPr>
            <w:tcW w:w="1080" w:type="dxa"/>
            <w:tcBorders>
              <w:top w:val="dashed" w:sz="4" w:space="0" w:color="auto"/>
              <w:bottom w:val="dashed" w:sz="4" w:space="0" w:color="auto"/>
            </w:tcBorders>
          </w:tcPr>
          <w:p w14:paraId="256E728B" w14:textId="77777777" w:rsidR="00C46D25" w:rsidRPr="00335424" w:rsidRDefault="00C46D25" w:rsidP="00335424">
            <w:pPr>
              <w:widowControl w:val="0"/>
              <w:autoSpaceDE w:val="0"/>
              <w:autoSpaceDN w:val="0"/>
              <w:adjustRightInd w:val="0"/>
              <w:rPr>
                <w:b/>
              </w:rPr>
            </w:pPr>
          </w:p>
        </w:tc>
      </w:tr>
      <w:tr w:rsidR="00C46D25" w14:paraId="283BE321" w14:textId="77777777" w:rsidTr="00770169">
        <w:tc>
          <w:tcPr>
            <w:tcW w:w="801" w:type="dxa"/>
            <w:vMerge/>
            <w:vAlign w:val="center"/>
          </w:tcPr>
          <w:p w14:paraId="29D1AAB4" w14:textId="77777777" w:rsidR="00C46D25" w:rsidRDefault="00C46D25" w:rsidP="00335424">
            <w:pPr>
              <w:widowControl w:val="0"/>
              <w:autoSpaceDE w:val="0"/>
              <w:autoSpaceDN w:val="0"/>
              <w:adjustRightInd w:val="0"/>
              <w:jc w:val="center"/>
              <w:rPr>
                <w:b/>
              </w:rPr>
            </w:pPr>
          </w:p>
        </w:tc>
        <w:tc>
          <w:tcPr>
            <w:tcW w:w="1077" w:type="dxa"/>
            <w:tcBorders>
              <w:top w:val="dashed" w:sz="4" w:space="0" w:color="auto"/>
            </w:tcBorders>
            <w:vAlign w:val="center"/>
          </w:tcPr>
          <w:p w14:paraId="77DEB0D6" w14:textId="77777777" w:rsidR="00C46D25" w:rsidRPr="00770169" w:rsidRDefault="00C46D25" w:rsidP="00770169">
            <w:pPr>
              <w:widowControl w:val="0"/>
              <w:autoSpaceDE w:val="0"/>
              <w:autoSpaceDN w:val="0"/>
              <w:adjustRightInd w:val="0"/>
              <w:jc w:val="center"/>
            </w:pPr>
            <w:r w:rsidRPr="00770169">
              <w:t>Activity</w:t>
            </w:r>
          </w:p>
          <w:p w14:paraId="6B8E9155" w14:textId="77777777" w:rsidR="00C46D25" w:rsidRPr="00770169" w:rsidRDefault="00C46D25" w:rsidP="00770169">
            <w:pPr>
              <w:widowControl w:val="0"/>
              <w:autoSpaceDE w:val="0"/>
              <w:autoSpaceDN w:val="0"/>
              <w:adjustRightInd w:val="0"/>
              <w:jc w:val="center"/>
            </w:pPr>
          </w:p>
        </w:tc>
        <w:tc>
          <w:tcPr>
            <w:tcW w:w="833" w:type="dxa"/>
            <w:tcBorders>
              <w:top w:val="dashed" w:sz="4" w:space="0" w:color="auto"/>
            </w:tcBorders>
          </w:tcPr>
          <w:p w14:paraId="576A50D4" w14:textId="77777777" w:rsidR="00C46D25" w:rsidRPr="00335424" w:rsidRDefault="00C46D25" w:rsidP="00335424">
            <w:pPr>
              <w:widowControl w:val="0"/>
              <w:autoSpaceDE w:val="0"/>
              <w:autoSpaceDN w:val="0"/>
              <w:adjustRightInd w:val="0"/>
              <w:rPr>
                <w:b/>
              </w:rPr>
            </w:pPr>
          </w:p>
        </w:tc>
        <w:tc>
          <w:tcPr>
            <w:tcW w:w="832" w:type="dxa"/>
            <w:tcBorders>
              <w:top w:val="dashed" w:sz="4" w:space="0" w:color="auto"/>
            </w:tcBorders>
          </w:tcPr>
          <w:p w14:paraId="24ABC509" w14:textId="77777777" w:rsidR="00C46D25" w:rsidRPr="00335424" w:rsidRDefault="00C46D25" w:rsidP="00335424">
            <w:pPr>
              <w:widowControl w:val="0"/>
              <w:autoSpaceDE w:val="0"/>
              <w:autoSpaceDN w:val="0"/>
              <w:adjustRightInd w:val="0"/>
              <w:rPr>
                <w:b/>
              </w:rPr>
            </w:pPr>
          </w:p>
        </w:tc>
        <w:tc>
          <w:tcPr>
            <w:tcW w:w="833" w:type="dxa"/>
            <w:tcBorders>
              <w:top w:val="dashed" w:sz="4" w:space="0" w:color="auto"/>
            </w:tcBorders>
          </w:tcPr>
          <w:p w14:paraId="6CB2B2F3" w14:textId="77777777" w:rsidR="00C46D25" w:rsidRPr="00335424" w:rsidRDefault="00C46D25" w:rsidP="00335424">
            <w:pPr>
              <w:widowControl w:val="0"/>
              <w:autoSpaceDE w:val="0"/>
              <w:autoSpaceDN w:val="0"/>
              <w:adjustRightInd w:val="0"/>
              <w:rPr>
                <w:b/>
              </w:rPr>
            </w:pPr>
          </w:p>
        </w:tc>
        <w:tc>
          <w:tcPr>
            <w:tcW w:w="861" w:type="dxa"/>
            <w:tcBorders>
              <w:top w:val="dashed" w:sz="4" w:space="0" w:color="auto"/>
            </w:tcBorders>
          </w:tcPr>
          <w:p w14:paraId="1E87F576" w14:textId="77777777" w:rsidR="00C46D25" w:rsidRPr="00335424" w:rsidRDefault="00C46D25" w:rsidP="00335424">
            <w:pPr>
              <w:widowControl w:val="0"/>
              <w:autoSpaceDE w:val="0"/>
              <w:autoSpaceDN w:val="0"/>
              <w:adjustRightInd w:val="0"/>
              <w:rPr>
                <w:b/>
              </w:rPr>
            </w:pPr>
          </w:p>
        </w:tc>
        <w:tc>
          <w:tcPr>
            <w:tcW w:w="878" w:type="dxa"/>
            <w:tcBorders>
              <w:top w:val="dashed" w:sz="4" w:space="0" w:color="auto"/>
            </w:tcBorders>
          </w:tcPr>
          <w:p w14:paraId="60E079F8" w14:textId="77777777" w:rsidR="00C46D25" w:rsidRPr="00335424" w:rsidRDefault="00C46D25" w:rsidP="00335424">
            <w:pPr>
              <w:widowControl w:val="0"/>
              <w:autoSpaceDE w:val="0"/>
              <w:autoSpaceDN w:val="0"/>
              <w:adjustRightInd w:val="0"/>
              <w:rPr>
                <w:b/>
              </w:rPr>
            </w:pPr>
          </w:p>
        </w:tc>
        <w:tc>
          <w:tcPr>
            <w:tcW w:w="810" w:type="dxa"/>
            <w:tcBorders>
              <w:top w:val="dashed" w:sz="4" w:space="0" w:color="auto"/>
            </w:tcBorders>
          </w:tcPr>
          <w:p w14:paraId="1EB41196" w14:textId="77777777" w:rsidR="00C46D25" w:rsidRPr="00335424" w:rsidRDefault="00C46D25" w:rsidP="00335424">
            <w:pPr>
              <w:widowControl w:val="0"/>
              <w:autoSpaceDE w:val="0"/>
              <w:autoSpaceDN w:val="0"/>
              <w:adjustRightInd w:val="0"/>
              <w:rPr>
                <w:b/>
              </w:rPr>
            </w:pPr>
          </w:p>
        </w:tc>
        <w:tc>
          <w:tcPr>
            <w:tcW w:w="900" w:type="dxa"/>
            <w:tcBorders>
              <w:top w:val="dashed" w:sz="4" w:space="0" w:color="auto"/>
            </w:tcBorders>
          </w:tcPr>
          <w:p w14:paraId="7D136FF2" w14:textId="77777777" w:rsidR="00C46D25" w:rsidRPr="00335424" w:rsidRDefault="00C46D25" w:rsidP="00335424">
            <w:pPr>
              <w:widowControl w:val="0"/>
              <w:autoSpaceDE w:val="0"/>
              <w:autoSpaceDN w:val="0"/>
              <w:adjustRightInd w:val="0"/>
              <w:rPr>
                <w:b/>
              </w:rPr>
            </w:pPr>
          </w:p>
        </w:tc>
        <w:tc>
          <w:tcPr>
            <w:tcW w:w="1080" w:type="dxa"/>
            <w:tcBorders>
              <w:top w:val="dashed" w:sz="4" w:space="0" w:color="auto"/>
            </w:tcBorders>
          </w:tcPr>
          <w:p w14:paraId="6DBA898D" w14:textId="77777777" w:rsidR="00C46D25" w:rsidRPr="00335424" w:rsidRDefault="00C46D25" w:rsidP="00335424">
            <w:pPr>
              <w:widowControl w:val="0"/>
              <w:autoSpaceDE w:val="0"/>
              <w:autoSpaceDN w:val="0"/>
              <w:adjustRightInd w:val="0"/>
              <w:rPr>
                <w:b/>
              </w:rPr>
            </w:pPr>
          </w:p>
        </w:tc>
      </w:tr>
    </w:tbl>
    <w:p w14:paraId="026C5F4E" w14:textId="0FBA5582" w:rsidR="00D33D18" w:rsidRDefault="00D33D18" w:rsidP="00770169">
      <w:pPr>
        <w:widowControl w:val="0"/>
        <w:autoSpaceDE w:val="0"/>
        <w:autoSpaceDN w:val="0"/>
        <w:adjustRightInd w:val="0"/>
        <w:ind w:left="360"/>
        <w:rPr>
          <w:b/>
        </w:rPr>
      </w:pPr>
    </w:p>
    <w:p w14:paraId="5DEAB1F8" w14:textId="10F6C6DC" w:rsidR="00335424" w:rsidRDefault="00D33D18" w:rsidP="00D33D18">
      <w:pPr>
        <w:rPr>
          <w:b/>
        </w:rPr>
      </w:pPr>
      <w:r>
        <w:rPr>
          <w:b/>
        </w:rPr>
        <w:br w:type="page"/>
      </w:r>
    </w:p>
    <w:p w14:paraId="2E674EF9" w14:textId="0AEDB98D" w:rsidR="00770169" w:rsidRDefault="00770169" w:rsidP="00770169">
      <w:pPr>
        <w:pStyle w:val="ListParagraph"/>
        <w:widowControl w:val="0"/>
        <w:numPr>
          <w:ilvl w:val="0"/>
          <w:numId w:val="6"/>
        </w:numPr>
        <w:autoSpaceDE w:val="0"/>
        <w:autoSpaceDN w:val="0"/>
        <w:adjustRightInd w:val="0"/>
        <w:rPr>
          <w:b/>
        </w:rPr>
      </w:pPr>
      <w:r w:rsidRPr="00770169">
        <w:rPr>
          <w:b/>
        </w:rPr>
        <w:lastRenderedPageBreak/>
        <w:t>General Practice Physical Activity Questionnaire (GPPAQ)</w:t>
      </w:r>
      <w:r w:rsidR="007E173F">
        <w:rPr>
          <w:b/>
        </w:rPr>
        <w:fldChar w:fldCharType="begin"/>
      </w:r>
      <w:r w:rsidR="007E173F">
        <w:rPr>
          <w:b/>
        </w:rPr>
        <w:instrText>ADDIN F1000_CSL_CITATION&lt;~#@#~&gt;[{"First":false,"Last":false,"URL":"https://www.ncbi.nlm.nih.gov/books/NBK51962/#appendixes.app10.s14","accessed":{"date-parts":[["2019","11","18"]]},"authorYearDisplayFormat":false,"citation-label":"7789340","id":"7789340","invisible":false,"issued":{"date-parts":[[]]},"suppress-author":false,"title":"The General Practice Physical Activity Questionnaire (GPPAQ) - Irritable Bowel Syndrome in Adults - NCBI Bookshelf","type":"webpage"}]</w:instrText>
      </w:r>
      <w:r w:rsidR="007E173F">
        <w:rPr>
          <w:b/>
        </w:rPr>
        <w:fldChar w:fldCharType="separate"/>
      </w:r>
      <w:r w:rsidR="007E173F" w:rsidRPr="007E173F">
        <w:rPr>
          <w:noProof/>
          <w:vertAlign w:val="superscript"/>
        </w:rPr>
        <w:t>32</w:t>
      </w:r>
      <w:r w:rsidR="007E173F">
        <w:rPr>
          <w:b/>
        </w:rPr>
        <w:fldChar w:fldCharType="end"/>
      </w:r>
    </w:p>
    <w:p w14:paraId="7FB99C11" w14:textId="47B2B0A6" w:rsidR="00D33D18" w:rsidRDefault="00D33D18" w:rsidP="00D33D18">
      <w:pPr>
        <w:pStyle w:val="ListParagraph"/>
        <w:widowControl w:val="0"/>
        <w:autoSpaceDE w:val="0"/>
        <w:autoSpaceDN w:val="0"/>
        <w:adjustRightInd w:val="0"/>
        <w:ind w:left="360"/>
        <w:rPr>
          <w:b/>
        </w:rPr>
      </w:pPr>
      <w:r>
        <w:rPr>
          <w:b/>
          <w:noProof/>
        </w:rPr>
        <w:drawing>
          <wp:inline distT="0" distB="0" distL="0" distR="0" wp14:anchorId="51B354EE" wp14:editId="67826827">
            <wp:extent cx="5818505" cy="67317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PPAQ_-_pdf_version.pdf"/>
                    <pic:cNvPicPr/>
                  </pic:nvPicPr>
                  <pic:blipFill rotWithShape="1">
                    <a:blip r:embed="rId7">
                      <a:extLst>
                        <a:ext uri="{28A0092B-C50C-407E-A947-70E740481C1C}">
                          <a14:useLocalDpi xmlns:a14="http://schemas.microsoft.com/office/drawing/2010/main" val="0"/>
                        </a:ext>
                      </a:extLst>
                    </a:blip>
                    <a:srcRect t="10347" b="7892"/>
                    <a:stretch/>
                  </pic:blipFill>
                  <pic:spPr bwMode="auto">
                    <a:xfrm>
                      <a:off x="0" y="0"/>
                      <a:ext cx="5819775" cy="6733210"/>
                    </a:xfrm>
                    <a:prstGeom prst="rect">
                      <a:avLst/>
                    </a:prstGeom>
                    <a:ln>
                      <a:noFill/>
                    </a:ln>
                    <a:extLst>
                      <a:ext uri="{53640926-AAD7-44D8-BBD7-CCE9431645EC}">
                        <a14:shadowObscured xmlns:a14="http://schemas.microsoft.com/office/drawing/2010/main"/>
                      </a:ext>
                    </a:extLst>
                  </pic:spPr>
                </pic:pic>
              </a:graphicData>
            </a:graphic>
          </wp:inline>
        </w:drawing>
      </w:r>
    </w:p>
    <w:p w14:paraId="2E61D26D" w14:textId="0AD8147C" w:rsidR="00D33D18" w:rsidRPr="00193E05" w:rsidRDefault="00193E05" w:rsidP="00193E05">
      <w:pPr>
        <w:rPr>
          <w:b/>
        </w:rPr>
      </w:pPr>
      <w:r>
        <w:rPr>
          <w:b/>
        </w:rPr>
        <w:br w:type="page"/>
      </w:r>
    </w:p>
    <w:p w14:paraId="0A60146A" w14:textId="3AE1BAA3" w:rsidR="00D33D18" w:rsidRDefault="00193E05" w:rsidP="00D33D18">
      <w:pPr>
        <w:pStyle w:val="ListParagraph"/>
        <w:widowControl w:val="0"/>
        <w:numPr>
          <w:ilvl w:val="0"/>
          <w:numId w:val="6"/>
        </w:numPr>
        <w:autoSpaceDE w:val="0"/>
        <w:autoSpaceDN w:val="0"/>
        <w:adjustRightInd w:val="0"/>
        <w:rPr>
          <w:b/>
        </w:rPr>
      </w:pPr>
      <w:r>
        <w:rPr>
          <w:b/>
        </w:rPr>
        <w:lastRenderedPageBreak/>
        <w:t>My Health Knowledge Survey</w:t>
      </w:r>
      <w:r w:rsidR="007E173F">
        <w:rPr>
          <w:b/>
        </w:rPr>
        <w:fldChar w:fldCharType="begin"/>
      </w:r>
      <w:r w:rsidR="007E173F">
        <w:rPr>
          <w:b/>
        </w:rPr>
        <w:instrText>ADDIN F1000_CSL_CITATION&lt;~#@#~&gt;[{"First":false,"Last":false,"URL":"https://www.nhlbi.nih.gov/health/educational/healthdisp/pdf/resources/CHWI_MyHealthHabits_Pre_FI.pdf","accessed":{"date-parts":[["2019","12","4"]]},"author":[{"family":"Community Health Worker Health Disparity Initiative"}],"authorYearDisplayFormat":false,"citation-label":"7890849","id":"7890849","invisible":false,"issued":{"date-parts":[["2012","7","20"]]},"suppress-author":false,"title":"My Health Knowledge Survey","type":"webpage"}]</w:instrText>
      </w:r>
      <w:r w:rsidR="007E173F">
        <w:rPr>
          <w:b/>
        </w:rPr>
        <w:fldChar w:fldCharType="separate"/>
      </w:r>
      <w:r w:rsidR="007E173F" w:rsidRPr="007E173F">
        <w:rPr>
          <w:noProof/>
          <w:vertAlign w:val="superscript"/>
        </w:rPr>
        <w:t>39</w:t>
      </w:r>
      <w:r w:rsidR="007E173F">
        <w:rPr>
          <w:b/>
        </w:rPr>
        <w:fldChar w:fldCharType="end"/>
      </w:r>
    </w:p>
    <w:p w14:paraId="05DDF9AE" w14:textId="7914785D" w:rsidR="00193E05" w:rsidRDefault="00193E05" w:rsidP="00193E05">
      <w:pPr>
        <w:pStyle w:val="ListParagraph"/>
        <w:widowControl w:val="0"/>
        <w:autoSpaceDE w:val="0"/>
        <w:autoSpaceDN w:val="0"/>
        <w:adjustRightInd w:val="0"/>
        <w:ind w:left="0"/>
        <w:jc w:val="both"/>
        <w:rPr>
          <w:b/>
        </w:rPr>
      </w:pPr>
      <w:r>
        <w:rPr>
          <w:b/>
          <w:noProof/>
        </w:rPr>
        <w:drawing>
          <wp:inline distT="0" distB="0" distL="0" distR="0" wp14:anchorId="778E3F59" wp14:editId="183E7B2C">
            <wp:extent cx="5943600" cy="74008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WI_MyHealthKnowledge_Post.pdf"/>
                    <pic:cNvPicPr/>
                  </pic:nvPicPr>
                  <pic:blipFill rotWithShape="1">
                    <a:blip r:embed="rId8">
                      <a:extLst>
                        <a:ext uri="{28A0092B-C50C-407E-A947-70E740481C1C}">
                          <a14:useLocalDpi xmlns:a14="http://schemas.microsoft.com/office/drawing/2010/main" val="0"/>
                        </a:ext>
                      </a:extLst>
                    </a:blip>
                    <a:srcRect t="3783"/>
                    <a:stretch/>
                  </pic:blipFill>
                  <pic:spPr bwMode="auto">
                    <a:xfrm>
                      <a:off x="0" y="0"/>
                      <a:ext cx="5943600" cy="7400810"/>
                    </a:xfrm>
                    <a:prstGeom prst="rect">
                      <a:avLst/>
                    </a:prstGeom>
                    <a:ln>
                      <a:noFill/>
                    </a:ln>
                    <a:extLst>
                      <a:ext uri="{53640926-AAD7-44D8-BBD7-CCE9431645EC}">
                        <a14:shadowObscured xmlns:a14="http://schemas.microsoft.com/office/drawing/2010/main"/>
                      </a:ext>
                    </a:extLst>
                  </pic:spPr>
                </pic:pic>
              </a:graphicData>
            </a:graphic>
          </wp:inline>
        </w:drawing>
      </w:r>
      <w:r>
        <w:rPr>
          <w:b/>
          <w:noProof/>
        </w:rPr>
        <w:lastRenderedPageBreak/>
        <w:drawing>
          <wp:inline distT="0" distB="0" distL="0" distR="0" wp14:anchorId="42FE4C41" wp14:editId="449E5765">
            <wp:extent cx="5942965" cy="67540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WI_MyHealthKnowledge_Post2.pdf"/>
                    <pic:cNvPicPr/>
                  </pic:nvPicPr>
                  <pic:blipFill rotWithShape="1">
                    <a:blip r:embed="rId9">
                      <a:extLst>
                        <a:ext uri="{28A0092B-C50C-407E-A947-70E740481C1C}">
                          <a14:useLocalDpi xmlns:a14="http://schemas.microsoft.com/office/drawing/2010/main" val="0"/>
                        </a:ext>
                      </a:extLst>
                    </a:blip>
                    <a:srcRect t="4728" b="7454"/>
                    <a:stretch/>
                  </pic:blipFill>
                  <pic:spPr bwMode="auto">
                    <a:xfrm>
                      <a:off x="0" y="0"/>
                      <a:ext cx="5943600" cy="6754813"/>
                    </a:xfrm>
                    <a:prstGeom prst="rect">
                      <a:avLst/>
                    </a:prstGeom>
                    <a:ln>
                      <a:noFill/>
                    </a:ln>
                    <a:extLst>
                      <a:ext uri="{53640926-AAD7-44D8-BBD7-CCE9431645EC}">
                        <a14:shadowObscured xmlns:a14="http://schemas.microsoft.com/office/drawing/2010/main"/>
                      </a:ext>
                    </a:extLst>
                  </pic:spPr>
                </pic:pic>
              </a:graphicData>
            </a:graphic>
          </wp:inline>
        </w:drawing>
      </w:r>
    </w:p>
    <w:p w14:paraId="215A8DFC" w14:textId="04922A5F" w:rsidR="00193E05" w:rsidRDefault="00193E05" w:rsidP="00193E05">
      <w:pPr>
        <w:pStyle w:val="ListParagraph"/>
        <w:widowControl w:val="0"/>
        <w:autoSpaceDE w:val="0"/>
        <w:autoSpaceDN w:val="0"/>
        <w:adjustRightInd w:val="0"/>
        <w:ind w:left="0"/>
        <w:jc w:val="both"/>
        <w:rPr>
          <w:b/>
        </w:rPr>
      </w:pPr>
      <w:r>
        <w:rPr>
          <w:b/>
          <w:noProof/>
        </w:rPr>
        <w:drawing>
          <wp:inline distT="0" distB="0" distL="0" distR="0" wp14:anchorId="1CC43F5D" wp14:editId="2C07B3FE">
            <wp:extent cx="5937863" cy="9871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WI_MyHealthKnowledge_Post3.pdf"/>
                    <pic:cNvPicPr/>
                  </pic:nvPicPr>
                  <pic:blipFill rotWithShape="1">
                    <a:blip r:embed="rId10">
                      <a:extLst>
                        <a:ext uri="{28A0092B-C50C-407E-A947-70E740481C1C}">
                          <a14:useLocalDpi xmlns:a14="http://schemas.microsoft.com/office/drawing/2010/main" val="0"/>
                        </a:ext>
                      </a:extLst>
                    </a:blip>
                    <a:srcRect t="3379" b="83775"/>
                    <a:stretch/>
                  </pic:blipFill>
                  <pic:spPr bwMode="auto">
                    <a:xfrm>
                      <a:off x="0" y="0"/>
                      <a:ext cx="5943600" cy="988091"/>
                    </a:xfrm>
                    <a:prstGeom prst="rect">
                      <a:avLst/>
                    </a:prstGeom>
                    <a:ln>
                      <a:noFill/>
                    </a:ln>
                    <a:extLst>
                      <a:ext uri="{53640926-AAD7-44D8-BBD7-CCE9431645EC}">
                        <a14:shadowObscured xmlns:a14="http://schemas.microsoft.com/office/drawing/2010/main"/>
                      </a:ext>
                    </a:extLst>
                  </pic:spPr>
                </pic:pic>
              </a:graphicData>
            </a:graphic>
          </wp:inline>
        </w:drawing>
      </w:r>
    </w:p>
    <w:p w14:paraId="1327C7AB" w14:textId="0C8A4123" w:rsidR="00D95401" w:rsidRPr="00C53558" w:rsidRDefault="00D95401" w:rsidP="00C53558">
      <w:pPr>
        <w:rPr>
          <w:b/>
        </w:rPr>
      </w:pPr>
    </w:p>
    <w:sectPr w:rsidR="00D95401" w:rsidRPr="00C53558" w:rsidSect="00140B65">
      <w:headerReference w:type="default" r:id="rId11"/>
      <w:footerReference w:type="even" r:id="rId12"/>
      <w:footerReference w:type="default" r:id="rId13"/>
      <w:pgSz w:w="12240" w:h="15840"/>
      <w:pgMar w:top="1440" w:right="1440" w:bottom="143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ABA7A8" w14:textId="77777777" w:rsidR="00E665FB" w:rsidRDefault="00E665FB" w:rsidP="002B722A">
      <w:r>
        <w:separator/>
      </w:r>
    </w:p>
    <w:p w14:paraId="124BC056" w14:textId="77777777" w:rsidR="00E665FB" w:rsidRDefault="00E665FB"/>
  </w:endnote>
  <w:endnote w:type="continuationSeparator" w:id="0">
    <w:p w14:paraId="490BACDD" w14:textId="77777777" w:rsidR="00E665FB" w:rsidRDefault="00E665FB" w:rsidP="002B722A">
      <w:r>
        <w:continuationSeparator/>
      </w:r>
    </w:p>
    <w:p w14:paraId="5FF3643D" w14:textId="77777777" w:rsidR="00E665FB" w:rsidRDefault="00E665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Handwriting">
    <w:panose1 w:val="03010101010101010101"/>
    <w:charset w:val="4D"/>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87385907"/>
      <w:docPartObj>
        <w:docPartGallery w:val="Page Numbers (Bottom of Page)"/>
        <w:docPartUnique/>
      </w:docPartObj>
    </w:sdtPr>
    <w:sdtEndPr>
      <w:rPr>
        <w:rStyle w:val="PageNumber"/>
      </w:rPr>
    </w:sdtEndPr>
    <w:sdtContent>
      <w:p w14:paraId="366B066D" w14:textId="7E3C04FB" w:rsidR="00133D48" w:rsidRDefault="00133D48" w:rsidP="00A04D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512599502"/>
      <w:docPartObj>
        <w:docPartGallery w:val="Page Numbers (Bottom of Page)"/>
        <w:docPartUnique/>
      </w:docPartObj>
    </w:sdtPr>
    <w:sdtEndPr>
      <w:rPr>
        <w:rStyle w:val="PageNumber"/>
      </w:rPr>
    </w:sdtEndPr>
    <w:sdtContent>
      <w:p w14:paraId="6E6FAABB" w14:textId="0B1D2320" w:rsidR="00133D48" w:rsidRDefault="00133D48" w:rsidP="002B722A">
        <w:pPr>
          <w:pStyle w:val="Footer"/>
          <w:framePr w:wrap="none" w:vAnchor="text" w:hAnchor="margin"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8559DA" w14:textId="77777777" w:rsidR="00133D48" w:rsidRDefault="00133D48" w:rsidP="002B722A">
    <w:pPr>
      <w:pStyle w:val="Footer"/>
      <w:ind w:firstLine="360"/>
    </w:pPr>
  </w:p>
  <w:p w14:paraId="4AF02221" w14:textId="77777777" w:rsidR="00133D48" w:rsidRDefault="00133D4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rPr>
      <w:id w:val="-1243714097"/>
      <w:docPartObj>
        <w:docPartGallery w:val="Page Numbers (Bottom of Page)"/>
        <w:docPartUnique/>
      </w:docPartObj>
    </w:sdtPr>
    <w:sdtEndPr>
      <w:rPr>
        <w:rStyle w:val="PageNumber"/>
      </w:rPr>
    </w:sdtEndPr>
    <w:sdtContent>
      <w:p w14:paraId="18DF5C78" w14:textId="6B1DF2E6" w:rsidR="00133D48" w:rsidRPr="00C60DE2" w:rsidRDefault="00133D48" w:rsidP="002B722A">
        <w:pPr>
          <w:pStyle w:val="Footer"/>
          <w:framePr w:wrap="none" w:vAnchor="text" w:hAnchor="margin" w:xAlign="right" w:y="1"/>
          <w:rPr>
            <w:rStyle w:val="PageNumber"/>
            <w:rFonts w:ascii="Arial" w:hAnsi="Arial" w:cs="Arial"/>
          </w:rPr>
        </w:pPr>
        <w:r w:rsidRPr="00C60DE2">
          <w:rPr>
            <w:rStyle w:val="PageNumber"/>
            <w:rFonts w:ascii="Arial" w:hAnsi="Arial" w:cs="Arial"/>
          </w:rPr>
          <w:fldChar w:fldCharType="begin"/>
        </w:r>
        <w:r w:rsidRPr="00C60DE2">
          <w:rPr>
            <w:rStyle w:val="PageNumber"/>
            <w:rFonts w:ascii="Arial" w:hAnsi="Arial" w:cs="Arial"/>
          </w:rPr>
          <w:instrText xml:space="preserve"> PAGE </w:instrText>
        </w:r>
        <w:r w:rsidRPr="00C60DE2">
          <w:rPr>
            <w:rStyle w:val="PageNumber"/>
            <w:rFonts w:ascii="Arial" w:hAnsi="Arial" w:cs="Arial"/>
          </w:rPr>
          <w:fldChar w:fldCharType="separate"/>
        </w:r>
        <w:r w:rsidRPr="00C60DE2">
          <w:rPr>
            <w:rStyle w:val="PageNumber"/>
            <w:rFonts w:ascii="Arial" w:hAnsi="Arial" w:cs="Arial"/>
            <w:noProof/>
          </w:rPr>
          <w:t>1</w:t>
        </w:r>
        <w:r w:rsidRPr="00C60DE2">
          <w:rPr>
            <w:rStyle w:val="PageNumber"/>
            <w:rFonts w:ascii="Arial" w:hAnsi="Arial" w:cs="Arial"/>
          </w:rPr>
          <w:fldChar w:fldCharType="end"/>
        </w:r>
      </w:p>
    </w:sdtContent>
  </w:sdt>
  <w:p w14:paraId="1A283AB0" w14:textId="5C197AD4" w:rsidR="00133D48" w:rsidRDefault="00133D48" w:rsidP="002B722A">
    <w:pPr>
      <w:pStyle w:val="Footer"/>
      <w:ind w:right="360" w:firstLine="360"/>
    </w:pPr>
  </w:p>
  <w:p w14:paraId="5673A393" w14:textId="77777777" w:rsidR="00133D48" w:rsidRDefault="00133D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12CC17" w14:textId="77777777" w:rsidR="00E665FB" w:rsidRDefault="00E665FB" w:rsidP="002B722A">
      <w:r>
        <w:separator/>
      </w:r>
    </w:p>
    <w:p w14:paraId="5F2C3F0F" w14:textId="77777777" w:rsidR="00E665FB" w:rsidRDefault="00E665FB"/>
  </w:footnote>
  <w:footnote w:type="continuationSeparator" w:id="0">
    <w:p w14:paraId="12EC3029" w14:textId="77777777" w:rsidR="00E665FB" w:rsidRDefault="00E665FB" w:rsidP="002B722A">
      <w:r>
        <w:continuationSeparator/>
      </w:r>
    </w:p>
    <w:p w14:paraId="0A005543" w14:textId="77777777" w:rsidR="00E665FB" w:rsidRDefault="00E665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614C3" w14:textId="77777777" w:rsidR="00133D48" w:rsidRPr="002B722A" w:rsidRDefault="00133D48" w:rsidP="002B722A">
    <w:pPr>
      <w:pStyle w:val="Header"/>
      <w:jc w:val="right"/>
      <w:rPr>
        <w:rFonts w:ascii="Arial" w:hAnsi="Arial" w:cs="Arial"/>
      </w:rPr>
    </w:pPr>
    <w:proofErr w:type="spellStart"/>
    <w:r w:rsidRPr="002B722A">
      <w:rPr>
        <w:rFonts w:ascii="Arial" w:hAnsi="Arial" w:cs="Arial"/>
      </w:rPr>
      <w:t>Fabian_Katie</w:t>
    </w:r>
    <w:proofErr w:type="spellEnd"/>
  </w:p>
  <w:p w14:paraId="583E0290" w14:textId="0D3DE5FC" w:rsidR="00133D48" w:rsidRPr="002B722A" w:rsidRDefault="00133D48" w:rsidP="002B722A">
    <w:pPr>
      <w:pStyle w:val="Header"/>
      <w:jc w:val="right"/>
      <w:rPr>
        <w:rFonts w:ascii="Arial" w:hAnsi="Arial" w:cs="Arial"/>
      </w:rPr>
    </w:pPr>
    <w:r>
      <w:rPr>
        <w:rFonts w:ascii="Arial" w:hAnsi="Arial" w:cs="Arial"/>
      </w:rPr>
      <w:t>Assignment 4: Community-Based Program Proposal</w:t>
    </w:r>
  </w:p>
  <w:p w14:paraId="4BE7E20B" w14:textId="77777777" w:rsidR="00133D48" w:rsidRDefault="00133D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630BF"/>
    <w:multiLevelType w:val="hybridMultilevel"/>
    <w:tmpl w:val="1B04C82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EB61D1C"/>
    <w:multiLevelType w:val="hybridMultilevel"/>
    <w:tmpl w:val="C0DC529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5257D62"/>
    <w:multiLevelType w:val="hybridMultilevel"/>
    <w:tmpl w:val="B94C0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057514"/>
    <w:multiLevelType w:val="hybridMultilevel"/>
    <w:tmpl w:val="6C3CDA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62484E"/>
    <w:multiLevelType w:val="hybridMultilevel"/>
    <w:tmpl w:val="29A885C4"/>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B5D3F90"/>
    <w:multiLevelType w:val="hybridMultilevel"/>
    <w:tmpl w:val="F26813D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604503F3"/>
    <w:multiLevelType w:val="hybridMultilevel"/>
    <w:tmpl w:val="5144FC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EF0A5F"/>
    <w:multiLevelType w:val="hybridMultilevel"/>
    <w:tmpl w:val="F04418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6"/>
  </w:num>
  <w:num w:numId="5">
    <w:abstractNumId w:val="0"/>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22A"/>
    <w:rsid w:val="00011134"/>
    <w:rsid w:val="0003265A"/>
    <w:rsid w:val="000372E4"/>
    <w:rsid w:val="0004310B"/>
    <w:rsid w:val="00051D43"/>
    <w:rsid w:val="00063687"/>
    <w:rsid w:val="000650CF"/>
    <w:rsid w:val="000F4804"/>
    <w:rsid w:val="00105240"/>
    <w:rsid w:val="00107EB5"/>
    <w:rsid w:val="00123C3A"/>
    <w:rsid w:val="00126E55"/>
    <w:rsid w:val="00133D48"/>
    <w:rsid w:val="00140B65"/>
    <w:rsid w:val="00140F05"/>
    <w:rsid w:val="00150FAE"/>
    <w:rsid w:val="00156B5A"/>
    <w:rsid w:val="00161100"/>
    <w:rsid w:val="00193E05"/>
    <w:rsid w:val="001A5483"/>
    <w:rsid w:val="001C79E3"/>
    <w:rsid w:val="002327E7"/>
    <w:rsid w:val="0023559A"/>
    <w:rsid w:val="00242239"/>
    <w:rsid w:val="00246705"/>
    <w:rsid w:val="00255D94"/>
    <w:rsid w:val="002809AE"/>
    <w:rsid w:val="002B1B71"/>
    <w:rsid w:val="002B3A17"/>
    <w:rsid w:val="002B722A"/>
    <w:rsid w:val="002D43CB"/>
    <w:rsid w:val="002E5FAA"/>
    <w:rsid w:val="00301330"/>
    <w:rsid w:val="003173E4"/>
    <w:rsid w:val="003272D6"/>
    <w:rsid w:val="003317AC"/>
    <w:rsid w:val="00335424"/>
    <w:rsid w:val="00336229"/>
    <w:rsid w:val="0036628C"/>
    <w:rsid w:val="00383E10"/>
    <w:rsid w:val="003C508A"/>
    <w:rsid w:val="003C73BA"/>
    <w:rsid w:val="003D53D8"/>
    <w:rsid w:val="003E4077"/>
    <w:rsid w:val="00425CD4"/>
    <w:rsid w:val="0042657C"/>
    <w:rsid w:val="00432584"/>
    <w:rsid w:val="00432CC9"/>
    <w:rsid w:val="0043403F"/>
    <w:rsid w:val="00434188"/>
    <w:rsid w:val="00436B50"/>
    <w:rsid w:val="00494E9B"/>
    <w:rsid w:val="004C5ACA"/>
    <w:rsid w:val="004C7D83"/>
    <w:rsid w:val="004E1E87"/>
    <w:rsid w:val="00511518"/>
    <w:rsid w:val="005134A9"/>
    <w:rsid w:val="0051493E"/>
    <w:rsid w:val="0055018E"/>
    <w:rsid w:val="00563840"/>
    <w:rsid w:val="00571E47"/>
    <w:rsid w:val="00572430"/>
    <w:rsid w:val="00581B99"/>
    <w:rsid w:val="00592B49"/>
    <w:rsid w:val="005A3A3C"/>
    <w:rsid w:val="005D1ED0"/>
    <w:rsid w:val="005D3397"/>
    <w:rsid w:val="005F7242"/>
    <w:rsid w:val="006136D2"/>
    <w:rsid w:val="00634765"/>
    <w:rsid w:val="00647BF2"/>
    <w:rsid w:val="006A572E"/>
    <w:rsid w:val="006B0EB4"/>
    <w:rsid w:val="00704F37"/>
    <w:rsid w:val="00711FE1"/>
    <w:rsid w:val="0073027B"/>
    <w:rsid w:val="00753398"/>
    <w:rsid w:val="00770169"/>
    <w:rsid w:val="007A027B"/>
    <w:rsid w:val="007B6EBA"/>
    <w:rsid w:val="007C7333"/>
    <w:rsid w:val="007E173F"/>
    <w:rsid w:val="007E6EBC"/>
    <w:rsid w:val="008215EE"/>
    <w:rsid w:val="00852BDD"/>
    <w:rsid w:val="008B6C05"/>
    <w:rsid w:val="008C03CD"/>
    <w:rsid w:val="008D7CCC"/>
    <w:rsid w:val="008F418E"/>
    <w:rsid w:val="009121C1"/>
    <w:rsid w:val="00940A65"/>
    <w:rsid w:val="009478F0"/>
    <w:rsid w:val="00954898"/>
    <w:rsid w:val="0096110C"/>
    <w:rsid w:val="00964752"/>
    <w:rsid w:val="0096641C"/>
    <w:rsid w:val="0097493D"/>
    <w:rsid w:val="00974D81"/>
    <w:rsid w:val="00987839"/>
    <w:rsid w:val="009A2432"/>
    <w:rsid w:val="009B6CA0"/>
    <w:rsid w:val="009C32D5"/>
    <w:rsid w:val="009C6988"/>
    <w:rsid w:val="009F4DDC"/>
    <w:rsid w:val="00A01A6D"/>
    <w:rsid w:val="00A04D71"/>
    <w:rsid w:val="00A379E8"/>
    <w:rsid w:val="00A61EAE"/>
    <w:rsid w:val="00A65880"/>
    <w:rsid w:val="00AA32CC"/>
    <w:rsid w:val="00AB3F05"/>
    <w:rsid w:val="00AD7D0A"/>
    <w:rsid w:val="00B21BEC"/>
    <w:rsid w:val="00B276D6"/>
    <w:rsid w:val="00B349CA"/>
    <w:rsid w:val="00B45CAB"/>
    <w:rsid w:val="00BA3A0D"/>
    <w:rsid w:val="00BB52A7"/>
    <w:rsid w:val="00BB7E89"/>
    <w:rsid w:val="00BC6E4B"/>
    <w:rsid w:val="00C10E78"/>
    <w:rsid w:val="00C46D25"/>
    <w:rsid w:val="00C50B6F"/>
    <w:rsid w:val="00C53558"/>
    <w:rsid w:val="00C57BBF"/>
    <w:rsid w:val="00C60DE2"/>
    <w:rsid w:val="00CA6018"/>
    <w:rsid w:val="00CD593A"/>
    <w:rsid w:val="00CF23AF"/>
    <w:rsid w:val="00CF2613"/>
    <w:rsid w:val="00D12144"/>
    <w:rsid w:val="00D33D18"/>
    <w:rsid w:val="00D40947"/>
    <w:rsid w:val="00D53FE7"/>
    <w:rsid w:val="00D64F1C"/>
    <w:rsid w:val="00D66474"/>
    <w:rsid w:val="00D75784"/>
    <w:rsid w:val="00D95401"/>
    <w:rsid w:val="00DC4BB2"/>
    <w:rsid w:val="00E30426"/>
    <w:rsid w:val="00E665FB"/>
    <w:rsid w:val="00E71623"/>
    <w:rsid w:val="00E8651A"/>
    <w:rsid w:val="00E9418E"/>
    <w:rsid w:val="00E96E07"/>
    <w:rsid w:val="00ED1F09"/>
    <w:rsid w:val="00ED4B66"/>
    <w:rsid w:val="00F076C9"/>
    <w:rsid w:val="00F143B9"/>
    <w:rsid w:val="00F156CD"/>
    <w:rsid w:val="00F16B0D"/>
    <w:rsid w:val="00F67E0C"/>
    <w:rsid w:val="00F70618"/>
    <w:rsid w:val="00F86AC7"/>
    <w:rsid w:val="00F96072"/>
    <w:rsid w:val="00F964D8"/>
    <w:rsid w:val="00FC225B"/>
    <w:rsid w:val="00FE3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3CA533"/>
  <w14:defaultImageDpi w14:val="32767"/>
  <w15:chartTrackingRefBased/>
  <w15:docId w15:val="{8FED74DB-D2DA-0848-AF26-5671E06CD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493D"/>
    <w:pPr>
      <w:keepNext/>
      <w:keepLines/>
      <w:spacing w:before="240"/>
      <w:outlineLvl w:val="0"/>
    </w:pPr>
    <w:rPr>
      <w:rFonts w:ascii="Arial" w:eastAsiaTheme="majorEastAsia" w:hAnsi="Arial" w:cs="Arial"/>
      <w:b/>
      <w:color w:val="3B3838" w:themeColor="background2" w:themeShade="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722A"/>
    <w:pPr>
      <w:tabs>
        <w:tab w:val="center" w:pos="4680"/>
        <w:tab w:val="right" w:pos="9360"/>
      </w:tabs>
    </w:pPr>
  </w:style>
  <w:style w:type="character" w:customStyle="1" w:styleId="HeaderChar">
    <w:name w:val="Header Char"/>
    <w:basedOn w:val="DefaultParagraphFont"/>
    <w:link w:val="Header"/>
    <w:uiPriority w:val="99"/>
    <w:rsid w:val="002B722A"/>
  </w:style>
  <w:style w:type="paragraph" w:styleId="Footer">
    <w:name w:val="footer"/>
    <w:basedOn w:val="Normal"/>
    <w:link w:val="FooterChar"/>
    <w:uiPriority w:val="99"/>
    <w:unhideWhenUsed/>
    <w:rsid w:val="002B722A"/>
    <w:pPr>
      <w:tabs>
        <w:tab w:val="center" w:pos="4680"/>
        <w:tab w:val="right" w:pos="9360"/>
      </w:tabs>
    </w:pPr>
  </w:style>
  <w:style w:type="character" w:customStyle="1" w:styleId="FooterChar">
    <w:name w:val="Footer Char"/>
    <w:basedOn w:val="DefaultParagraphFont"/>
    <w:link w:val="Footer"/>
    <w:uiPriority w:val="99"/>
    <w:rsid w:val="002B722A"/>
  </w:style>
  <w:style w:type="character" w:styleId="PageNumber">
    <w:name w:val="page number"/>
    <w:basedOn w:val="DefaultParagraphFont"/>
    <w:uiPriority w:val="99"/>
    <w:semiHidden/>
    <w:unhideWhenUsed/>
    <w:rsid w:val="002B722A"/>
  </w:style>
  <w:style w:type="character" w:customStyle="1" w:styleId="Heading1Char">
    <w:name w:val="Heading 1 Char"/>
    <w:basedOn w:val="DefaultParagraphFont"/>
    <w:link w:val="Heading1"/>
    <w:uiPriority w:val="9"/>
    <w:rsid w:val="0097493D"/>
    <w:rPr>
      <w:rFonts w:ascii="Arial" w:eastAsiaTheme="majorEastAsia" w:hAnsi="Arial" w:cs="Arial"/>
      <w:b/>
      <w:color w:val="3B3838" w:themeColor="background2" w:themeShade="40"/>
    </w:rPr>
  </w:style>
  <w:style w:type="paragraph" w:styleId="ListParagraph">
    <w:name w:val="List Paragraph"/>
    <w:basedOn w:val="Normal"/>
    <w:uiPriority w:val="34"/>
    <w:qFormat/>
    <w:rsid w:val="00F16B0D"/>
    <w:pPr>
      <w:ind w:left="720"/>
      <w:contextualSpacing/>
    </w:pPr>
  </w:style>
  <w:style w:type="character" w:styleId="CommentReference">
    <w:name w:val="annotation reference"/>
    <w:basedOn w:val="DefaultParagraphFont"/>
    <w:uiPriority w:val="99"/>
    <w:semiHidden/>
    <w:unhideWhenUsed/>
    <w:rsid w:val="004E1E87"/>
    <w:rPr>
      <w:sz w:val="16"/>
      <w:szCs w:val="16"/>
    </w:rPr>
  </w:style>
  <w:style w:type="paragraph" w:styleId="CommentText">
    <w:name w:val="annotation text"/>
    <w:basedOn w:val="Normal"/>
    <w:link w:val="CommentTextChar"/>
    <w:uiPriority w:val="99"/>
    <w:semiHidden/>
    <w:unhideWhenUsed/>
    <w:rsid w:val="004E1E87"/>
    <w:rPr>
      <w:sz w:val="20"/>
      <w:szCs w:val="20"/>
    </w:rPr>
  </w:style>
  <w:style w:type="character" w:customStyle="1" w:styleId="CommentTextChar">
    <w:name w:val="Comment Text Char"/>
    <w:basedOn w:val="DefaultParagraphFont"/>
    <w:link w:val="CommentText"/>
    <w:uiPriority w:val="99"/>
    <w:semiHidden/>
    <w:rsid w:val="004E1E87"/>
    <w:rPr>
      <w:sz w:val="20"/>
      <w:szCs w:val="20"/>
    </w:rPr>
  </w:style>
  <w:style w:type="paragraph" w:styleId="CommentSubject">
    <w:name w:val="annotation subject"/>
    <w:basedOn w:val="CommentText"/>
    <w:next w:val="CommentText"/>
    <w:link w:val="CommentSubjectChar"/>
    <w:uiPriority w:val="99"/>
    <w:semiHidden/>
    <w:unhideWhenUsed/>
    <w:rsid w:val="004E1E87"/>
    <w:rPr>
      <w:b/>
      <w:bCs/>
    </w:rPr>
  </w:style>
  <w:style w:type="character" w:customStyle="1" w:styleId="CommentSubjectChar">
    <w:name w:val="Comment Subject Char"/>
    <w:basedOn w:val="CommentTextChar"/>
    <w:link w:val="CommentSubject"/>
    <w:uiPriority w:val="99"/>
    <w:semiHidden/>
    <w:rsid w:val="004E1E87"/>
    <w:rPr>
      <w:b/>
      <w:bCs/>
      <w:sz w:val="20"/>
      <w:szCs w:val="20"/>
    </w:rPr>
  </w:style>
  <w:style w:type="paragraph" w:styleId="BalloonText">
    <w:name w:val="Balloon Text"/>
    <w:basedOn w:val="Normal"/>
    <w:link w:val="BalloonTextChar"/>
    <w:uiPriority w:val="99"/>
    <w:semiHidden/>
    <w:unhideWhenUsed/>
    <w:rsid w:val="004E1E8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E1E87"/>
    <w:rPr>
      <w:rFonts w:ascii="Times New Roman" w:hAnsi="Times New Roman" w:cs="Times New Roman"/>
      <w:sz w:val="18"/>
      <w:szCs w:val="18"/>
    </w:rPr>
  </w:style>
  <w:style w:type="table" w:styleId="TableGrid">
    <w:name w:val="Table Grid"/>
    <w:basedOn w:val="TableNormal"/>
    <w:uiPriority w:val="39"/>
    <w:rsid w:val="00D757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997664">
      <w:bodyDiv w:val="1"/>
      <w:marLeft w:val="0"/>
      <w:marRight w:val="0"/>
      <w:marTop w:val="0"/>
      <w:marBottom w:val="0"/>
      <w:divBdr>
        <w:top w:val="none" w:sz="0" w:space="0" w:color="auto"/>
        <w:left w:val="none" w:sz="0" w:space="0" w:color="auto"/>
        <w:bottom w:val="none" w:sz="0" w:space="0" w:color="auto"/>
        <w:right w:val="none" w:sz="0" w:space="0" w:color="auto"/>
      </w:divBdr>
    </w:div>
    <w:div w:id="1156648256">
      <w:bodyDiv w:val="1"/>
      <w:marLeft w:val="0"/>
      <w:marRight w:val="0"/>
      <w:marTop w:val="0"/>
      <w:marBottom w:val="0"/>
      <w:divBdr>
        <w:top w:val="none" w:sz="0" w:space="0" w:color="auto"/>
        <w:left w:val="none" w:sz="0" w:space="0" w:color="auto"/>
        <w:bottom w:val="none" w:sz="0" w:space="0" w:color="auto"/>
        <w:right w:val="none" w:sz="0" w:space="0" w:color="auto"/>
      </w:divBdr>
    </w:div>
    <w:div w:id="190043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52435</Words>
  <Characters>298886</Characters>
  <Application>Microsoft Office Word</Application>
  <DocSecurity>0</DocSecurity>
  <Lines>2490</Lines>
  <Paragraphs>701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 Katie Corderman</dc:creator>
  <cp:keywords/>
  <dc:description/>
  <cp:lastModifiedBy>Fabian, Katie Corderman</cp:lastModifiedBy>
  <cp:revision>2</cp:revision>
  <dcterms:created xsi:type="dcterms:W3CDTF">2020-05-13T15:37:00Z</dcterms:created>
  <dcterms:modified xsi:type="dcterms:W3CDTF">2020-05-13T15:37:00Z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Id">
    <vt:lpwstr>http://www.zotero.org/styles/american-medical-association</vt:lpwstr>
  </property>
  <property fmtid="{D5CDD505-2E9C-101B-9397-08002B2CF9AE}" pid="3" name="InsertAsFootnote">
    <vt:lpwstr>0</vt:lpwstr>
  </property>
</Properties>
</file>