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8B7" w:rsidRPr="001C21BE" w:rsidRDefault="001C21BE" w:rsidP="001C21BE">
      <w:pPr>
        <w:spacing w:after="0" w:line="480" w:lineRule="auto"/>
        <w:jc w:val="center"/>
        <w:rPr>
          <w:rFonts w:ascii="Arial" w:hAnsi="Arial" w:cs="Arial"/>
          <w:b/>
          <w:sz w:val="24"/>
          <w:szCs w:val="24"/>
        </w:rPr>
      </w:pPr>
      <w:r w:rsidRPr="001C21BE">
        <w:rPr>
          <w:rFonts w:ascii="Arial" w:hAnsi="Arial" w:cs="Arial"/>
          <w:b/>
          <w:sz w:val="24"/>
          <w:szCs w:val="24"/>
        </w:rPr>
        <w:t>PHYT 822 Advance Patient Management II</w:t>
      </w:r>
    </w:p>
    <w:p w:rsidR="001C21BE" w:rsidRDefault="001C21BE" w:rsidP="001C21BE">
      <w:pPr>
        <w:spacing w:after="0" w:line="480" w:lineRule="auto"/>
        <w:jc w:val="center"/>
        <w:rPr>
          <w:rFonts w:ascii="Arial" w:hAnsi="Arial" w:cs="Arial"/>
          <w:b/>
          <w:sz w:val="24"/>
          <w:szCs w:val="24"/>
        </w:rPr>
      </w:pPr>
      <w:r w:rsidRPr="001C21BE">
        <w:rPr>
          <w:rFonts w:ascii="Arial" w:hAnsi="Arial" w:cs="Arial"/>
          <w:b/>
          <w:sz w:val="24"/>
          <w:szCs w:val="24"/>
        </w:rPr>
        <w:t>Alan Levinson</w:t>
      </w:r>
    </w:p>
    <w:p w:rsidR="001C21BE" w:rsidRPr="002B796D" w:rsidRDefault="001C21BE" w:rsidP="002B796D">
      <w:pPr>
        <w:spacing w:after="0" w:line="480" w:lineRule="auto"/>
        <w:jc w:val="center"/>
        <w:rPr>
          <w:rFonts w:ascii="Arial" w:hAnsi="Arial" w:cs="Arial"/>
          <w:b/>
          <w:sz w:val="24"/>
          <w:szCs w:val="24"/>
          <w:u w:val="single"/>
        </w:rPr>
      </w:pPr>
      <w:r w:rsidRPr="002B796D">
        <w:rPr>
          <w:rFonts w:ascii="Arial" w:hAnsi="Arial" w:cs="Arial"/>
          <w:b/>
          <w:sz w:val="24"/>
          <w:szCs w:val="24"/>
          <w:u w:val="single"/>
        </w:rPr>
        <w:t xml:space="preserve">Spinal Module Final Assignment: Case 3, Patricia, 77 </w:t>
      </w:r>
      <w:proofErr w:type="spellStart"/>
      <w:r w:rsidRPr="002B796D">
        <w:rPr>
          <w:rFonts w:ascii="Arial" w:hAnsi="Arial" w:cs="Arial"/>
          <w:b/>
          <w:sz w:val="24"/>
          <w:szCs w:val="24"/>
          <w:u w:val="single"/>
        </w:rPr>
        <w:t>yo</w:t>
      </w:r>
      <w:proofErr w:type="spellEnd"/>
      <w:r w:rsidRPr="002B796D">
        <w:rPr>
          <w:rFonts w:ascii="Arial" w:hAnsi="Arial" w:cs="Arial"/>
          <w:b/>
          <w:sz w:val="24"/>
          <w:szCs w:val="24"/>
          <w:u w:val="single"/>
        </w:rPr>
        <w:t xml:space="preserve"> Female</w:t>
      </w:r>
    </w:p>
    <w:p w:rsidR="002B796D" w:rsidRPr="002B796D" w:rsidRDefault="002B796D" w:rsidP="001C21BE">
      <w:pPr>
        <w:spacing w:after="0" w:line="480" w:lineRule="auto"/>
        <w:rPr>
          <w:rFonts w:ascii="Arial" w:hAnsi="Arial" w:cs="Arial"/>
          <w:b/>
          <w:sz w:val="24"/>
          <w:szCs w:val="24"/>
        </w:rPr>
      </w:pPr>
      <w:r w:rsidRPr="002B796D">
        <w:rPr>
          <w:rFonts w:ascii="Arial" w:hAnsi="Arial" w:cs="Arial"/>
          <w:b/>
          <w:sz w:val="24"/>
          <w:szCs w:val="24"/>
        </w:rPr>
        <w:t>Subjective analysis</w:t>
      </w:r>
    </w:p>
    <w:p w:rsidR="00CF2A30" w:rsidRDefault="001C21BE" w:rsidP="00CF2A30">
      <w:pPr>
        <w:spacing w:after="0" w:line="480" w:lineRule="auto"/>
        <w:rPr>
          <w:rFonts w:ascii="Arial" w:hAnsi="Arial" w:cs="Arial"/>
          <w:sz w:val="24"/>
          <w:szCs w:val="24"/>
        </w:rPr>
      </w:pPr>
      <w:r>
        <w:rPr>
          <w:rFonts w:ascii="Arial" w:hAnsi="Arial" w:cs="Arial"/>
          <w:sz w:val="24"/>
          <w:szCs w:val="24"/>
        </w:rPr>
        <w:tab/>
        <w:t>From subjective report it seems Patricia has acute and chronic back pain issues. Her pain experience spans recent onset of sever mid-thoracic midline pain, and low back pain present with periodic exacerbations for years</w:t>
      </w:r>
      <w:r w:rsidR="00E02053">
        <w:rPr>
          <w:rFonts w:ascii="Arial" w:hAnsi="Arial" w:cs="Arial"/>
          <w:sz w:val="24"/>
          <w:szCs w:val="24"/>
        </w:rPr>
        <w:t xml:space="preserve">. </w:t>
      </w:r>
      <w:r w:rsidR="00CF2A30">
        <w:rPr>
          <w:rFonts w:ascii="Arial" w:hAnsi="Arial" w:cs="Arial"/>
          <w:sz w:val="24"/>
          <w:szCs w:val="24"/>
        </w:rPr>
        <w:t xml:space="preserve">Patricia’s description of her </w:t>
      </w:r>
      <w:r w:rsidR="009B7FB6">
        <w:rPr>
          <w:rFonts w:ascii="Arial" w:hAnsi="Arial" w:cs="Arial"/>
          <w:sz w:val="24"/>
          <w:szCs w:val="24"/>
        </w:rPr>
        <w:t>“</w:t>
      </w:r>
      <w:proofErr w:type="spellStart"/>
      <w:r w:rsidR="00CF2A30">
        <w:rPr>
          <w:rFonts w:ascii="Arial" w:hAnsi="Arial" w:cs="Arial"/>
          <w:sz w:val="24"/>
          <w:szCs w:val="24"/>
        </w:rPr>
        <w:t>aggs</w:t>
      </w:r>
      <w:proofErr w:type="spellEnd"/>
      <w:r w:rsidR="009B7FB6">
        <w:rPr>
          <w:rFonts w:ascii="Arial" w:hAnsi="Arial" w:cs="Arial"/>
          <w:sz w:val="24"/>
          <w:szCs w:val="24"/>
        </w:rPr>
        <w:t>”</w:t>
      </w:r>
      <w:r w:rsidR="00CF2A30">
        <w:rPr>
          <w:rFonts w:ascii="Arial" w:hAnsi="Arial" w:cs="Arial"/>
          <w:sz w:val="24"/>
          <w:szCs w:val="24"/>
        </w:rPr>
        <w:t xml:space="preserve"> and eases </w:t>
      </w:r>
      <w:r w:rsidR="00C0023C">
        <w:rPr>
          <w:rFonts w:ascii="Arial" w:hAnsi="Arial" w:cs="Arial"/>
          <w:sz w:val="24"/>
          <w:szCs w:val="24"/>
        </w:rPr>
        <w:t xml:space="preserve">suggests a preference for flexed posture which is more often associated with vertebral stenosis than disc pathology. Further objective investigation will be addressed in the next section. </w:t>
      </w:r>
      <w:r w:rsidR="009B7FB6">
        <w:rPr>
          <w:rFonts w:ascii="Arial" w:hAnsi="Arial" w:cs="Arial"/>
          <w:sz w:val="24"/>
          <w:szCs w:val="24"/>
        </w:rPr>
        <w:t xml:space="preserve">He pain is increased with intra-abdominal pressure (cough/ sneeze), sitting and standing for more than 15 minutes. (Observation could conclude these are spine “flexed” positions given rounded shoulders, thoracic kyphosis, and reduced lumbar lordosis are her observed postural positions). Standing and walking likewise aggravate her symptoms. Her eases seem to be “unweighting” rather than “extension” of her back. True extension activities close the posterior border of the vertebral bodies, pressing the IV disc forward, and thereby reducing pressure on the nerve roots. </w:t>
      </w:r>
    </w:p>
    <w:p w:rsidR="00EB1DB1" w:rsidRDefault="00EB1DB1" w:rsidP="00CF2A30">
      <w:pPr>
        <w:spacing w:after="0" w:line="480" w:lineRule="auto"/>
        <w:rPr>
          <w:rFonts w:ascii="Arial" w:hAnsi="Arial" w:cs="Arial"/>
          <w:sz w:val="24"/>
          <w:szCs w:val="24"/>
        </w:rPr>
      </w:pPr>
      <w:r>
        <w:rPr>
          <w:rFonts w:ascii="Arial" w:hAnsi="Arial" w:cs="Arial"/>
          <w:sz w:val="24"/>
          <w:szCs w:val="24"/>
        </w:rPr>
        <w:tab/>
        <w:t>Missing from her subjective assessment include psychosocial functioning. With her PMH and prescription of anti-depressant Zoloft, there may be a link to chronic pain that should be explored. Additionally, I would seek to uncover her prior work/ leisure/ living environments and determine level of current physical demands and support available for leverage in a treatment plan for motivational and accountability value.</w:t>
      </w:r>
      <w:r w:rsidR="004B1337">
        <w:rPr>
          <w:rFonts w:ascii="Arial" w:hAnsi="Arial" w:cs="Arial"/>
          <w:sz w:val="24"/>
          <w:szCs w:val="24"/>
        </w:rPr>
        <w:t xml:space="preserve"> Of </w:t>
      </w:r>
      <w:r w:rsidR="004B1337">
        <w:rPr>
          <w:rFonts w:ascii="Arial" w:hAnsi="Arial" w:cs="Arial"/>
          <w:sz w:val="24"/>
          <w:szCs w:val="24"/>
        </w:rPr>
        <w:lastRenderedPageBreak/>
        <w:t>course, this information will be valuable as well concerning</w:t>
      </w:r>
      <w:r w:rsidR="004463BF">
        <w:rPr>
          <w:rFonts w:ascii="Arial" w:hAnsi="Arial" w:cs="Arial"/>
          <w:sz w:val="24"/>
          <w:szCs w:val="24"/>
        </w:rPr>
        <w:t xml:space="preserve"> any</w:t>
      </w:r>
      <w:r w:rsidR="004B1337">
        <w:rPr>
          <w:rFonts w:ascii="Arial" w:hAnsi="Arial" w:cs="Arial"/>
          <w:sz w:val="24"/>
          <w:szCs w:val="24"/>
        </w:rPr>
        <w:t xml:space="preserve"> genetic and environmental impact on potential differential diagnoses.</w:t>
      </w:r>
    </w:p>
    <w:p w:rsidR="00CF2A30" w:rsidRDefault="009B7FB6" w:rsidP="00CF2A30">
      <w:pPr>
        <w:spacing w:after="0" w:line="480" w:lineRule="auto"/>
        <w:rPr>
          <w:rFonts w:ascii="Arial" w:hAnsi="Arial" w:cs="Arial"/>
          <w:sz w:val="24"/>
          <w:szCs w:val="24"/>
        </w:rPr>
      </w:pPr>
      <w:r w:rsidRPr="0000314D">
        <w:rPr>
          <w:rFonts w:ascii="Arial" w:hAnsi="Arial" w:cs="Arial"/>
          <w:sz w:val="24"/>
          <w:szCs w:val="24"/>
        </w:rPr>
        <w:tab/>
        <w:t xml:space="preserve">Objectively, her posture described above, and </w:t>
      </w:r>
      <w:r w:rsidR="00EB1DB1" w:rsidRPr="0000314D">
        <w:rPr>
          <w:rFonts w:ascii="Arial" w:hAnsi="Arial" w:cs="Arial"/>
          <w:sz w:val="24"/>
          <w:szCs w:val="24"/>
        </w:rPr>
        <w:t>significant ROM limitations in t-</w:t>
      </w:r>
      <w:r w:rsidR="00EB1DB1">
        <w:rPr>
          <w:rFonts w:ascii="Arial" w:hAnsi="Arial" w:cs="Arial"/>
          <w:sz w:val="24"/>
          <w:szCs w:val="24"/>
        </w:rPr>
        <w:t>spine</w:t>
      </w:r>
      <w:r w:rsidR="004463BF">
        <w:rPr>
          <w:rFonts w:ascii="Arial" w:hAnsi="Arial" w:cs="Arial"/>
          <w:sz w:val="24"/>
          <w:szCs w:val="24"/>
        </w:rPr>
        <w:t xml:space="preserve"> (flexion limited to 50% with pain, and extension more limited down to 25%, but no mention of pain) is consistent with disc pathology</w:t>
      </w:r>
      <w:r w:rsidR="00EB1DB1">
        <w:rPr>
          <w:rFonts w:ascii="Arial" w:hAnsi="Arial" w:cs="Arial"/>
          <w:sz w:val="24"/>
          <w:szCs w:val="24"/>
        </w:rPr>
        <w:t>.</w:t>
      </w:r>
      <w:r w:rsidR="004463BF">
        <w:rPr>
          <w:rFonts w:ascii="Arial" w:hAnsi="Arial" w:cs="Arial"/>
          <w:sz w:val="24"/>
          <w:szCs w:val="24"/>
        </w:rPr>
        <w:t xml:space="preserve"> </w:t>
      </w:r>
      <w:r w:rsidR="00EB1DB1">
        <w:rPr>
          <w:rFonts w:ascii="Arial" w:hAnsi="Arial" w:cs="Arial"/>
          <w:sz w:val="24"/>
          <w:szCs w:val="24"/>
        </w:rPr>
        <w:t xml:space="preserve"> Despite appearing “stable” her gait pattern, TUG, and 30s sit to stand measures all indicate increased falls risk (</w:t>
      </w:r>
      <w:r w:rsidR="00AB0F2C">
        <w:rPr>
          <w:rFonts w:ascii="Arial" w:hAnsi="Arial" w:cs="Arial"/>
          <w:sz w:val="24"/>
          <w:szCs w:val="24"/>
        </w:rPr>
        <w:t xml:space="preserve">cutoffs are </w:t>
      </w:r>
      <w:r w:rsidR="00EB1DB1">
        <w:rPr>
          <w:rFonts w:ascii="Arial" w:hAnsi="Arial" w:cs="Arial"/>
          <w:sz w:val="24"/>
          <w:szCs w:val="24"/>
        </w:rPr>
        <w:t xml:space="preserve">&gt;13.5s and </w:t>
      </w:r>
      <w:r w:rsidR="00AB0F2C">
        <w:rPr>
          <w:rFonts w:ascii="Arial" w:hAnsi="Arial" w:cs="Arial"/>
          <w:sz w:val="24"/>
          <w:szCs w:val="24"/>
        </w:rPr>
        <w:t>&gt;=8, respectively)</w:t>
      </w:r>
      <w:r w:rsidR="00EB1DB1">
        <w:rPr>
          <w:rFonts w:ascii="Arial" w:hAnsi="Arial" w:cs="Arial"/>
          <w:sz w:val="24"/>
          <w:szCs w:val="24"/>
        </w:rPr>
        <w:t>.</w:t>
      </w:r>
      <w:r w:rsidR="00AB0F2C">
        <w:rPr>
          <w:rFonts w:ascii="Arial" w:hAnsi="Arial" w:cs="Arial"/>
          <w:sz w:val="24"/>
          <w:szCs w:val="24"/>
        </w:rPr>
        <w:fldChar w:fldCharType="begin"/>
      </w:r>
      <w:r w:rsidR="009C5736">
        <w:rPr>
          <w:rFonts w:ascii="Arial" w:hAnsi="Arial" w:cs="Arial"/>
          <w:sz w:val="24"/>
          <w:szCs w:val="24"/>
        </w:rPr>
        <w:instrText>ADDIN F1000_CSL_CITATION&lt;~#@#~&gt;[{"title":"Rehab Measures: Timed Up and Go","id":"4301117","type":"webpage","author":[{"family":"Raad","given":"Jason"}],"issued":{"date-parts":[["2013"]]},"URL":"http://www.rehabmeasures.org/Lists/RehabMeasures/DispForm.aspx?ID=903","accessed":{"date-parts":[["2017","10","1"]]},"citation-label":"4301117","translator":[{"family":"Smiley","given":"Jill"}]},{"title":"Measuring Functional Fitness in Senior Adults","id":"4294900","page":"24-30","type":"article-journal","author":[{"family":"Jones","given":"C Jessie"},{"family":"Rikli","given":"Roberta E"}],"issued":{"date-parts":[["2002","4"]]},"container-title":"The Journal on Active Aging","citation-label":"4294900"}]</w:instrText>
      </w:r>
      <w:r w:rsidR="00AB0F2C">
        <w:rPr>
          <w:rFonts w:ascii="Arial" w:hAnsi="Arial" w:cs="Arial"/>
          <w:sz w:val="24"/>
          <w:szCs w:val="24"/>
        </w:rPr>
        <w:fldChar w:fldCharType="separate"/>
      </w:r>
      <w:r w:rsidR="009C5736" w:rsidRPr="009C5736">
        <w:rPr>
          <w:rFonts w:ascii="Arial" w:hAnsi="Arial" w:cs="Arial"/>
          <w:sz w:val="24"/>
          <w:szCs w:val="24"/>
          <w:vertAlign w:val="superscript"/>
        </w:rPr>
        <w:t>1,2</w:t>
      </w:r>
      <w:r w:rsidR="00AB0F2C">
        <w:rPr>
          <w:rFonts w:ascii="Arial" w:hAnsi="Arial" w:cs="Arial"/>
          <w:sz w:val="24"/>
          <w:szCs w:val="24"/>
        </w:rPr>
        <w:fldChar w:fldCharType="end"/>
      </w:r>
      <w:r w:rsidR="00EB1DB1">
        <w:rPr>
          <w:rFonts w:ascii="Arial" w:hAnsi="Arial" w:cs="Arial"/>
          <w:sz w:val="24"/>
          <w:szCs w:val="24"/>
        </w:rPr>
        <w:t xml:space="preserve"> Additional objective measures would include </w:t>
      </w:r>
      <w:r w:rsidR="00364299">
        <w:rPr>
          <w:rFonts w:ascii="Arial" w:hAnsi="Arial" w:cs="Arial"/>
          <w:sz w:val="24"/>
          <w:szCs w:val="24"/>
        </w:rPr>
        <w:t xml:space="preserve">more specific identification of segmental spine flexibility, </w:t>
      </w:r>
      <w:r w:rsidR="00EB1DB1">
        <w:rPr>
          <w:rFonts w:ascii="Arial" w:hAnsi="Arial" w:cs="Arial"/>
          <w:sz w:val="24"/>
          <w:szCs w:val="24"/>
        </w:rPr>
        <w:t xml:space="preserve">identification of BMI, LE alignment, pelvic alignment, </w:t>
      </w:r>
      <w:r w:rsidR="00364299">
        <w:rPr>
          <w:rFonts w:ascii="Arial" w:hAnsi="Arial" w:cs="Arial"/>
          <w:sz w:val="24"/>
          <w:szCs w:val="24"/>
        </w:rPr>
        <w:t xml:space="preserve">and </w:t>
      </w:r>
      <w:r w:rsidR="00EB1DB1">
        <w:rPr>
          <w:rFonts w:ascii="Arial" w:hAnsi="Arial" w:cs="Arial"/>
          <w:sz w:val="24"/>
          <w:szCs w:val="24"/>
        </w:rPr>
        <w:t>leg length discrepanc</w:t>
      </w:r>
      <w:r w:rsidR="00AB0F2C">
        <w:rPr>
          <w:rFonts w:ascii="Arial" w:hAnsi="Arial" w:cs="Arial"/>
          <w:sz w:val="24"/>
          <w:szCs w:val="24"/>
        </w:rPr>
        <w:t xml:space="preserve">y may all reveal musculoskeletal contributions to Patricia’s pain experience. </w:t>
      </w:r>
      <w:r w:rsidR="00B46320">
        <w:rPr>
          <w:rFonts w:ascii="Arial" w:hAnsi="Arial" w:cs="Arial"/>
          <w:sz w:val="24"/>
          <w:szCs w:val="24"/>
        </w:rPr>
        <w:t xml:space="preserve">Manual muscle testing, and assessment of functional myotomes are needed with observed gait abnormalities. </w:t>
      </w:r>
      <w:r w:rsidR="00AB0F2C">
        <w:rPr>
          <w:rFonts w:ascii="Arial" w:hAnsi="Arial" w:cs="Arial"/>
          <w:sz w:val="24"/>
          <w:szCs w:val="24"/>
        </w:rPr>
        <w:t xml:space="preserve">With pain in her legs, to her calves, slump test </w:t>
      </w:r>
      <w:r w:rsidR="00B46320">
        <w:rPr>
          <w:rFonts w:ascii="Arial" w:hAnsi="Arial" w:cs="Arial"/>
          <w:sz w:val="24"/>
          <w:szCs w:val="24"/>
        </w:rPr>
        <w:t>and SLR test for any neural mobility contribution would be indicated.</w:t>
      </w:r>
    </w:p>
    <w:p w:rsidR="00CF2A30" w:rsidRPr="002B796D" w:rsidRDefault="002B796D">
      <w:pPr>
        <w:rPr>
          <w:rFonts w:ascii="Arial" w:hAnsi="Arial" w:cs="Arial"/>
          <w:b/>
          <w:sz w:val="24"/>
          <w:szCs w:val="24"/>
        </w:rPr>
      </w:pPr>
      <w:r w:rsidRPr="002B796D">
        <w:rPr>
          <w:rFonts w:ascii="Arial" w:hAnsi="Arial" w:cs="Arial"/>
          <w:b/>
          <w:sz w:val="24"/>
          <w:szCs w:val="24"/>
        </w:rPr>
        <w:t>Differential Diagnosis</w:t>
      </w:r>
    </w:p>
    <w:p w:rsidR="00E02053" w:rsidRDefault="00E02053" w:rsidP="002B796D">
      <w:pPr>
        <w:spacing w:after="0" w:line="480" w:lineRule="auto"/>
        <w:ind w:firstLine="720"/>
        <w:rPr>
          <w:rFonts w:ascii="Arial" w:hAnsi="Arial" w:cs="Arial"/>
          <w:sz w:val="24"/>
          <w:szCs w:val="24"/>
        </w:rPr>
      </w:pPr>
      <w:r w:rsidRPr="00B83F17">
        <w:rPr>
          <w:rFonts w:ascii="Arial" w:hAnsi="Arial" w:cs="Arial"/>
          <w:sz w:val="24"/>
          <w:szCs w:val="24"/>
        </w:rPr>
        <w:t xml:space="preserve">With PMH of degenerative disc (DD) disease, </w:t>
      </w:r>
      <w:r w:rsidR="00B83F17">
        <w:rPr>
          <w:rFonts w:ascii="Arial" w:hAnsi="Arial" w:cs="Arial"/>
          <w:sz w:val="24"/>
          <w:szCs w:val="24"/>
        </w:rPr>
        <w:t>this should be considered as one differential diagnosis</w:t>
      </w:r>
      <w:r w:rsidRPr="00B83F17">
        <w:rPr>
          <w:rFonts w:ascii="Arial" w:hAnsi="Arial" w:cs="Arial"/>
          <w:sz w:val="24"/>
          <w:szCs w:val="24"/>
        </w:rPr>
        <w:t xml:space="preserve">. In his clinical commentary, Beattie explained that many people experience DD as early as their 30s, and that nearly all show signs by Patricia’s age. Additionally, DD can contribute to sciatica, consistent with Patricia’s complaint of </w:t>
      </w:r>
      <w:r w:rsidR="002B796D">
        <w:rPr>
          <w:rFonts w:ascii="Arial" w:hAnsi="Arial" w:cs="Arial"/>
          <w:sz w:val="24"/>
          <w:szCs w:val="24"/>
        </w:rPr>
        <w:t>bilateral</w:t>
      </w:r>
      <w:r w:rsidRPr="00B83F17">
        <w:rPr>
          <w:rFonts w:ascii="Arial" w:hAnsi="Arial" w:cs="Arial"/>
          <w:sz w:val="24"/>
          <w:szCs w:val="24"/>
        </w:rPr>
        <w:t xml:space="preserve"> leg pain down to her calves.</w:t>
      </w:r>
      <w:r w:rsidR="00B83F17">
        <w:rPr>
          <w:rFonts w:ascii="Arial" w:hAnsi="Arial" w:cs="Arial"/>
          <w:sz w:val="24"/>
          <w:szCs w:val="24"/>
        </w:rPr>
        <w:fldChar w:fldCharType="begin"/>
      </w:r>
      <w:r w:rsidR="009C5736">
        <w:rPr>
          <w:rFonts w:ascii="Arial" w:hAnsi="Arial" w:cs="Arial"/>
          <w:sz w:val="24"/>
          <w:szCs w:val="24"/>
        </w:rPr>
        <w:instrText>ADDIN F1000_CSL_CITATION&lt;~#@#~&gt;[{"title":"Current understanding of lumbar intervertebral disc degeneration: a review with emphasis upon etiology, pathophysiology, and lumbar magnetic resonance imaging findings.","id":"3516683","page":"329-340","type":"article-journal","volume":"38","issue":"6","author":[{"family":"Beattie","given":"Paul F"}],"issued":{"date-parts":[["2008","6"]]},"container-title":"The Journal of Orthopaedic and Sports Physical Therapy","container-title-short":"J. Orthop. Sports Phys. Ther.","journalAbbreviation":"J. Orthop. Sports Phys. Ther.","DOI":"10.2519/jospt.2008.2768","PMID":"18515962","citation-label":"3516683","Abstract":"Degeneration of the lumbar intervertebral discs (IVDs) is highly prevalent in adults and is nearly universal in the elderly population. Degenerative changes within, and adjacent to, the IVDs are likely to contribute to a variety of pain syndromes; however, the exact association between these findings and symptoms remains speculative. Recent research has provided new information regarding the etiology, pathophysiology, and clinical relevance of degeneration of the IVD. This information will assist clinicians and researchers in understanding the development and clinical course of lumbar disc degeneration, as well as its potential impact upon patients seeking physical therapy care for back pain. The purposes of this clinical commentary are to review the structure and metabolic capacity of the normal and degenerative lumbar IVD, and to discuss factors that influence the onset and progression of disc degeneration. Lumbar magnetic resonance images will be used to illustrate the common findings associated with this condition.","CleanAbstract":"Degeneration of the lumbar intervertebral discs (IVDs) is highly prevalent in adults and is nearly universal in the elderly population. Degenerative changes within, and adjacent to, the IVDs are likely to contribute to a variety of pain syndromes; however, the exact association between these findings and symptoms remains speculative. Recent research has provided new information regarding the etiology, pathophysiology, and clinical relevance of degeneration of the IVD. This information will assist clinicians and researchers in understanding the development and clinical course of lumbar disc degeneration, as well as its potential impact upon patients seeking physical therapy care for back pain. The purposes of this clinical commentary are to review the structure and metabolic capacity of the normal and degenerative lumbar IVD, and to discuss factors that influence the onset and progression of disc degeneration. Lumbar magnetic resonance images will be used to illustrate the common findings associated with this condition."}]</w:instrText>
      </w:r>
      <w:r w:rsidR="00B83F17">
        <w:rPr>
          <w:rFonts w:ascii="Arial" w:hAnsi="Arial" w:cs="Arial"/>
          <w:sz w:val="24"/>
          <w:szCs w:val="24"/>
        </w:rPr>
        <w:fldChar w:fldCharType="separate"/>
      </w:r>
      <w:r w:rsidR="009C5736" w:rsidRPr="009C5736">
        <w:rPr>
          <w:rFonts w:ascii="Arial" w:hAnsi="Arial" w:cs="Arial"/>
          <w:sz w:val="24"/>
          <w:szCs w:val="24"/>
          <w:vertAlign w:val="superscript"/>
        </w:rPr>
        <w:t>3</w:t>
      </w:r>
      <w:r w:rsidR="00B83F17">
        <w:rPr>
          <w:rFonts w:ascii="Arial" w:hAnsi="Arial" w:cs="Arial"/>
          <w:sz w:val="24"/>
          <w:szCs w:val="24"/>
        </w:rPr>
        <w:fldChar w:fldCharType="end"/>
      </w:r>
      <w:r w:rsidR="002B796D">
        <w:rPr>
          <w:rFonts w:ascii="Arial" w:hAnsi="Arial" w:cs="Arial"/>
          <w:sz w:val="24"/>
          <w:szCs w:val="24"/>
        </w:rPr>
        <w:t xml:space="preserve"> B</w:t>
      </w:r>
      <w:r>
        <w:rPr>
          <w:rFonts w:ascii="Arial" w:hAnsi="Arial" w:cs="Arial"/>
          <w:sz w:val="24"/>
          <w:szCs w:val="24"/>
        </w:rPr>
        <w:t>eattie describes the sensory nerve representation of vertebral discs as having dual pathways, contributing to a diffuse pain patter</w:t>
      </w:r>
      <w:r w:rsidR="00364299">
        <w:rPr>
          <w:rFonts w:ascii="Arial" w:hAnsi="Arial" w:cs="Arial"/>
          <w:sz w:val="24"/>
          <w:szCs w:val="24"/>
        </w:rPr>
        <w:t>n</w:t>
      </w:r>
      <w:r>
        <w:rPr>
          <w:rFonts w:ascii="Arial" w:hAnsi="Arial" w:cs="Arial"/>
          <w:sz w:val="24"/>
          <w:szCs w:val="24"/>
        </w:rPr>
        <w:t>. First, the disc nerves travel segmentally to the spinal cord via the dorsal root of the adjacent nerve, as well as “…extra</w:t>
      </w:r>
      <w:r w:rsidR="0000314D">
        <w:rPr>
          <w:rFonts w:ascii="Arial" w:hAnsi="Arial" w:cs="Arial"/>
          <w:sz w:val="24"/>
          <w:szCs w:val="24"/>
        </w:rPr>
        <w:t>-</w:t>
      </w:r>
      <w:r>
        <w:rPr>
          <w:rFonts w:ascii="Arial" w:hAnsi="Arial" w:cs="Arial"/>
          <w:sz w:val="24"/>
          <w:szCs w:val="24"/>
        </w:rPr>
        <w:t>segmentally through the paravertebral sympathetic chain.”</w:t>
      </w:r>
      <w:r>
        <w:rPr>
          <w:rFonts w:ascii="Arial" w:hAnsi="Arial" w:cs="Arial"/>
          <w:sz w:val="24"/>
          <w:szCs w:val="24"/>
        </w:rPr>
        <w:fldChar w:fldCharType="begin"/>
      </w:r>
      <w:r w:rsidR="009C5736">
        <w:rPr>
          <w:rFonts w:ascii="Arial" w:hAnsi="Arial" w:cs="Arial"/>
          <w:sz w:val="24"/>
          <w:szCs w:val="24"/>
        </w:rPr>
        <w:instrText>ADDIN F1000_CSL_CITATION&lt;~#@#~&gt;[{"title":"Current understanding of lumbar intervertebral disc degeneration: a review with emphasis upon etiology, pathophysiology, and lumbar magnetic resonance imaging findings.","id":"3516683","page":"329-340","type":"article-journal","volume":"38","issue":"6","author":[{"family":"Beattie","given":"Paul F"}],"issued":{"date-parts":[["2008","6"]]},"container-title":"The Journal of Orthopaedic and Sports Physical Therapy","container-title-short":"J. Orthop. Sports Phys. Ther.","journalAbbreviation":"J. Orthop. Sports Phys. Ther.","DOI":"10.2519/jospt.2008.2768","PMID":"18515962","citation-label":"3516683","Abstract":"Degeneration of the lumbar intervertebral discs (IVDs) is highly prevalent in adults and is nearly universal in the elderly population. Degenerative changes within, and adjacent to, the IVDs are likely to contribute to a variety of pain syndromes; however, the exact association between these findings and symptoms remains speculative. Recent research has provided new information regarding the etiology, pathophysiology, and clinical relevance of degeneration of the IVD. This information will assist clinicians and researchers in understanding the development and clinical course of lumbar disc degeneration, as well as its potential impact upon patients seeking physical therapy care for back pain. The purposes of this clinical commentary are to review the structure and metabolic capacity of the normal and degenerative lumbar IVD, and to discuss factors that influence the onset and progression of disc degeneration. Lumbar magnetic resonance images will be used to illustrate the common findings associated with this condition.","CleanAbstract":"Degeneration of the lumbar intervertebral discs (IVDs) is highly prevalent in adults and is nearly universal in the elderly population. Degenerative changes within, and adjacent to, the IVDs are likely to contribute to a variety of pain syndromes; however, the exact association between these findings and symptoms remains speculative. Recent research has provided new information regarding the etiology, pathophysiology, and clinical relevance of degeneration of the IVD. This information will assist clinicians and researchers in understanding the development and clinical course of lumbar disc degeneration, as well as its potential impact upon patients seeking physical therapy care for back pain. The purposes of this clinical commentary are to review the structure and metabolic capacity of the normal and degenerative lumbar IVD, and to discuss factors that influence the onset and progression of disc degeneration. Lumbar magnetic resonance images will be used to illustrate the common findings associated with this condition."}]</w:instrText>
      </w:r>
      <w:r>
        <w:rPr>
          <w:rFonts w:ascii="Arial" w:hAnsi="Arial" w:cs="Arial"/>
          <w:sz w:val="24"/>
          <w:szCs w:val="24"/>
        </w:rPr>
        <w:fldChar w:fldCharType="separate"/>
      </w:r>
      <w:r w:rsidR="009C5736" w:rsidRPr="009C5736">
        <w:rPr>
          <w:rFonts w:ascii="Arial" w:hAnsi="Arial" w:cs="Arial"/>
          <w:sz w:val="24"/>
          <w:szCs w:val="24"/>
          <w:vertAlign w:val="superscript"/>
        </w:rPr>
        <w:t>3</w:t>
      </w:r>
      <w:r>
        <w:rPr>
          <w:rFonts w:ascii="Arial" w:hAnsi="Arial" w:cs="Arial"/>
          <w:sz w:val="24"/>
          <w:szCs w:val="24"/>
        </w:rPr>
        <w:fldChar w:fldCharType="end"/>
      </w:r>
      <w:r w:rsidR="0019731F">
        <w:rPr>
          <w:rFonts w:ascii="Arial" w:hAnsi="Arial" w:cs="Arial"/>
          <w:sz w:val="24"/>
          <w:szCs w:val="24"/>
        </w:rPr>
        <w:t xml:space="preserve"> The progression of DD </w:t>
      </w:r>
      <w:r w:rsidR="00364299">
        <w:rPr>
          <w:rFonts w:ascii="Arial" w:hAnsi="Arial" w:cs="Arial"/>
          <w:sz w:val="24"/>
          <w:szCs w:val="24"/>
        </w:rPr>
        <w:t xml:space="preserve">may occur </w:t>
      </w:r>
      <w:r w:rsidR="0019731F">
        <w:rPr>
          <w:rFonts w:ascii="Arial" w:hAnsi="Arial" w:cs="Arial"/>
          <w:sz w:val="24"/>
          <w:szCs w:val="24"/>
        </w:rPr>
        <w:t>through either vertebral body deterioration and resulting decrease in nutrient exchange to the discs</w:t>
      </w:r>
      <w:r w:rsidR="00364299">
        <w:rPr>
          <w:rFonts w:ascii="Arial" w:hAnsi="Arial" w:cs="Arial"/>
          <w:sz w:val="24"/>
          <w:szCs w:val="24"/>
        </w:rPr>
        <w:t>. O</w:t>
      </w:r>
      <w:r w:rsidR="0019731F">
        <w:rPr>
          <w:rFonts w:ascii="Arial" w:hAnsi="Arial" w:cs="Arial"/>
          <w:sz w:val="24"/>
          <w:szCs w:val="24"/>
        </w:rPr>
        <w:t>r</w:t>
      </w:r>
      <w:r w:rsidR="00364299">
        <w:rPr>
          <w:rFonts w:ascii="Arial" w:hAnsi="Arial" w:cs="Arial"/>
          <w:sz w:val="24"/>
          <w:szCs w:val="24"/>
        </w:rPr>
        <w:t>,</w:t>
      </w:r>
      <w:r w:rsidR="0019731F">
        <w:rPr>
          <w:rFonts w:ascii="Arial" w:hAnsi="Arial" w:cs="Arial"/>
          <w:sz w:val="24"/>
          <w:szCs w:val="24"/>
        </w:rPr>
        <w:t xml:space="preserve"> annular </w:t>
      </w:r>
      <w:r w:rsidR="0019731F">
        <w:rPr>
          <w:rFonts w:ascii="Arial" w:hAnsi="Arial" w:cs="Arial"/>
          <w:sz w:val="24"/>
          <w:szCs w:val="24"/>
        </w:rPr>
        <w:lastRenderedPageBreak/>
        <w:t>disruption through repeated micro</w:t>
      </w:r>
      <w:r w:rsidR="0000314D">
        <w:rPr>
          <w:rFonts w:ascii="Arial" w:hAnsi="Arial" w:cs="Arial"/>
          <w:sz w:val="24"/>
          <w:szCs w:val="24"/>
        </w:rPr>
        <w:t>-</w:t>
      </w:r>
      <w:r w:rsidR="0019731F">
        <w:rPr>
          <w:rFonts w:ascii="Arial" w:hAnsi="Arial" w:cs="Arial"/>
          <w:sz w:val="24"/>
          <w:szCs w:val="24"/>
        </w:rPr>
        <w:t>trauma</w:t>
      </w:r>
      <w:r w:rsidR="00364299">
        <w:rPr>
          <w:rFonts w:ascii="Arial" w:hAnsi="Arial" w:cs="Arial"/>
          <w:sz w:val="24"/>
          <w:szCs w:val="24"/>
        </w:rPr>
        <w:t xml:space="preserve"> which</w:t>
      </w:r>
      <w:r w:rsidR="0019731F">
        <w:rPr>
          <w:rFonts w:ascii="Arial" w:hAnsi="Arial" w:cs="Arial"/>
          <w:sz w:val="24"/>
          <w:szCs w:val="24"/>
        </w:rPr>
        <w:t xml:space="preserve"> ultimately may lead to disc space narrowing and neural disruption leading to pain and altered spinal mechanics.</w:t>
      </w:r>
      <w:r w:rsidR="0019731F">
        <w:rPr>
          <w:rFonts w:ascii="Arial" w:hAnsi="Arial" w:cs="Arial"/>
          <w:sz w:val="24"/>
          <w:szCs w:val="24"/>
        </w:rPr>
        <w:fldChar w:fldCharType="begin"/>
      </w:r>
      <w:r w:rsidR="009C5736">
        <w:rPr>
          <w:rFonts w:ascii="Arial" w:hAnsi="Arial" w:cs="Arial"/>
          <w:sz w:val="24"/>
          <w:szCs w:val="24"/>
        </w:rPr>
        <w:instrText>ADDIN F1000_CSL_CITATION&lt;~#@#~&gt;[{"title":"Current understanding of lumbar intervertebral disc degeneration: a review with emphasis upon etiology, pathophysiology, and lumbar magnetic resonance imaging findings.","id":"3516683","page":"329-340","type":"article-journal","volume":"38","issue":"6","author":[{"family":"Beattie","given":"Paul F"}],"issued":{"date-parts":[["2008","6"]]},"container-title":"The Journal of Orthopaedic and Sports Physical Therapy","container-title-short":"J. Orthop. Sports Phys. Ther.","journalAbbreviation":"J. Orthop. Sports Phys. Ther.","DOI":"10.2519/jospt.2008.2768","PMID":"18515962","citation-label":"3516683","Abstract":"Degeneration of the lumbar intervertebral discs (IVDs) is highly prevalent in adults and is nearly universal in the elderly population. Degenerative changes within, and adjacent to, the IVDs are likely to contribute to a variety of pain syndromes; however, the exact association between these findings and symptoms remains speculative. Recent research has provided new information regarding the etiology, pathophysiology, and clinical relevance of degeneration of the IVD. This information will assist clinicians and researchers in understanding the development and clinical course of lumbar disc degeneration, as well as its potential impact upon patients seeking physical therapy care for back pain. The purposes of this clinical commentary are to review the structure and metabolic capacity of the normal and degenerative lumbar IVD, and to discuss factors that influence the onset and progression of disc degeneration. Lumbar magnetic resonance images will be used to illustrate the common findings associated with this condition.","CleanAbstract":"Degeneration of the lumbar intervertebral discs (IVDs) is highly prevalent in adults and is nearly universal in the elderly population. Degenerative changes within, and adjacent to, the IVDs are likely to contribute to a variety of pain syndromes; however, the exact association between these findings and symptoms remains speculative. Recent research has provided new information regarding the etiology, pathophysiology, and clinical relevance of degeneration of the IVD. This information will assist clinicians and researchers in understanding the development and clinical course of lumbar disc degeneration, as well as its potential impact upon patients seeking physical therapy care for back pain. The purposes of this clinical commentary are to review the structure and metabolic capacity of the normal and degenerative lumbar IVD, and to discuss factors that influence the onset and progression of disc degeneration. Lumbar magnetic resonance images will be used to illustrate the common findings associated with this condition."}]</w:instrText>
      </w:r>
      <w:r w:rsidR="0019731F">
        <w:rPr>
          <w:rFonts w:ascii="Arial" w:hAnsi="Arial" w:cs="Arial"/>
          <w:sz w:val="24"/>
          <w:szCs w:val="24"/>
        </w:rPr>
        <w:fldChar w:fldCharType="separate"/>
      </w:r>
      <w:r w:rsidR="009C5736" w:rsidRPr="009C5736">
        <w:rPr>
          <w:rFonts w:ascii="Arial" w:hAnsi="Arial" w:cs="Arial"/>
          <w:sz w:val="24"/>
          <w:szCs w:val="24"/>
          <w:vertAlign w:val="superscript"/>
        </w:rPr>
        <w:t>3</w:t>
      </w:r>
      <w:r w:rsidR="0019731F">
        <w:rPr>
          <w:rFonts w:ascii="Arial" w:hAnsi="Arial" w:cs="Arial"/>
          <w:sz w:val="24"/>
          <w:szCs w:val="24"/>
        </w:rPr>
        <w:fldChar w:fldCharType="end"/>
      </w:r>
    </w:p>
    <w:p w:rsidR="00E02053" w:rsidRDefault="002B796D" w:rsidP="002B39CE">
      <w:pPr>
        <w:spacing w:after="0" w:line="480" w:lineRule="auto"/>
        <w:rPr>
          <w:rFonts w:ascii="Arial" w:hAnsi="Arial" w:cs="Arial"/>
          <w:sz w:val="24"/>
          <w:szCs w:val="24"/>
        </w:rPr>
      </w:pPr>
      <w:r>
        <w:rPr>
          <w:rFonts w:ascii="Arial" w:hAnsi="Arial" w:cs="Arial"/>
          <w:sz w:val="24"/>
          <w:szCs w:val="24"/>
        </w:rPr>
        <w:tab/>
        <w:t xml:space="preserve">Osteoarthritis </w:t>
      </w:r>
      <w:r w:rsidR="002B39CE">
        <w:rPr>
          <w:rFonts w:ascii="Arial" w:hAnsi="Arial" w:cs="Arial"/>
          <w:sz w:val="24"/>
          <w:szCs w:val="24"/>
        </w:rPr>
        <w:t>is also a consideration for Patricia. Although not documented in PMH, she has been prescribed the NSAID Mobic, which is commonly prescribed for pain related to OA.</w:t>
      </w:r>
      <w:r w:rsidR="002B39CE">
        <w:rPr>
          <w:rFonts w:ascii="Arial" w:hAnsi="Arial" w:cs="Arial"/>
          <w:sz w:val="24"/>
          <w:szCs w:val="24"/>
        </w:rPr>
        <w:fldChar w:fldCharType="begin"/>
      </w:r>
      <w:r w:rsidR="009C5736">
        <w:rPr>
          <w:rFonts w:ascii="Arial" w:hAnsi="Arial" w:cs="Arial"/>
          <w:sz w:val="24"/>
          <w:szCs w:val="24"/>
        </w:rPr>
        <w:instrText>ADDIN F1000_CSL_CITATION&lt;~#@#~&gt;[{"title":"Davis's Drug Guide for Rehabilitation Professionals","id":"4246851","type":"book","publisher":"eBook.","isbn":"9780803625891. 9780803640047.","author":[{"family":"Ciccone","given":"Charles D"}],"issued":{"date-parts":[["2013"]]},"publisher-place":"Ipswich, MA","citation-label":"4246851"}]</w:instrText>
      </w:r>
      <w:r w:rsidR="002B39CE">
        <w:rPr>
          <w:rFonts w:ascii="Arial" w:hAnsi="Arial" w:cs="Arial"/>
          <w:sz w:val="24"/>
          <w:szCs w:val="24"/>
        </w:rPr>
        <w:fldChar w:fldCharType="separate"/>
      </w:r>
      <w:r w:rsidR="009C5736" w:rsidRPr="009C5736">
        <w:rPr>
          <w:rFonts w:ascii="Arial" w:hAnsi="Arial" w:cs="Arial"/>
          <w:sz w:val="24"/>
          <w:szCs w:val="24"/>
          <w:vertAlign w:val="superscript"/>
        </w:rPr>
        <w:t>4</w:t>
      </w:r>
      <w:r w:rsidR="002B39CE">
        <w:rPr>
          <w:rFonts w:ascii="Arial" w:hAnsi="Arial" w:cs="Arial"/>
          <w:sz w:val="24"/>
          <w:szCs w:val="24"/>
        </w:rPr>
        <w:fldChar w:fldCharType="end"/>
      </w:r>
      <w:r w:rsidR="002B39CE">
        <w:rPr>
          <w:rFonts w:ascii="Arial" w:hAnsi="Arial" w:cs="Arial"/>
          <w:sz w:val="24"/>
          <w:szCs w:val="24"/>
        </w:rPr>
        <w:t xml:space="preserve"> </w:t>
      </w:r>
      <w:r w:rsidR="00F76990">
        <w:rPr>
          <w:rFonts w:ascii="Arial" w:hAnsi="Arial" w:cs="Arial"/>
          <w:sz w:val="24"/>
          <w:szCs w:val="24"/>
        </w:rPr>
        <w:t xml:space="preserve">OA in the spine may occur at any level, and affect facet joint support. </w:t>
      </w:r>
      <w:proofErr w:type="spellStart"/>
      <w:r w:rsidR="00F76990">
        <w:rPr>
          <w:rFonts w:ascii="Arial" w:hAnsi="Arial" w:cs="Arial"/>
          <w:sz w:val="24"/>
          <w:szCs w:val="24"/>
        </w:rPr>
        <w:t>Sahin</w:t>
      </w:r>
      <w:proofErr w:type="spellEnd"/>
      <w:r w:rsidR="00F76990">
        <w:rPr>
          <w:rFonts w:ascii="Arial" w:hAnsi="Arial" w:cs="Arial"/>
          <w:sz w:val="24"/>
          <w:szCs w:val="24"/>
        </w:rPr>
        <w:t xml:space="preserve"> et al. found a relationship between facet joint deterioration and narrowing of foramen which leads to neural impingement and pain. Among their findings was a positive relationship between facet joint degeneration with OA and a significantly higher lumbar lordosis angle. Put another way, facet joint degeneration may present as reduced lumbar lordosis. With Patricia’s observed sitting and standing posture, this possibility should be considered for her situation.</w:t>
      </w:r>
      <w:r w:rsidR="00F76990">
        <w:rPr>
          <w:rFonts w:ascii="Arial" w:hAnsi="Arial" w:cs="Arial"/>
          <w:sz w:val="24"/>
          <w:szCs w:val="24"/>
        </w:rPr>
        <w:fldChar w:fldCharType="begin"/>
      </w:r>
      <w:r w:rsidR="009C5736">
        <w:rPr>
          <w:rFonts w:ascii="Arial" w:hAnsi="Arial" w:cs="Arial"/>
          <w:sz w:val="24"/>
          <w:szCs w:val="24"/>
        </w:rPr>
        <w:instrText>ADDIN F1000_CSL_CITATION&lt;~#@#~&gt;[{"title":"The relationship between osteoarthritis of the lumbar facet joints and lumbosacropelvic morphology.","id":"5144644","page":"E1058-62","type":"article-journal","volume":"40","issue":"19","author":[{"family":"Sahin","given":"Mehmet Sukru"},{"family":"Ergün","given":"Adviye"},{"family":"Aslan","given":"Akın"}],"issued":{"date-parts":[["2015","10","1"]]},"container-title":"Spine","container-title-short":"Spine","journalAbbreviation":"Spine","DOI":"10.1097/BRS.0000000000001070","PMID":"26230538","citation-label":"5144644","Abstract":"&lt;strong&gt;STUDY DESIGN:&lt;/strong&gt; Cross-sectional study.&lt;br&gt;&lt;br&gt;&lt;strong&gt;OBJECTIVE:&lt;/strong&gt; To investigate the relation between lumbosacropelvic morphology and the presence and degree of facet joint degeneration.&lt;br&gt;&lt;br&gt;&lt;strong&gt;SUMMARY OF BACKGROUND DATA:&lt;/strong&gt; Osteoarthritis of the facet joints is one of the most common degenerative changes in the spine. It is considered to be formed secondary to repetitive stress or trauma and spinal deformity with secondary overload. The cause(s) of facet joints osteoarthritis, however, have not been clearly identified.&lt;br&gt;&lt;br&gt;&lt;strong&gt;METHODS:&lt;/strong&gt; Abdominal computed tomography (CT) images of 723 patients which were taken between the years 2010 and 2014 were evaluated retrospectively. Patients with prior lumbar spinal surgery, serious congenital anomalies on CT, incomplete or complete lumbosacral transition, severe scoliosis, were excluded from the study. To eliminate the age- and sex-related differences in spinopelvic morphology, a study group was formed of the remaining subjects by including patients from a specific age group (30-35 yr) and same sex (females). For each patient the presence and grade of facet joint degeneration was investigated. In addition, pelvic incidence (PI), sacral slope and the angles of L1-L5 lumbar lordosis, sacral table, L5 vertebra posterior, and sacral kyphosis were measured for each patient.&lt;br&gt;&lt;br&gt;&lt;strong&gt;RESULTS:&lt;/strong&gt; Sacral slope, sacral kyphosis, and L1-L5 lumbar lordosis angle were significantly higher in patients with osteoarthritic compared with normal subjects (P = 0.015, P = 0.018, P = 0.016). L5 vertebra posterior and sacral table angle were found to be significantly lower in patients with osteoarthritic than in normal subjects (P = 0.019, P = 0.007). The degree of facet joint degeneration was noticed to increase parallel to the decrease in the sacral table angle and L5 vertebra posterior angle, and to the increase in the L1-L5 lumbar lordosis, PI, and sacral slope.&lt;br&gt;&lt;br&gt;&lt;strong&gt;CONCLUSION:&lt;/strong&gt; A close relation exists between the presence and degree of degeneration in the facet joint and lumbosacral pelvic morphology. Prevalence and degree of the degeneration in facet joint increases as the angle of sacral slope, L1-L5 lumbar lordosis, and PI increases or the angle of sacral table and L5 vertebra posterior decreases.&lt;br&gt;&lt;br&gt;&lt;strong&gt;LEVEL OF EVIDENCE:&lt;/strong&gt; 4.","CleanAbstract":"STUDY DESIGN: Cross-sectional study.OBJECTIVE: To investigate the relation between lumbosacropelvic morphology and the presence and degree of facet joint degeneration.SUMMARY OF BACKGROUND DATA: Osteoarthritis of the facet joints is one of the most common degenerative changes in the spine. It is considered to be formed secondary to repetitive stress or trauma and spinal deformity with secondary overload. The cause(s) of facet joints osteoarthritis, however, have not been clearly identified.METHODS: Abdominal computed tomography (CT) images of 723 patients which were taken between the years 2010 and 2014 were evaluated retrospectively. Patients with prior lumbar spinal surgery, serious congenital anomalies on CT, incomplete or complete lumbosacral transition, severe scoliosis, were excluded from the study. To eliminate the age- and sex-related differences in spinopelvic morphology, a study group was formed of the remaining subjects by including patients from a specific age group (30-35 yr) and same sex (females). For each patient the presence and grade of facet joint degeneration was investigated. In addition, pelvic incidence (PI), sacral slope and the angles of L1-L5 lumbar lordosis, sacral table, L5 vertebra posterior, and sacral kyphosis were measured for each patient.RESULTS: Sacral slope, sacral kyphosis, and L1-L5 lumbar lordosis angle were significantly higher in patients with osteoarthritic compared with normal subjects (P = 0.015, P = 0.018, P = 0.016). L5 vertebra posterior and sacral table angle were found to be significantly lower in patients with osteoarthritic than in normal subjects (P = 0.019, P = 0.007). The degree of facet joint degeneration was noticed to increase parallel to the decrease in the sacral table angle and L5 vertebra posterior angle, and to the increase in the L1-L5 lumbar lordosis, PI, and sacral slope.CONCLUSION: A close relation exists between the presence and degree of degeneration in the facet joint and lumbosacral pelvic morphology. Prevalence and degree of the degeneration in facet joint increases as the angle of sacral slope, L1-L5 lumbar lordosis, and PI increases or the angle of sacral table and L5 vertebra posterior decreases.LEVEL OF EVIDENCE: 4."}]</w:instrText>
      </w:r>
      <w:r w:rsidR="00F76990">
        <w:rPr>
          <w:rFonts w:ascii="Arial" w:hAnsi="Arial" w:cs="Arial"/>
          <w:sz w:val="24"/>
          <w:szCs w:val="24"/>
        </w:rPr>
        <w:fldChar w:fldCharType="separate"/>
      </w:r>
      <w:r w:rsidR="009C5736" w:rsidRPr="009C5736">
        <w:rPr>
          <w:rFonts w:ascii="Arial" w:hAnsi="Arial" w:cs="Arial"/>
          <w:sz w:val="24"/>
          <w:szCs w:val="24"/>
          <w:vertAlign w:val="superscript"/>
        </w:rPr>
        <w:t>5</w:t>
      </w:r>
      <w:r w:rsidR="00F76990">
        <w:rPr>
          <w:rFonts w:ascii="Arial" w:hAnsi="Arial" w:cs="Arial"/>
          <w:sz w:val="24"/>
          <w:szCs w:val="24"/>
        </w:rPr>
        <w:fldChar w:fldCharType="end"/>
      </w:r>
    </w:p>
    <w:p w:rsidR="002B796D" w:rsidRPr="00364299" w:rsidRDefault="002B796D" w:rsidP="002B39CE">
      <w:pPr>
        <w:spacing w:after="0" w:line="480" w:lineRule="auto"/>
        <w:rPr>
          <w:rFonts w:ascii="Arial" w:hAnsi="Arial" w:cs="Arial"/>
          <w:sz w:val="24"/>
          <w:szCs w:val="24"/>
        </w:rPr>
      </w:pPr>
      <w:r>
        <w:rPr>
          <w:rFonts w:ascii="Arial" w:hAnsi="Arial" w:cs="Arial"/>
          <w:sz w:val="24"/>
          <w:szCs w:val="24"/>
        </w:rPr>
        <w:tab/>
        <w:t>Muscle spasm</w:t>
      </w:r>
      <w:r w:rsidR="00F76990">
        <w:rPr>
          <w:rFonts w:ascii="Arial" w:hAnsi="Arial" w:cs="Arial"/>
          <w:sz w:val="24"/>
          <w:szCs w:val="24"/>
        </w:rPr>
        <w:t xml:space="preserve"> </w:t>
      </w:r>
      <w:r w:rsidR="00747CBC">
        <w:rPr>
          <w:rFonts w:ascii="Arial" w:hAnsi="Arial" w:cs="Arial"/>
          <w:sz w:val="24"/>
          <w:szCs w:val="24"/>
        </w:rPr>
        <w:t>is an unlikely primary diagnosis, but could be considered in conjunction to Patricia’s primary diagnosis. Her poor posture in sitting and standing could contribute to weak back extensor muscles. However, when walking and standing and performing other activities of daily living, we call upon these</w:t>
      </w:r>
      <w:r w:rsidR="00B55651">
        <w:rPr>
          <w:rFonts w:ascii="Arial" w:hAnsi="Arial" w:cs="Arial"/>
          <w:sz w:val="24"/>
          <w:szCs w:val="24"/>
        </w:rPr>
        <w:t xml:space="preserve"> muscles routinely. Activity modification provides rest and ability for the muscles to relax and, with time, pain subsides. Patricia’s pain has been present for “years”</w:t>
      </w:r>
      <w:r w:rsidR="00753DCD">
        <w:rPr>
          <w:rFonts w:ascii="Arial" w:hAnsi="Arial" w:cs="Arial"/>
          <w:sz w:val="24"/>
          <w:szCs w:val="24"/>
        </w:rPr>
        <w:t xml:space="preserve">, so while there may be </w:t>
      </w:r>
      <w:r w:rsidR="00753DCD" w:rsidRPr="00364299">
        <w:rPr>
          <w:rFonts w:ascii="Arial" w:hAnsi="Arial" w:cs="Arial"/>
          <w:sz w:val="24"/>
          <w:szCs w:val="24"/>
        </w:rPr>
        <w:t>muscle spasm as part of the problem, it probably accounts more for the acute aspect.</w:t>
      </w:r>
    </w:p>
    <w:p w:rsidR="002B796D" w:rsidRDefault="002B796D" w:rsidP="002B39CE">
      <w:pPr>
        <w:spacing w:after="0" w:line="480" w:lineRule="auto"/>
        <w:rPr>
          <w:rFonts w:ascii="Arial" w:hAnsi="Arial" w:cs="Arial"/>
          <w:b/>
          <w:sz w:val="24"/>
          <w:szCs w:val="24"/>
        </w:rPr>
      </w:pPr>
      <w:r w:rsidRPr="002B796D">
        <w:rPr>
          <w:rFonts w:ascii="Arial" w:hAnsi="Arial" w:cs="Arial"/>
          <w:b/>
          <w:sz w:val="24"/>
          <w:szCs w:val="24"/>
        </w:rPr>
        <w:t>Radiology</w:t>
      </w:r>
    </w:p>
    <w:p w:rsidR="00205EC2" w:rsidRPr="00205EC2" w:rsidRDefault="00205EC2" w:rsidP="002B39CE">
      <w:pPr>
        <w:spacing w:after="0" w:line="480" w:lineRule="auto"/>
        <w:rPr>
          <w:rFonts w:ascii="Arial" w:hAnsi="Arial" w:cs="Arial"/>
          <w:sz w:val="24"/>
          <w:szCs w:val="24"/>
        </w:rPr>
      </w:pPr>
      <w:r w:rsidRPr="00205EC2">
        <w:rPr>
          <w:rFonts w:ascii="Arial" w:hAnsi="Arial" w:cs="Arial"/>
          <w:sz w:val="24"/>
          <w:szCs w:val="24"/>
        </w:rPr>
        <w:tab/>
      </w:r>
      <w:r w:rsidR="00526BE6">
        <w:rPr>
          <w:rFonts w:ascii="Arial" w:hAnsi="Arial" w:cs="Arial"/>
          <w:sz w:val="24"/>
          <w:szCs w:val="24"/>
        </w:rPr>
        <w:t xml:space="preserve">Clinical practice guides for low back pain created by physicians (American College of Physicians) and physical therapists (APTA) have concluded that radiology is limited in usefulness for initial conservative treatment. Since there are risks of false positive (and negative) findings, imaging is best reserved for surgical planning or severe </w:t>
      </w:r>
      <w:r w:rsidR="00526BE6">
        <w:rPr>
          <w:rFonts w:ascii="Arial" w:hAnsi="Arial" w:cs="Arial"/>
          <w:sz w:val="24"/>
          <w:szCs w:val="24"/>
        </w:rPr>
        <w:lastRenderedPageBreak/>
        <w:t>neurological deficits. Routine imaging is considered unnecessary.</w:t>
      </w:r>
      <w:r w:rsidR="00526BE6">
        <w:rPr>
          <w:rFonts w:ascii="Arial" w:hAnsi="Arial" w:cs="Arial"/>
          <w:sz w:val="24"/>
          <w:szCs w:val="24"/>
        </w:rPr>
        <w:fldChar w:fldCharType="begin"/>
      </w:r>
      <w:r w:rsidR="009C5736">
        <w:rPr>
          <w:rFonts w:ascii="Arial" w:hAnsi="Arial" w:cs="Arial"/>
          <w:sz w:val="24"/>
          <w:szCs w:val="24"/>
        </w:rPr>
        <w:instrText>ADDIN F1000_CSL_CITATION&lt;~#@#~&gt;[{"title":"Noninvasive treatments for acute, subacute, and chronic low back pain: A clinical practice guideline from the american college of physicians.","id":"3132489","page":"514-530","type":"article-journal","volume":"166","issue":"7","author":[{"family":"Qaseem","given":"Amir"},{"family":"Wilt","given":"Timothy J"},{"family":"McLean","given":"Robert M"},{"family":"Forciea","given":"Mary Ann"},{"family":"Clinical Guidelines Committee of the American College of Physicians"}],"issued":{"date-parts":[["2017","4","4"]]},"container-title":"Annals of Internal Medicine","container-title-short":"Ann. Intern. Med.","journalAbbreviation":"Ann. Intern. Med.","DOI":"10.7326/M16-2367","PMID":"28192789","citation-label":"3132489","Abstract":"&lt;strong&gt;Description:&lt;/strong&gt; The American College of Physicians (ACP) developed this guideline to present the evidence and provide clinical recommendations on noninvasive treatment of low back pain.&lt;br&gt;&lt;br&gt;&lt;strong&gt;Methods:&lt;/strong&gt; Using the ACP grading system, the committee based these recommendations on a systematic review of randomized, controlled trials and systematic reviews published through April 2015 on noninvasive pharmacologic and nonpharmacologic treatments for low back pain. Updated searches were performed through November 2016. Clinical outcomes evaluated included reduction or elimination of low back pain, improvement in back-specific and overall function, improvement in health-related quality of life, reduction in work disability and return to work, global improvement, number of back pain episodes or time between episodes, patient satisfaction, and adverse effects.&lt;br&gt;&lt;br&gt;&lt;strong&gt;Target Audience and Patient Population:&lt;/strong&gt; The target audience for this guideline includes all clinicians, and the target patient population includes adults with acute, subacute, or chronic low back pain.&lt;br&gt;&lt;br&gt;&lt;strong&gt;Recommendation 1:&lt;/strong&gt; Given that most patients with acute or subacute low back pain improve over time regardless of treatment, clinicians and patients should select nonpharmacologic treatment with superficial heat (moderate-quality evidence), massage, acupuncture, or spinal manipulation (low-quality evidence). If pharmacologic treatment is desired, clinicians and patients should select nonsteroidal anti-inflammatory drugs or skeletal muscle relaxants (moderate-quality evidence). (Grade: strong recommendation).&lt;br&gt;&lt;br&gt;&lt;strong&gt;Recommendation 2:&lt;/strong&gt; For patients with chronic low back pain, clinicians and patients should initially select nonpharmacologic treatment with exercise, multidisciplinary rehabilitation, acupuncture, mindfulness-based stress reduction (moderate-quality evidence), tai chi, yoga, motor control exercise, progressive relaxation, electromyography biofeedback, low-level laser therapy, operant therapy, cognitive behavioral therapy, or spinal manipulation (low-quality evidence). (Grade: strong recommendation).&lt;br&gt;&lt;br&gt;&lt;strong&gt;Recommendation 3:&lt;/strong&gt; In patients with chronic low back pain who have had an inadequate response to nonpharmacologic therapy, clinicians and patients should consider pharmacologic treatment with nonsteroidal anti-inflammatory drugs as first-line therapy, or tramadol or duloxetine as second-line therapy. Clinicians should only consider opioids as an option in patients who have failed the aforementioned treatments and only if the potential benefits outweigh the risks for individual patients and after a discussion of known risks and realistic benefits with patients. (Grade: weak recommendation, moderate-quality evidence).","CleanAbstract":"Description: The American College of Physicians (ACP) developed this guideline to present the evidence and provide clinical recommendations on noninvasive treatment of low back pain.Methods: Using the ACP grading system, the committee based these recommendations on a systematic review of randomized, controlled trials and systematic reviews published through April 2015 on noninvasive pharmacologic and nonpharmacologic treatments for low back pain. Updated searches were performed through November 2016. Clinical outcomes evaluated included reduction or elimination of low back pain, improvement in back-specific and overall function, improvement in health-related quality of life, reduction in work disability and return to work, global improvement, number of back pain episodes or time between episodes, patient satisfaction, and adverse effects.Target Audience and Patient Population: The target audience for this guideline includes all clinicians, and the target patient population includes adults with acute, subacute, or chronic low back pain.Recommendation 1: Given that most patients with acute or subacute low back pain improve over time regardless of treatment, clinicians and patients should select nonpharmacologic treatment with superficial heat (moderate-quality evidence), massage, acupuncture, or spinal manipulation (low-quality evidence). If pharmacologic treatment is desired, clinicians and patients should select nonsteroidal anti-inflammatory drugs or skeletal muscle relaxants (moderate-quality evidence). (Grade: strong recommendation).Recommendation 2: For patients with chronic low back pain, clinicians and patients should initially select nonpharmacologic treatment with exercise, multidisciplinary rehabilitation, acupuncture, mindfulness-based stress reduction (moderate-quality evidence), tai chi, yoga, motor control exercise, progressive relaxation, electromyography biofeedback, low-level laser therapy, operant therapy, cognitive behavioral therapy, or spinal manipulation (low-quality evidence). (Grade: strong recommendation).Recommendation 3: In patients with chronic low back pain who have had an inadequate response to nonpharmacologic therapy, clinicians and patients should consider pharmacologic treatment with nonsteroidal anti-inflammatory drugs as first-line therapy, or tramadol or duloxetine as second-line therapy. Clinicians should only consider opioids as an option in patients who have failed the aforementioned treatments and only if the potential benefits outweigh the risks for individual patients and after a discussion of known risks and realistic benefits with patients. (Grade: weak recommendation, moderate-quality evidence)."},{"title":"Low Back Pain: clinical practice guidelines linked to the international classification of functioning, disability, and health from the Orthopaedic Section of the American Physical Therapy Association","id":"612592","page":"A1-A57","type":"article-journal","volume":"42","author":[{"family":"Delitto","given":"A"},{"family":"George","given":"sz"},{"family":"Van Dillen","given":"L"}],"issued":{"date-parts":[["2012"]]},"container-title":"The Journal of Orthopaedic and Sports Physical Therapy","container-title-short":"J. Orthop. Sports Phys. Ther.","journalAbbreviation":"J. Orthop. Sports Phys. Ther.","DOI":"10.2519/jospt.2012.0301","PMID":"22660660","citation-label":"612592"}]</w:instrText>
      </w:r>
      <w:r w:rsidR="00526BE6">
        <w:rPr>
          <w:rFonts w:ascii="Arial" w:hAnsi="Arial" w:cs="Arial"/>
          <w:sz w:val="24"/>
          <w:szCs w:val="24"/>
        </w:rPr>
        <w:fldChar w:fldCharType="separate"/>
      </w:r>
      <w:r w:rsidR="009C5736" w:rsidRPr="009C5736">
        <w:rPr>
          <w:rFonts w:ascii="Arial" w:hAnsi="Arial" w:cs="Arial"/>
          <w:sz w:val="24"/>
          <w:szCs w:val="24"/>
          <w:vertAlign w:val="superscript"/>
        </w:rPr>
        <w:t>6,7</w:t>
      </w:r>
      <w:r w:rsidR="00526BE6">
        <w:rPr>
          <w:rFonts w:ascii="Arial" w:hAnsi="Arial" w:cs="Arial"/>
          <w:sz w:val="24"/>
          <w:szCs w:val="24"/>
        </w:rPr>
        <w:fldChar w:fldCharType="end"/>
      </w:r>
      <w:r w:rsidR="00526BE6">
        <w:rPr>
          <w:rFonts w:ascii="Arial" w:hAnsi="Arial" w:cs="Arial"/>
          <w:sz w:val="24"/>
          <w:szCs w:val="24"/>
        </w:rPr>
        <w:t xml:space="preserve"> Nonetheless, there is literature to support using additional imaging for diagnosis of certain conditions:</w:t>
      </w:r>
    </w:p>
    <w:p w:rsidR="002B796D" w:rsidRDefault="002B796D" w:rsidP="002B39CE">
      <w:pPr>
        <w:spacing w:after="0" w:line="480" w:lineRule="auto"/>
        <w:rPr>
          <w:rFonts w:ascii="Arial" w:hAnsi="Arial" w:cs="Arial"/>
          <w:sz w:val="24"/>
          <w:szCs w:val="24"/>
        </w:rPr>
      </w:pPr>
      <w:r>
        <w:rPr>
          <w:rFonts w:ascii="Arial" w:hAnsi="Arial" w:cs="Arial"/>
          <w:sz w:val="24"/>
          <w:szCs w:val="24"/>
        </w:rPr>
        <w:tab/>
        <w:t>DD could be confirmed with MRI</w:t>
      </w:r>
      <w:r w:rsidR="00753DCD">
        <w:rPr>
          <w:rFonts w:ascii="Arial" w:hAnsi="Arial" w:cs="Arial"/>
          <w:sz w:val="24"/>
          <w:szCs w:val="24"/>
        </w:rPr>
        <w:t>. Because of the subtle structures within the in</w:t>
      </w:r>
      <w:r w:rsidR="002F3592">
        <w:rPr>
          <w:rFonts w:ascii="Arial" w:hAnsi="Arial" w:cs="Arial"/>
          <w:sz w:val="24"/>
          <w:szCs w:val="24"/>
        </w:rPr>
        <w:t>ter</w:t>
      </w:r>
      <w:r w:rsidR="00753DCD">
        <w:rPr>
          <w:rFonts w:ascii="Arial" w:hAnsi="Arial" w:cs="Arial"/>
          <w:sz w:val="24"/>
          <w:szCs w:val="24"/>
        </w:rPr>
        <w:t>vertebral</w:t>
      </w:r>
      <w:r w:rsidR="00E02389">
        <w:rPr>
          <w:rFonts w:ascii="Arial" w:hAnsi="Arial" w:cs="Arial"/>
          <w:sz w:val="24"/>
          <w:szCs w:val="24"/>
        </w:rPr>
        <w:t xml:space="preserve"> disc</w:t>
      </w:r>
      <w:r w:rsidR="002F5B33">
        <w:rPr>
          <w:rFonts w:ascii="Arial" w:hAnsi="Arial" w:cs="Arial"/>
          <w:sz w:val="24"/>
          <w:szCs w:val="24"/>
        </w:rPr>
        <w:t xml:space="preserve">. In simplified description, the disc is comprised of the nucleus </w:t>
      </w:r>
      <w:proofErr w:type="spellStart"/>
      <w:r w:rsidR="002F5B33">
        <w:rPr>
          <w:rFonts w:ascii="Arial" w:hAnsi="Arial" w:cs="Arial"/>
          <w:sz w:val="24"/>
          <w:szCs w:val="24"/>
        </w:rPr>
        <w:t>pulposus</w:t>
      </w:r>
      <w:proofErr w:type="spellEnd"/>
      <w:r w:rsidR="002F5B33">
        <w:rPr>
          <w:rFonts w:ascii="Arial" w:hAnsi="Arial" w:cs="Arial"/>
          <w:sz w:val="24"/>
          <w:szCs w:val="24"/>
        </w:rPr>
        <w:t xml:space="preserve">, a central structure surrounded by the annulus </w:t>
      </w:r>
      <w:proofErr w:type="spellStart"/>
      <w:r w:rsidR="002F5B33">
        <w:rPr>
          <w:rFonts w:ascii="Arial" w:hAnsi="Arial" w:cs="Arial"/>
          <w:sz w:val="24"/>
          <w:szCs w:val="24"/>
        </w:rPr>
        <w:t>fibrosus</w:t>
      </w:r>
      <w:proofErr w:type="spellEnd"/>
      <w:r w:rsidR="002F5B33">
        <w:rPr>
          <w:rFonts w:ascii="Arial" w:hAnsi="Arial" w:cs="Arial"/>
          <w:sz w:val="24"/>
          <w:szCs w:val="24"/>
        </w:rPr>
        <w:t xml:space="preserve">. </w:t>
      </w:r>
      <w:r w:rsidR="00331ED1">
        <w:rPr>
          <w:rFonts w:ascii="Arial" w:hAnsi="Arial" w:cs="Arial"/>
          <w:sz w:val="24"/>
          <w:szCs w:val="24"/>
        </w:rPr>
        <w:t>Beattie describes 4 tissue layers that are interwoven and that MRI is the preferred imaging to observe the subtleties of that tissue as well as any vertebral body deterioration discussed above.</w:t>
      </w:r>
      <w:r w:rsidR="00331ED1">
        <w:rPr>
          <w:rFonts w:ascii="Arial" w:hAnsi="Arial" w:cs="Arial"/>
          <w:sz w:val="24"/>
          <w:szCs w:val="24"/>
        </w:rPr>
        <w:fldChar w:fldCharType="begin"/>
      </w:r>
      <w:r w:rsidR="009C5736">
        <w:rPr>
          <w:rFonts w:ascii="Arial" w:hAnsi="Arial" w:cs="Arial"/>
          <w:sz w:val="24"/>
          <w:szCs w:val="24"/>
        </w:rPr>
        <w:instrText>ADDIN F1000_CSL_CITATION&lt;~#@#~&gt;[{"title":"Current understanding of lumbar intervertebral disc degeneration: a review with emphasis upon etiology, pathophysiology, and lumbar magnetic resonance imaging findings.","id":"3516683","page":"329-340","type":"article-journal","volume":"38","issue":"6","author":[{"family":"Beattie","given":"Paul F"}],"issued":{"date-parts":[["2008","6"]]},"container-title":"The Journal of Orthopaedic and Sports Physical Therapy","container-title-short":"J. Orthop. Sports Phys. Ther.","journalAbbreviation":"J. Orthop. Sports Phys. Ther.","DOI":"10.2519/jospt.2008.2768","PMID":"18515962","citation-label":"3516683","Abstract":"Degeneration of the lumbar intervertebral discs (IVDs) is highly prevalent in adults and is nearly universal in the elderly population. Degenerative changes within, and adjacent to, the IVDs are likely to contribute to a variety of pain syndromes; however, the exact association between these findings and symptoms remains speculative. Recent research has provided new information regarding the etiology, pathophysiology, and clinical relevance of degeneration of the IVD. This information will assist clinicians and researchers in understanding the development and clinical course of lumbar disc degeneration, as well as its potential impact upon patients seeking physical therapy care for back pain. The purposes of this clinical commentary are to review the structure and metabolic capacity of the normal and degenerative lumbar IVD, and to discuss factors that influence the onset and progression of disc degeneration. Lumbar magnetic resonance images will be used to illustrate the common findings associated with this condition.","CleanAbstract":"Degeneration of the lumbar intervertebral discs (IVDs) is highly prevalent in adults and is nearly universal in the elderly population. Degenerative changes within, and adjacent to, the IVDs are likely to contribute to a variety of pain syndromes; however, the exact association between these findings and symptoms remains speculative. Recent research has provided new information regarding the etiology, pathophysiology, and clinical relevance of degeneration of the IVD. This information will assist clinicians and researchers in understanding the development and clinical course of lumbar disc degeneration, as well as its potential impact upon patients seeking physical therapy care for back pain. The purposes of this clinical commentary are to review the structure and metabolic capacity of the normal and degenerative lumbar IVD, and to discuss factors that influence the onset and progression of disc degeneration. Lumbar magnetic resonance images will be used to illustrate the common findings associated with this condition."}]</w:instrText>
      </w:r>
      <w:r w:rsidR="00331ED1">
        <w:rPr>
          <w:rFonts w:ascii="Arial" w:hAnsi="Arial" w:cs="Arial"/>
          <w:sz w:val="24"/>
          <w:szCs w:val="24"/>
        </w:rPr>
        <w:fldChar w:fldCharType="separate"/>
      </w:r>
      <w:r w:rsidR="009C5736" w:rsidRPr="009C5736">
        <w:rPr>
          <w:rFonts w:ascii="Arial" w:hAnsi="Arial" w:cs="Arial"/>
          <w:sz w:val="24"/>
          <w:szCs w:val="24"/>
          <w:vertAlign w:val="superscript"/>
        </w:rPr>
        <w:t>3</w:t>
      </w:r>
      <w:r w:rsidR="00331ED1">
        <w:rPr>
          <w:rFonts w:ascii="Arial" w:hAnsi="Arial" w:cs="Arial"/>
          <w:sz w:val="24"/>
          <w:szCs w:val="24"/>
        </w:rPr>
        <w:fldChar w:fldCharType="end"/>
      </w:r>
    </w:p>
    <w:p w:rsidR="002B796D" w:rsidRDefault="002B796D" w:rsidP="002B39CE">
      <w:pPr>
        <w:spacing w:after="0" w:line="480" w:lineRule="auto"/>
        <w:rPr>
          <w:rFonts w:ascii="Arial" w:hAnsi="Arial" w:cs="Arial"/>
          <w:sz w:val="24"/>
          <w:szCs w:val="24"/>
        </w:rPr>
      </w:pPr>
      <w:r>
        <w:rPr>
          <w:rFonts w:ascii="Arial" w:hAnsi="Arial" w:cs="Arial"/>
          <w:sz w:val="24"/>
          <w:szCs w:val="24"/>
        </w:rPr>
        <w:tab/>
        <w:t>OA could be investigated with CT scan</w:t>
      </w:r>
      <w:r w:rsidR="00331ED1">
        <w:rPr>
          <w:rFonts w:ascii="Arial" w:hAnsi="Arial" w:cs="Arial"/>
          <w:sz w:val="24"/>
          <w:szCs w:val="24"/>
        </w:rPr>
        <w:t>. This offers a number of advantages for facet joint imaging. For example, CT allows for facet</w:t>
      </w:r>
      <w:r w:rsidR="0005134F">
        <w:rPr>
          <w:rFonts w:ascii="Arial" w:hAnsi="Arial" w:cs="Arial"/>
          <w:sz w:val="24"/>
          <w:szCs w:val="24"/>
        </w:rPr>
        <w:t xml:space="preserve"> joint imaging in 3 planes, allowing views of all surfaces. Plus, CT scans can limit the superpostioning</w:t>
      </w:r>
      <w:bookmarkStart w:id="0" w:name="_GoBack"/>
      <w:bookmarkEnd w:id="0"/>
      <w:r w:rsidR="0005134F">
        <w:rPr>
          <w:rFonts w:ascii="Arial" w:hAnsi="Arial" w:cs="Arial"/>
          <w:sz w:val="24"/>
          <w:szCs w:val="24"/>
        </w:rPr>
        <w:t xml:space="preserve"> of images, has excellent contrast capacity and finally is best for observing joint space narrowing.</w:t>
      </w:r>
      <w:r w:rsidR="0005134F">
        <w:rPr>
          <w:rFonts w:ascii="Arial" w:hAnsi="Arial" w:cs="Arial"/>
          <w:sz w:val="24"/>
          <w:szCs w:val="24"/>
        </w:rPr>
        <w:fldChar w:fldCharType="begin"/>
      </w:r>
      <w:r w:rsidR="009C5736">
        <w:rPr>
          <w:rFonts w:ascii="Arial" w:hAnsi="Arial" w:cs="Arial"/>
          <w:sz w:val="24"/>
          <w:szCs w:val="24"/>
        </w:rPr>
        <w:instrText>ADDIN F1000_CSL_CITATION&lt;~#@#~&gt;[{"title":"The relationship between osteoarthritis of the lumbar facet joints and lumbosacropelvic morphology.","id":"5144644","page":"E1058-62","type":"article-journal","volume":"40","issue":"19","author":[{"family":"Sahin","given":"Mehmet Sukru"},{"family":"Ergün","given":"Adviye"},{"family":"Aslan","given":"Akın"}],"issued":{"date-parts":[["2015","10","1"]]},"container-title":"Spine","container-title-short":"Spine","journalAbbreviation":"Spine","DOI":"10.1097/BRS.0000000000001070","PMID":"26230538","citation-label":"5144644","Abstract":"&lt;strong&gt;STUDY DESIGN:&lt;/strong&gt; Cross-sectional study.&lt;br&gt;&lt;br&gt;&lt;strong&gt;OBJECTIVE:&lt;/strong&gt; To investigate the relation between lumbosacropelvic morphology and the presence and degree of facet joint degeneration.&lt;br&gt;&lt;br&gt;&lt;strong&gt;SUMMARY OF BACKGROUND DATA:&lt;/strong&gt; Osteoarthritis of the facet joints is one of the most common degenerative changes in the spine. It is considered to be formed secondary to repetitive stress or trauma and spinal deformity with secondary overload. The cause(s) of facet joints osteoarthritis, however, have not been clearly identified.&lt;br&gt;&lt;br&gt;&lt;strong&gt;METHODS:&lt;/strong&gt; Abdominal computed tomography (CT) images of 723 patients which were taken between the years 2010 and 2014 were evaluated retrospectively. Patients with prior lumbar spinal surgery, serious congenital anomalies on CT, incomplete or complete lumbosacral transition, severe scoliosis, were excluded from the study. To eliminate the age- and sex-related differences in spinopelvic morphology, a study group was formed of the remaining subjects by including patients from a specific age group (30-35 yr) and same sex (females). For each patient the presence and grade of facet joint degeneration was investigated. In addition, pelvic incidence (PI), sacral slope and the angles of L1-L5 lumbar lordosis, sacral table, L5 vertebra posterior, and sacral kyphosis were measured for each patient.&lt;br&gt;&lt;br&gt;&lt;strong&gt;RESULTS:&lt;/strong&gt; Sacral slope, sacral kyphosis, and L1-L5 lumbar lordosis angle were significantly higher in patients with osteoarthritic compared with normal subjects (P = 0.015, P = 0.018, P = 0.016). L5 vertebra posterior and sacral table angle were found to be significantly lower in patients with osteoarthritic than in normal subjects (P = 0.019, P = 0.007). The degree of facet joint degeneration was noticed to increase parallel to the decrease in the sacral table angle and L5 vertebra posterior angle, and to the increase in the L1-L5 lumbar lordosis, PI, and sacral slope.&lt;br&gt;&lt;br&gt;&lt;strong&gt;CONCLUSION:&lt;/strong&gt; A close relation exists between the presence and degree of degeneration in the facet joint and lumbosacral pelvic morphology. Prevalence and degree of the degeneration in facet joint increases as the angle of sacral slope, L1-L5 lumbar lordosis, and PI increases or the angle of sacral table and L5 vertebra posterior decreases.&lt;br&gt;&lt;br&gt;&lt;strong&gt;LEVEL OF EVIDENCE:&lt;/strong&gt; 4.","CleanAbstract":"STUDY DESIGN: Cross-sectional study.OBJECTIVE: To investigate the relation between lumbosacropelvic morphology and the presence and degree of facet joint degeneration.SUMMARY OF BACKGROUND DATA: Osteoarthritis of the facet joints is one of the most common degenerative changes in the spine. It is considered to be formed secondary to repetitive stress or trauma and spinal deformity with secondary overload. The cause(s) of facet joints osteoarthritis, however, have not been clearly identified.METHODS: Abdominal computed tomography (CT) images of 723 patients which were taken between the years 2010 and 2014 were evaluated retrospectively. Patients with prior lumbar spinal surgery, serious congenital anomalies on CT, incomplete or complete lumbosacral transition, severe scoliosis, were excluded from the study. To eliminate the age- and sex-related differences in spinopelvic morphology, a study group was formed of the remaining subjects by including patients from a specific age group (30-35 yr) and same sex (females). For each patient the presence and grade of facet joint degeneration was investigated. In addition, pelvic incidence (PI), sacral slope and the angles of L1-L5 lumbar lordosis, sacral table, L5 vertebra posterior, and sacral kyphosis were measured for each patient.RESULTS: Sacral slope, sacral kyphosis, and L1-L5 lumbar lordosis angle were significantly higher in patients with osteoarthritic compared with normal subjects (P = 0.015, P = 0.018, P = 0.016). L5 vertebra posterior and sacral table angle were found to be significantly lower in patients with osteoarthritic than in normal subjects (P = 0.019, P = 0.007). The degree of facet joint degeneration was noticed to increase parallel to the decrease in the sacral table angle and L5 vertebra posterior angle, and to the increase in the L1-L5 lumbar lordosis, PI, and sacral slope.CONCLUSION: A close relation exists between the presence and degree of degeneration in the facet joint and lumbosacral pelvic morphology. Prevalence and degree of the degeneration in facet joint increases as the angle of sacral slope, L1-L5 lumbar lordosis, and PI increases or the angle of sacral table and L5 vertebra posterior decreases.LEVEL OF EVIDENCE: 4."}]</w:instrText>
      </w:r>
      <w:r w:rsidR="0005134F">
        <w:rPr>
          <w:rFonts w:ascii="Arial" w:hAnsi="Arial" w:cs="Arial"/>
          <w:sz w:val="24"/>
          <w:szCs w:val="24"/>
        </w:rPr>
        <w:fldChar w:fldCharType="separate"/>
      </w:r>
      <w:r w:rsidR="009C5736" w:rsidRPr="009C5736">
        <w:rPr>
          <w:rFonts w:ascii="Arial" w:hAnsi="Arial" w:cs="Arial"/>
          <w:sz w:val="24"/>
          <w:szCs w:val="24"/>
          <w:vertAlign w:val="superscript"/>
        </w:rPr>
        <w:t>5</w:t>
      </w:r>
      <w:r w:rsidR="0005134F">
        <w:rPr>
          <w:rFonts w:ascii="Arial" w:hAnsi="Arial" w:cs="Arial"/>
          <w:sz w:val="24"/>
          <w:szCs w:val="24"/>
        </w:rPr>
        <w:fldChar w:fldCharType="end"/>
      </w:r>
      <w:r w:rsidR="0005134F">
        <w:rPr>
          <w:rFonts w:ascii="Arial" w:hAnsi="Arial" w:cs="Arial"/>
          <w:sz w:val="24"/>
          <w:szCs w:val="24"/>
        </w:rPr>
        <w:t xml:space="preserve"> </w:t>
      </w:r>
    </w:p>
    <w:p w:rsidR="002B796D" w:rsidRPr="002B796D" w:rsidRDefault="002B796D" w:rsidP="002B39CE">
      <w:pPr>
        <w:spacing w:after="0" w:line="480" w:lineRule="auto"/>
        <w:rPr>
          <w:rFonts w:ascii="Arial" w:hAnsi="Arial" w:cs="Arial"/>
          <w:b/>
          <w:sz w:val="24"/>
          <w:szCs w:val="24"/>
        </w:rPr>
      </w:pPr>
      <w:r w:rsidRPr="002B796D">
        <w:rPr>
          <w:rFonts w:ascii="Arial" w:hAnsi="Arial" w:cs="Arial"/>
          <w:b/>
          <w:sz w:val="24"/>
          <w:szCs w:val="24"/>
        </w:rPr>
        <w:t>Pharmacology</w:t>
      </w:r>
    </w:p>
    <w:p w:rsidR="00CF2A30" w:rsidRDefault="00364299" w:rsidP="0005134F">
      <w:pPr>
        <w:spacing w:after="0" w:line="480" w:lineRule="auto"/>
        <w:ind w:firstLine="720"/>
        <w:rPr>
          <w:rFonts w:ascii="Arial" w:hAnsi="Arial" w:cs="Arial"/>
          <w:sz w:val="24"/>
          <w:szCs w:val="24"/>
        </w:rPr>
      </w:pPr>
      <w:r>
        <w:rPr>
          <w:rFonts w:ascii="Arial" w:hAnsi="Arial" w:cs="Arial"/>
          <w:sz w:val="24"/>
          <w:szCs w:val="24"/>
        </w:rPr>
        <w:t xml:space="preserve">In looking at her list of prescribed medications, </w:t>
      </w:r>
      <w:r w:rsidR="0005134F">
        <w:rPr>
          <w:rFonts w:ascii="Arial" w:hAnsi="Arial" w:cs="Arial"/>
          <w:sz w:val="24"/>
          <w:szCs w:val="24"/>
        </w:rPr>
        <w:t xml:space="preserve">Patricia seems to have pain relief covered with Flexeril and Mobic for muscle spasms and OA respectively. She has Zoloft prescribed for anti-depression and Crestor and Zetia for cholesterol control. Precautions </w:t>
      </w:r>
      <w:r w:rsidR="00134DFD">
        <w:rPr>
          <w:rFonts w:ascii="Arial" w:hAnsi="Arial" w:cs="Arial"/>
          <w:sz w:val="24"/>
          <w:szCs w:val="24"/>
        </w:rPr>
        <w:t>and PT Implications are included in this table:</w:t>
      </w:r>
      <w:r w:rsidR="00134DFD">
        <w:rPr>
          <w:rFonts w:ascii="Arial" w:hAnsi="Arial" w:cs="Arial"/>
          <w:sz w:val="24"/>
          <w:szCs w:val="24"/>
        </w:rPr>
        <w:fldChar w:fldCharType="begin"/>
      </w:r>
      <w:r w:rsidR="009C5736">
        <w:rPr>
          <w:rFonts w:ascii="Arial" w:hAnsi="Arial" w:cs="Arial"/>
          <w:sz w:val="24"/>
          <w:szCs w:val="24"/>
        </w:rPr>
        <w:instrText>ADDIN F1000_CSL_CITATION&lt;~#@#~&gt;[{"title":"Davis's Drug Guide for Rehabilitation Professionals","id":"4246851","type":"book","publisher":"eBook.","isbn":"9780803625891. 9780803640047.","author":[{"family":"Ciccone","given":"Charles D"}],"issued":{"date-parts":[["2013"]]},"publisher-place":"Ipswich, MA","citation-label":"4246851"}]</w:instrText>
      </w:r>
      <w:r w:rsidR="00134DFD">
        <w:rPr>
          <w:rFonts w:ascii="Arial" w:hAnsi="Arial" w:cs="Arial"/>
          <w:sz w:val="24"/>
          <w:szCs w:val="24"/>
        </w:rPr>
        <w:fldChar w:fldCharType="separate"/>
      </w:r>
      <w:r w:rsidR="009C5736" w:rsidRPr="009C5736">
        <w:rPr>
          <w:rFonts w:ascii="Arial" w:hAnsi="Arial" w:cs="Arial"/>
          <w:sz w:val="24"/>
          <w:szCs w:val="24"/>
          <w:vertAlign w:val="superscript"/>
        </w:rPr>
        <w:t>4</w:t>
      </w:r>
      <w:r w:rsidR="00134DFD">
        <w:rPr>
          <w:rFonts w:ascii="Arial" w:hAnsi="Arial" w:cs="Arial"/>
          <w:sz w:val="24"/>
          <w:szCs w:val="24"/>
        </w:rPr>
        <w:fldChar w:fldCharType="end"/>
      </w:r>
      <w:r w:rsidR="00205EC2">
        <w:rPr>
          <w:rFonts w:ascii="Arial" w:hAnsi="Arial" w:cs="Arial"/>
          <w:sz w:val="24"/>
          <w:szCs w:val="24"/>
        </w:rPr>
        <w:t xml:space="preserve"> It should be noted that Flexeril (muscle relaxer) </w:t>
      </w:r>
      <w:r w:rsidR="00526BE6">
        <w:rPr>
          <w:rFonts w:ascii="Arial" w:hAnsi="Arial" w:cs="Arial"/>
          <w:sz w:val="24"/>
          <w:szCs w:val="24"/>
        </w:rPr>
        <w:t>is considered</w:t>
      </w:r>
      <w:r w:rsidR="00205EC2">
        <w:rPr>
          <w:rFonts w:ascii="Arial" w:hAnsi="Arial" w:cs="Arial"/>
          <w:sz w:val="24"/>
          <w:szCs w:val="24"/>
        </w:rPr>
        <w:t xml:space="preserve"> moderate quality evidence for acute back pain, but insufficient evidence long-term use and on chronic low back pain by Qaseem et al.</w:t>
      </w:r>
      <w:r w:rsidR="00205EC2">
        <w:rPr>
          <w:rFonts w:ascii="Arial" w:hAnsi="Arial" w:cs="Arial"/>
          <w:sz w:val="24"/>
          <w:szCs w:val="24"/>
        </w:rPr>
        <w:fldChar w:fldCharType="begin"/>
      </w:r>
      <w:r w:rsidR="009C5736">
        <w:rPr>
          <w:rFonts w:ascii="Arial" w:hAnsi="Arial" w:cs="Arial"/>
          <w:sz w:val="24"/>
          <w:szCs w:val="24"/>
        </w:rPr>
        <w:instrText>ADDIN F1000_CSL_CITATION&lt;~#@#~&gt;[{"title":"Noninvasive treatments for acute, subacute, and chronic low back pain: A clinical practice guideline from the american college of physicians.","id":"3132489","page":"514-530","type":"article-journal","volume":"166","issue":"7","author":[{"family":"Qaseem","given":"Amir"},{"family":"Wilt","given":"Timothy J"},{"family":"McLean","given":"Robert M"},{"family":"Forciea","given":"Mary Ann"},{"family":"Clinical Guidelines Committee of the American College of Physicians"}],"issued":{"date-parts":[["2017","4","4"]]},"container-title":"Annals of Internal Medicine","container-title-short":"Ann. Intern. Med.","journalAbbreviation":"Ann. Intern. Med.","DOI":"10.7326/M16-2367","PMID":"28192789","citation-label":"3132489","Abstract":"&lt;strong&gt;Description:&lt;/strong&gt; The American College of Physicians (ACP) developed this guideline to present the evidence and provide clinical recommendations on noninvasive treatment of low back pain.&lt;br&gt;&lt;br&gt;&lt;strong&gt;Methods:&lt;/strong&gt; Using the ACP grading system, the committee based these recommendations on a systematic review of randomized, controlled trials and systematic reviews published through April 2015 on noninvasive pharmacologic and nonpharmacologic treatments for low back pain. Updated searches were performed through November 2016. Clinical outcomes evaluated included reduction or elimination of low back pain, improvement in back-specific and overall function, improvement in health-related quality of life, reduction in work disability and return to work, global improvement, number of back pain episodes or time between episodes, patient satisfaction, and adverse effects.&lt;br&gt;&lt;br&gt;&lt;strong&gt;Target Audience and Patient Population:&lt;/strong&gt; The target audience for this guideline includes all clinicians, and the target patient population includes adults with acute, subacute, or chronic low back pain.&lt;br&gt;&lt;br&gt;&lt;strong&gt;Recommendation 1:&lt;/strong&gt; Given that most patients with acute or subacute low back pain improve over time regardless of treatment, clinicians and patients should select nonpharmacologic treatment with superficial heat (moderate-quality evidence), massage, acupuncture, or spinal manipulation (low-quality evidence). If pharmacologic treatment is desired, clinicians and patients should select nonsteroidal anti-inflammatory drugs or skeletal muscle relaxants (moderate-quality evidence). (Grade: strong recommendation).&lt;br&gt;&lt;br&gt;&lt;strong&gt;Recommendation 2:&lt;/strong&gt; For patients with chronic low back pain, clinicians and patients should initially select nonpharmacologic treatment with exercise, multidisciplinary rehabilitation, acupuncture, mindfulness-based stress reduction (moderate-quality evidence), tai chi, yoga, motor control exercise, progressive relaxation, electromyography biofeedback, low-level laser therapy, operant therapy, cognitive behavioral therapy, or spinal manipulation (low-quality evidence). (Grade: strong recommendation).&lt;br&gt;&lt;br&gt;&lt;strong&gt;Recommendation 3:&lt;/strong&gt; In patients with chronic low back pain who have had an inadequate response to nonpharmacologic therapy, clinicians and patients should consider pharmacologic treatment with nonsteroidal anti-inflammatory drugs as first-line therapy, or tramadol or duloxetine as second-line therapy. Clinicians should only consider opioids as an option in patients who have failed the aforementioned treatments and only if the potential benefits outweigh the risks for individual patients and after a discussion of known risks and realistic benefits with patients. (Grade: weak recommendation, moderate-quality evidence).","CleanAbstract":"Description: The American College of Physicians (ACP) developed this guideline to present the evidence and provide clinical recommendations on noninvasive treatment of low back pain.Methods: Using the ACP grading system, the committee based these recommendations on a systematic review of randomized, controlled trials and systematic reviews published through April 2015 on noninvasive pharmacologic and nonpharmacologic treatments for low back pain. Updated searches were performed through November 2016. Clinical outcomes evaluated included reduction or elimination of low back pain, improvement in back-specific and overall function, improvement in health-related quality of life, reduction in work disability and return to work, global improvement, number of back pain episodes or time between episodes, patient satisfaction, and adverse effects.Target Audience and Patient Population: The target audience for this guideline includes all clinicians, and the target patient population includes adults with acute, subacute, or chronic low back pain.Recommendation 1: Given that most patients with acute or subacute low back pain improve over time regardless of treatment, clinicians and patients should select nonpharmacologic treatment with superficial heat (moderate-quality evidence), massage, acupuncture, or spinal manipulation (low-quality evidence). If pharmacologic treatment is desired, clinicians and patients should select nonsteroidal anti-inflammatory drugs or skeletal muscle relaxants (moderate-quality evidence). (Grade: strong recommendation).Recommendation 2: For patients with chronic low back pain, clinicians and patients should initially select nonpharmacologic treatment with exercise, multidisciplinary rehabilitation, acupuncture, mindfulness-based stress reduction (moderate-quality evidence), tai chi, yoga, motor control exercise, progressive relaxation, electromyography biofeedback, low-level laser therapy, operant therapy, cognitive behavioral therapy, or spinal manipulation (low-quality evidence). (Grade: strong recommendation).Recommendation 3: In patients with chronic low back pain who have had an inadequate response to nonpharmacologic therapy, clinicians and patients should consider pharmacologic treatment with nonsteroidal anti-inflammatory drugs as first-line therapy, or tramadol or duloxetine as second-line therapy. Clinicians should only consider opioids as an option in patients who have failed the aforementioned treatments and only if the potential benefits outweigh the risks for individual patients and after a discussion of known risks and realistic benefits with patients. (Grade: weak recommendation, moderate-quality evidence)."}]</w:instrText>
      </w:r>
      <w:r w:rsidR="00205EC2">
        <w:rPr>
          <w:rFonts w:ascii="Arial" w:hAnsi="Arial" w:cs="Arial"/>
          <w:sz w:val="24"/>
          <w:szCs w:val="24"/>
        </w:rPr>
        <w:fldChar w:fldCharType="separate"/>
      </w:r>
      <w:r w:rsidR="009C5736" w:rsidRPr="009C5736">
        <w:rPr>
          <w:rFonts w:ascii="Arial" w:hAnsi="Arial" w:cs="Arial"/>
          <w:sz w:val="24"/>
          <w:szCs w:val="24"/>
          <w:vertAlign w:val="superscript"/>
        </w:rPr>
        <w:t>6</w:t>
      </w:r>
      <w:r w:rsidR="00205EC2">
        <w:rPr>
          <w:rFonts w:ascii="Arial" w:hAnsi="Arial" w:cs="Arial"/>
          <w:sz w:val="24"/>
          <w:szCs w:val="24"/>
        </w:rPr>
        <w:fldChar w:fldCharType="end"/>
      </w:r>
      <w:r w:rsidR="00526BE6">
        <w:rPr>
          <w:rFonts w:ascii="Arial" w:hAnsi="Arial" w:cs="Arial"/>
          <w:sz w:val="24"/>
          <w:szCs w:val="24"/>
        </w:rPr>
        <w:t xml:space="preserve"> </w:t>
      </w:r>
    </w:p>
    <w:tbl>
      <w:tblPr>
        <w:tblStyle w:val="TableGrid"/>
        <w:tblW w:w="0" w:type="auto"/>
        <w:tblInd w:w="780" w:type="dxa"/>
        <w:tblLook w:val="04A0" w:firstRow="1" w:lastRow="0" w:firstColumn="1" w:lastColumn="0" w:noHBand="0" w:noVBand="1"/>
      </w:tblPr>
      <w:tblGrid>
        <w:gridCol w:w="1870"/>
        <w:gridCol w:w="2149"/>
        <w:gridCol w:w="1890"/>
        <w:gridCol w:w="1870"/>
      </w:tblGrid>
      <w:tr w:rsidR="00134DFD" w:rsidRPr="003B41A1" w:rsidTr="0020532B">
        <w:tc>
          <w:tcPr>
            <w:tcW w:w="1870" w:type="dxa"/>
          </w:tcPr>
          <w:p w:rsidR="00134DFD" w:rsidRPr="003B41A1" w:rsidRDefault="00134DFD" w:rsidP="00040399">
            <w:pPr>
              <w:rPr>
                <w:rFonts w:ascii="Times New Roman" w:hAnsi="Times New Roman" w:cs="Times New Roman"/>
                <w:b/>
              </w:rPr>
            </w:pPr>
            <w:r w:rsidRPr="003B41A1">
              <w:rPr>
                <w:rFonts w:ascii="Times New Roman" w:hAnsi="Times New Roman" w:cs="Times New Roman"/>
                <w:b/>
              </w:rPr>
              <w:t>MEDS name/ class</w:t>
            </w:r>
          </w:p>
        </w:tc>
        <w:tc>
          <w:tcPr>
            <w:tcW w:w="2149" w:type="dxa"/>
          </w:tcPr>
          <w:p w:rsidR="00134DFD" w:rsidRPr="003B41A1" w:rsidRDefault="00134DFD" w:rsidP="00040399">
            <w:pPr>
              <w:rPr>
                <w:rFonts w:ascii="Times New Roman" w:hAnsi="Times New Roman" w:cs="Times New Roman"/>
                <w:b/>
              </w:rPr>
            </w:pPr>
            <w:r w:rsidRPr="003B41A1">
              <w:rPr>
                <w:rFonts w:ascii="Times New Roman" w:hAnsi="Times New Roman" w:cs="Times New Roman"/>
                <w:b/>
              </w:rPr>
              <w:t>Indication</w:t>
            </w:r>
          </w:p>
        </w:tc>
        <w:tc>
          <w:tcPr>
            <w:tcW w:w="1890" w:type="dxa"/>
          </w:tcPr>
          <w:p w:rsidR="00134DFD" w:rsidRPr="003B41A1" w:rsidRDefault="00134DFD" w:rsidP="00040399">
            <w:pPr>
              <w:rPr>
                <w:rFonts w:ascii="Times New Roman" w:hAnsi="Times New Roman" w:cs="Times New Roman"/>
                <w:b/>
              </w:rPr>
            </w:pPr>
            <w:r w:rsidRPr="003B41A1">
              <w:rPr>
                <w:rFonts w:ascii="Times New Roman" w:hAnsi="Times New Roman" w:cs="Times New Roman"/>
                <w:b/>
              </w:rPr>
              <w:t>Precaution</w:t>
            </w:r>
            <w:r w:rsidR="00364299">
              <w:rPr>
                <w:rFonts w:ascii="Times New Roman" w:hAnsi="Times New Roman" w:cs="Times New Roman"/>
                <w:b/>
              </w:rPr>
              <w:t>s</w:t>
            </w:r>
          </w:p>
        </w:tc>
        <w:tc>
          <w:tcPr>
            <w:tcW w:w="1870" w:type="dxa"/>
          </w:tcPr>
          <w:p w:rsidR="00134DFD" w:rsidRPr="003B41A1" w:rsidRDefault="00134DFD" w:rsidP="00040399">
            <w:pPr>
              <w:rPr>
                <w:rFonts w:ascii="Times New Roman" w:hAnsi="Times New Roman" w:cs="Times New Roman"/>
                <w:b/>
              </w:rPr>
            </w:pPr>
            <w:r w:rsidRPr="003B41A1">
              <w:rPr>
                <w:rFonts w:ascii="Times New Roman" w:hAnsi="Times New Roman" w:cs="Times New Roman"/>
                <w:b/>
              </w:rPr>
              <w:t>PT Implication</w:t>
            </w:r>
            <w:r w:rsidR="00364299">
              <w:rPr>
                <w:rFonts w:ascii="Times New Roman" w:hAnsi="Times New Roman" w:cs="Times New Roman"/>
                <w:b/>
              </w:rPr>
              <w:t>s</w:t>
            </w:r>
          </w:p>
        </w:tc>
      </w:tr>
      <w:tr w:rsidR="00134DFD" w:rsidRPr="003B41A1" w:rsidTr="0020532B">
        <w:tc>
          <w:tcPr>
            <w:tcW w:w="1870" w:type="dxa"/>
          </w:tcPr>
          <w:p w:rsidR="00134DFD" w:rsidRPr="00F50335" w:rsidRDefault="00134DFD" w:rsidP="00040399">
            <w:pPr>
              <w:widowControl w:val="0"/>
              <w:autoSpaceDE w:val="0"/>
              <w:autoSpaceDN w:val="0"/>
              <w:adjustRightInd w:val="0"/>
              <w:rPr>
                <w:rFonts w:ascii="Times New Roman" w:hAnsi="Times New Roman" w:cs="Times New Roman"/>
              </w:rPr>
            </w:pPr>
            <w:r>
              <w:rPr>
                <w:rFonts w:ascii="Times New Roman" w:hAnsi="Times New Roman" w:cs="Times New Roman"/>
              </w:rPr>
              <w:t xml:space="preserve">Flexeril </w:t>
            </w:r>
          </w:p>
          <w:p w:rsidR="00134DFD" w:rsidRPr="003B41A1" w:rsidRDefault="00134DFD" w:rsidP="00040399">
            <w:pPr>
              <w:rPr>
                <w:rFonts w:ascii="Times New Roman" w:hAnsi="Times New Roman" w:cs="Times New Roman"/>
              </w:rPr>
            </w:pPr>
            <w:r>
              <w:rPr>
                <w:rFonts w:ascii="Times New Roman" w:hAnsi="Times New Roman" w:cs="Times New Roman"/>
              </w:rPr>
              <w:t>(skeletal muscle relaxer) SMR</w:t>
            </w:r>
          </w:p>
        </w:tc>
        <w:tc>
          <w:tcPr>
            <w:tcW w:w="2149" w:type="dxa"/>
          </w:tcPr>
          <w:p w:rsidR="00134DFD" w:rsidRPr="003B41A1" w:rsidRDefault="00134DFD" w:rsidP="00040399">
            <w:pPr>
              <w:rPr>
                <w:rFonts w:ascii="Times New Roman" w:hAnsi="Times New Roman" w:cs="Times New Roman"/>
              </w:rPr>
            </w:pPr>
            <w:r>
              <w:rPr>
                <w:rFonts w:ascii="Times New Roman" w:hAnsi="Times New Roman" w:cs="Times New Roman"/>
              </w:rPr>
              <w:t>Acute mm spasm, pain</w:t>
            </w:r>
          </w:p>
        </w:tc>
        <w:tc>
          <w:tcPr>
            <w:tcW w:w="1890" w:type="dxa"/>
          </w:tcPr>
          <w:p w:rsidR="00134DFD" w:rsidRPr="003B41A1" w:rsidRDefault="00134DFD" w:rsidP="00040399">
            <w:pPr>
              <w:rPr>
                <w:rFonts w:ascii="Times New Roman" w:hAnsi="Times New Roman" w:cs="Times New Roman"/>
              </w:rPr>
            </w:pPr>
            <w:r>
              <w:rPr>
                <w:rFonts w:ascii="Times New Roman" w:hAnsi="Times New Roman" w:cs="Times New Roman"/>
              </w:rPr>
              <w:t>Dizziness, drowsiness, HA, arrhythmia</w:t>
            </w:r>
          </w:p>
        </w:tc>
        <w:tc>
          <w:tcPr>
            <w:tcW w:w="1870" w:type="dxa"/>
          </w:tcPr>
          <w:p w:rsidR="00134DFD" w:rsidRPr="003B41A1" w:rsidRDefault="00134DFD" w:rsidP="00040399">
            <w:pPr>
              <w:rPr>
                <w:rFonts w:ascii="Times New Roman" w:hAnsi="Times New Roman" w:cs="Times New Roman"/>
              </w:rPr>
            </w:pPr>
            <w:r>
              <w:rPr>
                <w:rFonts w:ascii="Times New Roman" w:hAnsi="Times New Roman" w:cs="Times New Roman"/>
              </w:rPr>
              <w:t xml:space="preserve">Monitor pain, stiffness, HR, EKG, </w:t>
            </w:r>
          </w:p>
        </w:tc>
      </w:tr>
      <w:tr w:rsidR="00134DFD" w:rsidRPr="003B41A1" w:rsidTr="0020532B">
        <w:tc>
          <w:tcPr>
            <w:tcW w:w="1870" w:type="dxa"/>
          </w:tcPr>
          <w:p w:rsidR="00134DFD" w:rsidRDefault="00134DFD" w:rsidP="00040399">
            <w:pPr>
              <w:rPr>
                <w:rFonts w:ascii="Times New Roman" w:hAnsi="Times New Roman" w:cs="Times New Roman"/>
              </w:rPr>
            </w:pPr>
            <w:r>
              <w:rPr>
                <w:rFonts w:ascii="Times New Roman" w:hAnsi="Times New Roman" w:cs="Times New Roman"/>
              </w:rPr>
              <w:t>Zoloft</w:t>
            </w:r>
          </w:p>
          <w:p w:rsidR="00134DFD" w:rsidRPr="003B41A1" w:rsidRDefault="00134DFD" w:rsidP="00040399">
            <w:pPr>
              <w:rPr>
                <w:rFonts w:ascii="Times New Roman" w:hAnsi="Times New Roman" w:cs="Times New Roman"/>
              </w:rPr>
            </w:pPr>
            <w:r>
              <w:rPr>
                <w:rFonts w:ascii="Times New Roman" w:hAnsi="Times New Roman" w:cs="Times New Roman"/>
              </w:rPr>
              <w:t>(antidepressant)</w:t>
            </w:r>
          </w:p>
        </w:tc>
        <w:tc>
          <w:tcPr>
            <w:tcW w:w="2149" w:type="dxa"/>
          </w:tcPr>
          <w:p w:rsidR="00134DFD" w:rsidRPr="003B41A1" w:rsidRDefault="00134DFD" w:rsidP="00040399">
            <w:pPr>
              <w:rPr>
                <w:rFonts w:ascii="Times New Roman" w:hAnsi="Times New Roman" w:cs="Times New Roman"/>
              </w:rPr>
            </w:pPr>
            <w:r>
              <w:rPr>
                <w:rFonts w:ascii="Times New Roman" w:hAnsi="Times New Roman" w:cs="Times New Roman"/>
              </w:rPr>
              <w:t xml:space="preserve">Major depressive disorder, OCD, </w:t>
            </w:r>
          </w:p>
        </w:tc>
        <w:tc>
          <w:tcPr>
            <w:tcW w:w="1890" w:type="dxa"/>
          </w:tcPr>
          <w:p w:rsidR="00134DFD" w:rsidRDefault="00134DFD" w:rsidP="00040399">
            <w:pPr>
              <w:rPr>
                <w:rFonts w:ascii="Times New Roman" w:hAnsi="Times New Roman" w:cs="Times New Roman"/>
              </w:rPr>
            </w:pPr>
            <w:proofErr w:type="spellStart"/>
            <w:r>
              <w:rPr>
                <w:rFonts w:ascii="Times New Roman" w:hAnsi="Times New Roman" w:cs="Times New Roman"/>
              </w:rPr>
              <w:t>Nueroleptic</w:t>
            </w:r>
            <w:proofErr w:type="spellEnd"/>
            <w:r>
              <w:rPr>
                <w:rFonts w:ascii="Times New Roman" w:hAnsi="Times New Roman" w:cs="Times New Roman"/>
              </w:rPr>
              <w:t xml:space="preserve"> malignant syndrome (NMS),</w:t>
            </w:r>
          </w:p>
          <w:p w:rsidR="00134DFD" w:rsidRDefault="00134DFD" w:rsidP="00040399">
            <w:pPr>
              <w:rPr>
                <w:rFonts w:ascii="Times New Roman" w:hAnsi="Times New Roman" w:cs="Times New Roman"/>
              </w:rPr>
            </w:pPr>
            <w:r>
              <w:rPr>
                <w:rFonts w:ascii="Times New Roman" w:hAnsi="Times New Roman" w:cs="Times New Roman"/>
              </w:rPr>
              <w:lastRenderedPageBreak/>
              <w:t>Dizziness, drowsiness, HA, diarrhea, nausea, dry mouth,</w:t>
            </w:r>
          </w:p>
          <w:p w:rsidR="00134DFD" w:rsidRPr="003B41A1" w:rsidRDefault="00134DFD" w:rsidP="00040399">
            <w:pPr>
              <w:rPr>
                <w:rFonts w:ascii="Times New Roman" w:hAnsi="Times New Roman" w:cs="Times New Roman"/>
              </w:rPr>
            </w:pPr>
          </w:p>
        </w:tc>
        <w:tc>
          <w:tcPr>
            <w:tcW w:w="1870" w:type="dxa"/>
          </w:tcPr>
          <w:p w:rsidR="00134DFD" w:rsidRDefault="00134DFD" w:rsidP="00040399">
            <w:pPr>
              <w:rPr>
                <w:rFonts w:ascii="Times New Roman" w:hAnsi="Times New Roman" w:cs="Times New Roman"/>
              </w:rPr>
            </w:pPr>
            <w:r>
              <w:rPr>
                <w:rFonts w:ascii="Times New Roman" w:hAnsi="Times New Roman" w:cs="Times New Roman"/>
              </w:rPr>
              <w:lastRenderedPageBreak/>
              <w:t>Signs of NMS – hyperthermia, diaphoresis,</w:t>
            </w:r>
          </w:p>
          <w:p w:rsidR="00134DFD" w:rsidRPr="003B41A1" w:rsidRDefault="00134DFD" w:rsidP="00364299">
            <w:pPr>
              <w:rPr>
                <w:rFonts w:ascii="Times New Roman" w:hAnsi="Times New Roman" w:cs="Times New Roman"/>
              </w:rPr>
            </w:pPr>
            <w:r>
              <w:rPr>
                <w:rFonts w:ascii="Times New Roman" w:hAnsi="Times New Roman" w:cs="Times New Roman"/>
              </w:rPr>
              <w:t xml:space="preserve">generalized mm rigidity, alert for </w:t>
            </w:r>
            <w:r w:rsidR="00364299">
              <w:rPr>
                <w:rFonts w:ascii="Times New Roman" w:hAnsi="Times New Roman" w:cs="Times New Roman"/>
              </w:rPr>
              <w:lastRenderedPageBreak/>
              <w:t>increased</w:t>
            </w:r>
            <w:r>
              <w:rPr>
                <w:rFonts w:ascii="Times New Roman" w:hAnsi="Times New Roman" w:cs="Times New Roman"/>
              </w:rPr>
              <w:t xml:space="preserve"> depression and suicidal thoughts</w:t>
            </w:r>
          </w:p>
        </w:tc>
      </w:tr>
      <w:tr w:rsidR="00134DFD" w:rsidRPr="003B41A1" w:rsidTr="0020532B">
        <w:tc>
          <w:tcPr>
            <w:tcW w:w="1870" w:type="dxa"/>
          </w:tcPr>
          <w:p w:rsidR="00134DFD" w:rsidRDefault="00134DFD" w:rsidP="00040399">
            <w:pPr>
              <w:rPr>
                <w:rFonts w:ascii="Times New Roman" w:hAnsi="Times New Roman" w:cs="Times New Roman"/>
              </w:rPr>
            </w:pPr>
            <w:r>
              <w:rPr>
                <w:rFonts w:ascii="Times New Roman" w:hAnsi="Times New Roman" w:cs="Times New Roman"/>
              </w:rPr>
              <w:lastRenderedPageBreak/>
              <w:t>Crestor</w:t>
            </w:r>
          </w:p>
          <w:p w:rsidR="00134DFD" w:rsidRPr="003B41A1" w:rsidRDefault="00134DFD" w:rsidP="00040399">
            <w:pPr>
              <w:rPr>
                <w:rFonts w:ascii="Times New Roman" w:hAnsi="Times New Roman" w:cs="Times New Roman"/>
              </w:rPr>
            </w:pPr>
            <w:r>
              <w:rPr>
                <w:rFonts w:ascii="Times New Roman" w:hAnsi="Times New Roman" w:cs="Times New Roman"/>
              </w:rPr>
              <w:t>(Lipid lowering)</w:t>
            </w:r>
          </w:p>
        </w:tc>
        <w:tc>
          <w:tcPr>
            <w:tcW w:w="2149" w:type="dxa"/>
          </w:tcPr>
          <w:p w:rsidR="00134DFD" w:rsidRPr="003B41A1" w:rsidRDefault="00134DFD" w:rsidP="00040399">
            <w:pPr>
              <w:rPr>
                <w:rFonts w:ascii="Times New Roman" w:hAnsi="Times New Roman" w:cs="Times New Roman"/>
              </w:rPr>
            </w:pPr>
            <w:r>
              <w:rPr>
                <w:rFonts w:ascii="Times New Roman" w:hAnsi="Times New Roman" w:cs="Times New Roman"/>
              </w:rPr>
              <w:t>Hypercholesteremia</w:t>
            </w:r>
          </w:p>
        </w:tc>
        <w:tc>
          <w:tcPr>
            <w:tcW w:w="1890" w:type="dxa"/>
          </w:tcPr>
          <w:p w:rsidR="00134DFD" w:rsidRPr="003B41A1" w:rsidRDefault="00134DFD" w:rsidP="00364299">
            <w:pPr>
              <w:rPr>
                <w:rFonts w:ascii="Times New Roman" w:hAnsi="Times New Roman" w:cs="Times New Roman"/>
              </w:rPr>
            </w:pPr>
            <w:r w:rsidRPr="00E56AF6">
              <w:rPr>
                <w:rFonts w:ascii="Times New Roman" w:hAnsi="Times New Roman" w:cs="Times New Roman"/>
              </w:rPr>
              <w:t xml:space="preserve">Rhabdomyolysis, </w:t>
            </w:r>
            <w:r w:rsidR="00364299">
              <w:rPr>
                <w:rFonts w:ascii="Times New Roman" w:hAnsi="Times New Roman" w:cs="Times New Roman"/>
              </w:rPr>
              <w:t>abdominal</w:t>
            </w:r>
            <w:r w:rsidRPr="00E56AF6">
              <w:rPr>
                <w:rFonts w:ascii="Times New Roman" w:hAnsi="Times New Roman" w:cs="Times New Roman"/>
              </w:rPr>
              <w:t xml:space="preserve"> p</w:t>
            </w:r>
            <w:r w:rsidR="00364299">
              <w:rPr>
                <w:rFonts w:ascii="Times New Roman" w:hAnsi="Times New Roman" w:cs="Times New Roman"/>
              </w:rPr>
              <w:t>ain</w:t>
            </w:r>
            <w:r w:rsidRPr="00E56AF6">
              <w:rPr>
                <w:rFonts w:ascii="Times New Roman" w:hAnsi="Times New Roman" w:cs="Times New Roman"/>
              </w:rPr>
              <w:t>, constipation, weakness</w:t>
            </w:r>
          </w:p>
        </w:tc>
        <w:tc>
          <w:tcPr>
            <w:tcW w:w="1870" w:type="dxa"/>
          </w:tcPr>
          <w:p w:rsidR="00134DFD" w:rsidRPr="003B41A1" w:rsidRDefault="00134DFD" w:rsidP="00040399">
            <w:pPr>
              <w:rPr>
                <w:rFonts w:ascii="Times New Roman" w:hAnsi="Times New Roman" w:cs="Times New Roman"/>
              </w:rPr>
            </w:pPr>
            <w:r>
              <w:rPr>
                <w:rFonts w:ascii="Times New Roman" w:hAnsi="Times New Roman" w:cs="Times New Roman"/>
              </w:rPr>
              <w:t>Caution if pain, weakness is accompanied by fever, dark-urine. Immediate MD ref and cease exes.</w:t>
            </w:r>
          </w:p>
        </w:tc>
      </w:tr>
      <w:tr w:rsidR="00134DFD" w:rsidRPr="003B41A1" w:rsidTr="0020532B">
        <w:tc>
          <w:tcPr>
            <w:tcW w:w="1870" w:type="dxa"/>
          </w:tcPr>
          <w:p w:rsidR="00134DFD" w:rsidRDefault="00134DFD" w:rsidP="00040399">
            <w:pPr>
              <w:rPr>
                <w:rFonts w:ascii="Times New Roman" w:hAnsi="Times New Roman" w:cs="Times New Roman"/>
              </w:rPr>
            </w:pPr>
            <w:r>
              <w:rPr>
                <w:rFonts w:ascii="Times New Roman" w:hAnsi="Times New Roman" w:cs="Times New Roman"/>
              </w:rPr>
              <w:t>Zetia</w:t>
            </w:r>
          </w:p>
          <w:p w:rsidR="00134DFD" w:rsidRPr="003B41A1" w:rsidRDefault="00134DFD" w:rsidP="00040399">
            <w:pPr>
              <w:rPr>
                <w:rFonts w:ascii="Times New Roman" w:hAnsi="Times New Roman" w:cs="Times New Roman"/>
              </w:rPr>
            </w:pPr>
            <w:r>
              <w:rPr>
                <w:rFonts w:ascii="Times New Roman" w:hAnsi="Times New Roman" w:cs="Times New Roman"/>
              </w:rPr>
              <w:t>(lipid lowering)</w:t>
            </w:r>
          </w:p>
        </w:tc>
        <w:tc>
          <w:tcPr>
            <w:tcW w:w="2149" w:type="dxa"/>
          </w:tcPr>
          <w:p w:rsidR="00134DFD" w:rsidRPr="003B41A1" w:rsidRDefault="00134DFD" w:rsidP="00040399">
            <w:pPr>
              <w:rPr>
                <w:rFonts w:ascii="Times New Roman" w:hAnsi="Times New Roman" w:cs="Times New Roman"/>
              </w:rPr>
            </w:pPr>
            <w:r>
              <w:rPr>
                <w:rFonts w:ascii="Times New Roman" w:hAnsi="Times New Roman" w:cs="Times New Roman"/>
              </w:rPr>
              <w:t>Hypercholesteremia</w:t>
            </w:r>
          </w:p>
        </w:tc>
        <w:tc>
          <w:tcPr>
            <w:tcW w:w="1890" w:type="dxa"/>
          </w:tcPr>
          <w:p w:rsidR="00134DFD" w:rsidRPr="003B41A1" w:rsidRDefault="00134DFD" w:rsidP="00040399">
            <w:pPr>
              <w:rPr>
                <w:rFonts w:ascii="Times New Roman" w:hAnsi="Times New Roman" w:cs="Times New Roman"/>
              </w:rPr>
            </w:pPr>
            <w:r>
              <w:rPr>
                <w:rFonts w:ascii="Times New Roman" w:hAnsi="Times New Roman" w:cs="Times New Roman"/>
              </w:rPr>
              <w:t xml:space="preserve">Angioedema, rash, pancreatitis </w:t>
            </w:r>
          </w:p>
        </w:tc>
        <w:tc>
          <w:tcPr>
            <w:tcW w:w="1870" w:type="dxa"/>
          </w:tcPr>
          <w:p w:rsidR="00134DFD" w:rsidRDefault="00134DFD" w:rsidP="00040399">
            <w:pPr>
              <w:rPr>
                <w:rFonts w:ascii="Times New Roman" w:hAnsi="Times New Roman" w:cs="Times New Roman"/>
              </w:rPr>
            </w:pPr>
            <w:r>
              <w:rPr>
                <w:rFonts w:ascii="Times New Roman" w:hAnsi="Times New Roman" w:cs="Times New Roman"/>
              </w:rPr>
              <w:t>Notify MD if:</w:t>
            </w:r>
          </w:p>
          <w:p w:rsidR="00134DFD" w:rsidRDefault="00134DFD" w:rsidP="00040399">
            <w:pPr>
              <w:rPr>
                <w:rFonts w:ascii="Times New Roman" w:hAnsi="Times New Roman" w:cs="Times New Roman"/>
              </w:rPr>
            </w:pPr>
            <w:r>
              <w:rPr>
                <w:rFonts w:ascii="Times New Roman" w:hAnsi="Times New Roman" w:cs="Times New Roman"/>
              </w:rPr>
              <w:t>Rashes, welts, burning/ itch skin.</w:t>
            </w:r>
          </w:p>
          <w:p w:rsidR="00134DFD" w:rsidRPr="003B41A1" w:rsidRDefault="00364299" w:rsidP="00040399">
            <w:pPr>
              <w:rPr>
                <w:rFonts w:ascii="Times New Roman" w:hAnsi="Times New Roman" w:cs="Times New Roman"/>
              </w:rPr>
            </w:pPr>
            <w:r>
              <w:rPr>
                <w:rFonts w:ascii="Times New Roman" w:hAnsi="Times New Roman" w:cs="Times New Roman"/>
              </w:rPr>
              <w:t>Abdominal pain</w:t>
            </w:r>
            <w:r w:rsidR="00134DFD">
              <w:rPr>
                <w:rFonts w:ascii="Times New Roman" w:hAnsi="Times New Roman" w:cs="Times New Roman"/>
              </w:rPr>
              <w:t xml:space="preserve"> after eating</w:t>
            </w:r>
          </w:p>
        </w:tc>
      </w:tr>
      <w:tr w:rsidR="00134DFD" w:rsidRPr="003B41A1" w:rsidTr="0020532B">
        <w:tc>
          <w:tcPr>
            <w:tcW w:w="1870" w:type="dxa"/>
          </w:tcPr>
          <w:p w:rsidR="00134DFD" w:rsidRDefault="00134DFD" w:rsidP="00040399">
            <w:pPr>
              <w:rPr>
                <w:rFonts w:ascii="Times New Roman" w:hAnsi="Times New Roman" w:cs="Times New Roman"/>
              </w:rPr>
            </w:pPr>
            <w:r>
              <w:rPr>
                <w:rFonts w:ascii="Times New Roman" w:hAnsi="Times New Roman" w:cs="Times New Roman"/>
              </w:rPr>
              <w:t>Mobic</w:t>
            </w:r>
          </w:p>
          <w:p w:rsidR="00134DFD" w:rsidRDefault="00134DFD" w:rsidP="00040399">
            <w:pPr>
              <w:rPr>
                <w:rFonts w:ascii="Times New Roman" w:hAnsi="Times New Roman" w:cs="Times New Roman"/>
              </w:rPr>
            </w:pPr>
            <w:r>
              <w:rPr>
                <w:rFonts w:ascii="Times New Roman" w:hAnsi="Times New Roman" w:cs="Times New Roman"/>
              </w:rPr>
              <w:t>(NSAID)</w:t>
            </w:r>
          </w:p>
          <w:p w:rsidR="00134DFD" w:rsidRDefault="00134DFD" w:rsidP="00040399">
            <w:pPr>
              <w:rPr>
                <w:rFonts w:ascii="Times New Roman" w:hAnsi="Times New Roman" w:cs="Times New Roman"/>
              </w:rPr>
            </w:pPr>
          </w:p>
          <w:p w:rsidR="00134DFD" w:rsidRDefault="00134DFD" w:rsidP="00040399">
            <w:pPr>
              <w:rPr>
                <w:rFonts w:ascii="Times New Roman" w:hAnsi="Times New Roman" w:cs="Times New Roman"/>
              </w:rPr>
            </w:pPr>
          </w:p>
          <w:p w:rsidR="00134DFD" w:rsidRDefault="00134DFD" w:rsidP="00040399">
            <w:pPr>
              <w:rPr>
                <w:rFonts w:ascii="Times New Roman" w:hAnsi="Times New Roman" w:cs="Times New Roman"/>
              </w:rPr>
            </w:pPr>
          </w:p>
        </w:tc>
        <w:tc>
          <w:tcPr>
            <w:tcW w:w="2149" w:type="dxa"/>
          </w:tcPr>
          <w:p w:rsidR="00134DFD" w:rsidRDefault="00134DFD" w:rsidP="00040399">
            <w:pPr>
              <w:rPr>
                <w:rFonts w:ascii="Times New Roman" w:hAnsi="Times New Roman" w:cs="Times New Roman"/>
              </w:rPr>
            </w:pPr>
            <w:r>
              <w:rPr>
                <w:rFonts w:ascii="Times New Roman" w:hAnsi="Times New Roman" w:cs="Times New Roman"/>
              </w:rPr>
              <w:t xml:space="preserve">Relief of OA and RA. </w:t>
            </w:r>
          </w:p>
          <w:p w:rsidR="00134DFD" w:rsidRPr="003B41A1" w:rsidRDefault="00134DFD" w:rsidP="00040399">
            <w:pPr>
              <w:rPr>
                <w:rFonts w:ascii="Times New Roman" w:hAnsi="Times New Roman" w:cs="Times New Roman"/>
              </w:rPr>
            </w:pPr>
            <w:r>
              <w:rPr>
                <w:rFonts w:ascii="Times New Roman" w:hAnsi="Times New Roman" w:cs="Times New Roman"/>
              </w:rPr>
              <w:t>Analgesic</w:t>
            </w:r>
          </w:p>
        </w:tc>
        <w:tc>
          <w:tcPr>
            <w:tcW w:w="1890" w:type="dxa"/>
          </w:tcPr>
          <w:p w:rsidR="00134DFD" w:rsidRPr="003B41A1" w:rsidRDefault="00134DFD" w:rsidP="00040399">
            <w:pPr>
              <w:rPr>
                <w:rFonts w:ascii="Times New Roman" w:hAnsi="Times New Roman" w:cs="Times New Roman"/>
              </w:rPr>
            </w:pPr>
            <w:r>
              <w:rPr>
                <w:rFonts w:ascii="Times New Roman" w:hAnsi="Times New Roman" w:cs="Times New Roman"/>
              </w:rPr>
              <w:t xml:space="preserve">GI bleed, </w:t>
            </w:r>
            <w:proofErr w:type="spellStart"/>
            <w:r>
              <w:rPr>
                <w:rFonts w:ascii="Times New Roman" w:hAnsi="Times New Roman" w:cs="Times New Roman"/>
              </w:rPr>
              <w:t>exfoliative</w:t>
            </w:r>
            <w:proofErr w:type="spellEnd"/>
            <w:r>
              <w:rPr>
                <w:rFonts w:ascii="Times New Roman" w:hAnsi="Times New Roman" w:cs="Times New Roman"/>
              </w:rPr>
              <w:t xml:space="preserve"> dermatitis, &amp; additional dermatology issues.</w:t>
            </w:r>
          </w:p>
        </w:tc>
        <w:tc>
          <w:tcPr>
            <w:tcW w:w="1870" w:type="dxa"/>
          </w:tcPr>
          <w:p w:rsidR="00134DFD" w:rsidRPr="003B41A1" w:rsidRDefault="00134DFD" w:rsidP="00134DFD">
            <w:pPr>
              <w:rPr>
                <w:rFonts w:ascii="Times New Roman" w:hAnsi="Times New Roman" w:cs="Times New Roman"/>
              </w:rPr>
            </w:pPr>
            <w:r>
              <w:rPr>
                <w:rFonts w:ascii="Times New Roman" w:hAnsi="Times New Roman" w:cs="Times New Roman"/>
              </w:rPr>
              <w:t xml:space="preserve">Signs of GI –  bleeding, abdominal pain, &amp; skin reactions-notify MD immediately </w:t>
            </w:r>
          </w:p>
        </w:tc>
      </w:tr>
    </w:tbl>
    <w:p w:rsidR="00612E4D" w:rsidRDefault="00612E4D" w:rsidP="002B39CE">
      <w:pPr>
        <w:spacing w:after="0" w:line="480" w:lineRule="auto"/>
        <w:rPr>
          <w:rFonts w:ascii="Arial" w:hAnsi="Arial" w:cs="Arial"/>
          <w:b/>
          <w:sz w:val="24"/>
          <w:szCs w:val="24"/>
        </w:rPr>
      </w:pPr>
    </w:p>
    <w:p w:rsidR="002B796D" w:rsidRDefault="002B796D" w:rsidP="002B39CE">
      <w:pPr>
        <w:spacing w:after="0" w:line="480" w:lineRule="auto"/>
        <w:rPr>
          <w:rFonts w:ascii="Arial" w:hAnsi="Arial" w:cs="Arial"/>
          <w:b/>
          <w:sz w:val="24"/>
          <w:szCs w:val="24"/>
        </w:rPr>
      </w:pPr>
      <w:r>
        <w:rPr>
          <w:rFonts w:ascii="Arial" w:hAnsi="Arial" w:cs="Arial"/>
          <w:b/>
          <w:sz w:val="24"/>
          <w:szCs w:val="24"/>
        </w:rPr>
        <w:t>Exam procedures/ Special Tests</w:t>
      </w:r>
    </w:p>
    <w:p w:rsidR="00757506" w:rsidRPr="00757506" w:rsidRDefault="00757506" w:rsidP="00757506">
      <w:pPr>
        <w:spacing w:after="0" w:line="480" w:lineRule="auto"/>
        <w:rPr>
          <w:rFonts w:ascii="Arial" w:hAnsi="Arial" w:cs="Arial"/>
          <w:sz w:val="24"/>
          <w:szCs w:val="24"/>
        </w:rPr>
      </w:pPr>
      <w:r w:rsidRPr="00407119">
        <w:rPr>
          <w:rFonts w:ascii="Arial" w:hAnsi="Arial" w:cs="Arial"/>
          <w:sz w:val="24"/>
          <w:szCs w:val="24"/>
          <w:u w:val="single"/>
        </w:rPr>
        <w:t>Flexibility</w:t>
      </w:r>
      <w:r w:rsidRPr="00757506">
        <w:rPr>
          <w:rFonts w:ascii="Arial" w:hAnsi="Arial" w:cs="Arial"/>
          <w:sz w:val="24"/>
          <w:szCs w:val="24"/>
        </w:rPr>
        <w:t xml:space="preserve"> (spinal mobility) to identify any restrictions and directional preference.</w:t>
      </w:r>
    </w:p>
    <w:p w:rsidR="00407119" w:rsidRDefault="00407119" w:rsidP="00407119">
      <w:pPr>
        <w:pStyle w:val="ListParagraph"/>
        <w:numPr>
          <w:ilvl w:val="0"/>
          <w:numId w:val="2"/>
        </w:numPr>
        <w:spacing w:after="0" w:line="480" w:lineRule="auto"/>
        <w:rPr>
          <w:rFonts w:ascii="Arial" w:hAnsi="Arial" w:cs="Arial"/>
          <w:sz w:val="24"/>
          <w:szCs w:val="24"/>
        </w:rPr>
      </w:pPr>
      <w:r>
        <w:rPr>
          <w:rFonts w:ascii="Arial" w:hAnsi="Arial" w:cs="Arial"/>
          <w:sz w:val="24"/>
          <w:szCs w:val="24"/>
        </w:rPr>
        <w:t>Note restrictions and degrees or % limitation and pain reports, which indicate positive test.</w:t>
      </w:r>
    </w:p>
    <w:p w:rsidR="00757506" w:rsidRDefault="00407119" w:rsidP="00757506">
      <w:pPr>
        <w:pStyle w:val="ListParagraph"/>
        <w:numPr>
          <w:ilvl w:val="0"/>
          <w:numId w:val="2"/>
        </w:numPr>
        <w:spacing w:after="0" w:line="480" w:lineRule="auto"/>
        <w:rPr>
          <w:rFonts w:ascii="Arial" w:hAnsi="Arial" w:cs="Arial"/>
          <w:sz w:val="24"/>
          <w:szCs w:val="24"/>
        </w:rPr>
      </w:pPr>
      <w:r>
        <w:rPr>
          <w:rFonts w:ascii="Arial" w:hAnsi="Arial" w:cs="Arial"/>
          <w:sz w:val="24"/>
          <w:szCs w:val="24"/>
        </w:rPr>
        <w:t>Begin with cervical then thoracic spine AROM and PROM for flexion, extension, side-bending, and rotation.</w:t>
      </w:r>
    </w:p>
    <w:p w:rsidR="00407119" w:rsidRDefault="00407119" w:rsidP="00757506">
      <w:pPr>
        <w:pStyle w:val="ListParagraph"/>
        <w:numPr>
          <w:ilvl w:val="0"/>
          <w:numId w:val="2"/>
        </w:numPr>
        <w:spacing w:after="0" w:line="480" w:lineRule="auto"/>
        <w:rPr>
          <w:rFonts w:ascii="Arial" w:hAnsi="Arial" w:cs="Arial"/>
          <w:sz w:val="24"/>
          <w:szCs w:val="24"/>
        </w:rPr>
      </w:pPr>
      <w:r>
        <w:rPr>
          <w:rFonts w:ascii="Arial" w:hAnsi="Arial" w:cs="Arial"/>
          <w:sz w:val="24"/>
          <w:szCs w:val="24"/>
        </w:rPr>
        <w:t xml:space="preserve">Add resisted testing with isometric contractions to all movements. </w:t>
      </w:r>
    </w:p>
    <w:p w:rsidR="00407119" w:rsidRPr="00757506" w:rsidRDefault="00407119" w:rsidP="00757506">
      <w:pPr>
        <w:pStyle w:val="ListParagraph"/>
        <w:numPr>
          <w:ilvl w:val="0"/>
          <w:numId w:val="2"/>
        </w:numPr>
        <w:spacing w:after="0" w:line="480" w:lineRule="auto"/>
        <w:rPr>
          <w:rFonts w:ascii="Arial" w:hAnsi="Arial" w:cs="Arial"/>
          <w:sz w:val="24"/>
          <w:szCs w:val="24"/>
        </w:rPr>
      </w:pPr>
      <w:r>
        <w:rPr>
          <w:rFonts w:ascii="Arial" w:hAnsi="Arial" w:cs="Arial"/>
          <w:sz w:val="24"/>
          <w:szCs w:val="24"/>
        </w:rPr>
        <w:t>Add palpation and Passive Accessory Intervertebral Motion (PAIVM) – central PA mobilizations, and unilateral for rotation for thoracic spine.</w:t>
      </w:r>
    </w:p>
    <w:p w:rsidR="002B796D" w:rsidRDefault="00407119" w:rsidP="002B39CE">
      <w:pPr>
        <w:spacing w:after="0" w:line="480" w:lineRule="auto"/>
        <w:rPr>
          <w:rFonts w:ascii="Arial" w:hAnsi="Arial" w:cs="Arial"/>
          <w:sz w:val="24"/>
          <w:szCs w:val="24"/>
        </w:rPr>
      </w:pPr>
      <w:r w:rsidRPr="00407119">
        <w:rPr>
          <w:rFonts w:ascii="Arial" w:hAnsi="Arial" w:cs="Arial"/>
          <w:sz w:val="24"/>
          <w:szCs w:val="24"/>
          <w:u w:val="single"/>
        </w:rPr>
        <w:lastRenderedPageBreak/>
        <w:t>Neurological</w:t>
      </w:r>
      <w:r w:rsidR="002B796D">
        <w:rPr>
          <w:rFonts w:ascii="Arial" w:hAnsi="Arial" w:cs="Arial"/>
          <w:sz w:val="24"/>
          <w:szCs w:val="24"/>
        </w:rPr>
        <w:t xml:space="preserve"> </w:t>
      </w:r>
      <w:r w:rsidR="003A351D">
        <w:rPr>
          <w:rFonts w:ascii="Arial" w:hAnsi="Arial" w:cs="Arial"/>
          <w:sz w:val="24"/>
          <w:szCs w:val="24"/>
        </w:rPr>
        <w:t xml:space="preserve">special tests </w:t>
      </w:r>
      <w:r w:rsidR="00364299">
        <w:rPr>
          <w:rFonts w:ascii="Arial" w:hAnsi="Arial" w:cs="Arial"/>
          <w:sz w:val="24"/>
          <w:szCs w:val="24"/>
        </w:rPr>
        <w:t>to identify nature of leg pain.</w:t>
      </w:r>
      <w:r w:rsidR="003A351D">
        <w:rPr>
          <w:rFonts w:ascii="Arial" w:hAnsi="Arial" w:cs="Arial"/>
          <w:sz w:val="24"/>
          <w:szCs w:val="24"/>
        </w:rPr>
        <w:t xml:space="preserve"> I am expecting a positive test from one or more neuro special tests with her leg pain presentation and description.</w:t>
      </w:r>
    </w:p>
    <w:p w:rsidR="003A351D" w:rsidRDefault="003A351D" w:rsidP="003A351D">
      <w:pPr>
        <w:pStyle w:val="ListParagraph"/>
        <w:numPr>
          <w:ilvl w:val="0"/>
          <w:numId w:val="1"/>
        </w:numPr>
        <w:spacing w:after="0" w:line="480" w:lineRule="auto"/>
        <w:rPr>
          <w:rFonts w:ascii="Arial" w:hAnsi="Arial" w:cs="Arial"/>
          <w:sz w:val="24"/>
          <w:szCs w:val="24"/>
        </w:rPr>
      </w:pPr>
      <w:r w:rsidRPr="003A351D">
        <w:rPr>
          <w:rFonts w:ascii="Arial" w:hAnsi="Arial" w:cs="Arial"/>
          <w:sz w:val="24"/>
          <w:szCs w:val="24"/>
        </w:rPr>
        <w:t>Functional myotome testing, heel walk (L4) and toe walk (S1-2)</w:t>
      </w:r>
      <w:r>
        <w:rPr>
          <w:rFonts w:ascii="Arial" w:hAnsi="Arial" w:cs="Arial"/>
          <w:sz w:val="24"/>
          <w:szCs w:val="24"/>
        </w:rPr>
        <w:t>. Ask Patricia to walk on heels then on toes for 10s. Positive test is weakness, compensation, or inability to complete the tests, and indicated L4 or S1-2 involvement</w:t>
      </w:r>
    </w:p>
    <w:p w:rsidR="003A351D" w:rsidRDefault="003A351D" w:rsidP="003A351D">
      <w:pPr>
        <w:pStyle w:val="ListParagraph"/>
        <w:numPr>
          <w:ilvl w:val="0"/>
          <w:numId w:val="1"/>
        </w:numPr>
        <w:spacing w:after="0" w:line="480" w:lineRule="auto"/>
        <w:rPr>
          <w:rFonts w:ascii="Arial" w:hAnsi="Arial" w:cs="Arial"/>
          <w:sz w:val="24"/>
          <w:szCs w:val="24"/>
        </w:rPr>
      </w:pPr>
      <w:r>
        <w:rPr>
          <w:rFonts w:ascii="Arial" w:hAnsi="Arial" w:cs="Arial"/>
          <w:sz w:val="24"/>
          <w:szCs w:val="24"/>
        </w:rPr>
        <w:t>Slump test, dural mobility of L4-S3. Seated edge of table, ask Patricia to slump upper chest forward with over-pressure. If no increase in pain, flex neck with over-pressure. If no pain, passively extend knee. If no pain, passively dorsiflex foot. Positive if pain on any position with relief on head lift (extension). Pain may be relieved or worsen with head movement.</w:t>
      </w:r>
    </w:p>
    <w:p w:rsidR="003A351D" w:rsidRPr="003A351D" w:rsidRDefault="003A351D" w:rsidP="003A351D">
      <w:pPr>
        <w:pStyle w:val="ListParagraph"/>
        <w:numPr>
          <w:ilvl w:val="0"/>
          <w:numId w:val="1"/>
        </w:numPr>
        <w:spacing w:after="0" w:line="480" w:lineRule="auto"/>
        <w:rPr>
          <w:rFonts w:ascii="Arial" w:hAnsi="Arial" w:cs="Arial"/>
          <w:sz w:val="24"/>
          <w:szCs w:val="24"/>
        </w:rPr>
      </w:pPr>
      <w:r>
        <w:rPr>
          <w:rFonts w:ascii="Arial" w:hAnsi="Arial" w:cs="Arial"/>
          <w:sz w:val="24"/>
          <w:szCs w:val="24"/>
        </w:rPr>
        <w:t>Straight leg raise. Test sciatic nerve, mechanical movement of neural tissue and sensitivity to stress or compression. Ask Patricia to lie supine, passively raise her straight leg (slightly adducted and medially rotated). Stop when she complains of pain or tightness in back of leg, then slightly lower leg until relief. Then passively dorsiflex her foot and/ or flex neck. Several positives: Reproduction of pain in 35-70 degrees flex range; Reproduction of pain with dorsiflexion; Reproduction of pain with neck flexion.</w:t>
      </w:r>
    </w:p>
    <w:p w:rsidR="006114F4" w:rsidRDefault="00407119" w:rsidP="002B39CE">
      <w:pPr>
        <w:spacing w:after="0" w:line="480" w:lineRule="auto"/>
        <w:rPr>
          <w:rFonts w:ascii="Arial" w:hAnsi="Arial" w:cs="Arial"/>
          <w:sz w:val="24"/>
          <w:szCs w:val="24"/>
        </w:rPr>
      </w:pPr>
      <w:r w:rsidRPr="00407119">
        <w:rPr>
          <w:rFonts w:ascii="Arial" w:hAnsi="Arial" w:cs="Arial"/>
          <w:sz w:val="24"/>
          <w:szCs w:val="24"/>
          <w:u w:val="single"/>
        </w:rPr>
        <w:t>Psych</w:t>
      </w:r>
      <w:r w:rsidR="0020532B" w:rsidRPr="00407119">
        <w:rPr>
          <w:rFonts w:ascii="Arial" w:hAnsi="Arial" w:cs="Arial"/>
          <w:sz w:val="24"/>
          <w:szCs w:val="24"/>
          <w:u w:val="single"/>
        </w:rPr>
        <w:t>o</w:t>
      </w:r>
      <w:r w:rsidRPr="00407119">
        <w:rPr>
          <w:rFonts w:ascii="Arial" w:hAnsi="Arial" w:cs="Arial"/>
          <w:sz w:val="24"/>
          <w:szCs w:val="24"/>
          <w:u w:val="single"/>
        </w:rPr>
        <w:t>social</w:t>
      </w:r>
      <w:r>
        <w:rPr>
          <w:rFonts w:ascii="Arial" w:hAnsi="Arial" w:cs="Arial"/>
          <w:sz w:val="24"/>
          <w:szCs w:val="24"/>
        </w:rPr>
        <w:t xml:space="preserve"> assessment to identify </w:t>
      </w:r>
      <w:r w:rsidR="00146EFB">
        <w:rPr>
          <w:rFonts w:ascii="Arial" w:hAnsi="Arial" w:cs="Arial"/>
          <w:sz w:val="24"/>
          <w:szCs w:val="24"/>
        </w:rPr>
        <w:t>potential</w:t>
      </w:r>
      <w:r>
        <w:rPr>
          <w:rFonts w:ascii="Arial" w:hAnsi="Arial" w:cs="Arial"/>
          <w:sz w:val="24"/>
          <w:szCs w:val="24"/>
        </w:rPr>
        <w:t xml:space="preserve"> referral opportunities or determine </w:t>
      </w:r>
      <w:r w:rsidR="006114F4">
        <w:rPr>
          <w:rFonts w:ascii="Arial" w:hAnsi="Arial" w:cs="Arial"/>
          <w:sz w:val="24"/>
          <w:szCs w:val="24"/>
        </w:rPr>
        <w:t>likelihood of fear or catastrophizing component of Patricia’s pain experience, whether there is an error in central nervous system processing. Often patient education on pain neuromatrix and application of graded physical activity and biofeedback may help a patient like Patricia, if appropriate, learn to manage her pain symptomology.</w:t>
      </w:r>
      <w:r w:rsidR="006114F4">
        <w:rPr>
          <w:rFonts w:ascii="Arial" w:hAnsi="Arial" w:cs="Arial"/>
          <w:sz w:val="24"/>
          <w:szCs w:val="24"/>
        </w:rPr>
        <w:fldChar w:fldCharType="begin"/>
      </w:r>
      <w:r w:rsidR="009C5736">
        <w:rPr>
          <w:rFonts w:ascii="Arial" w:hAnsi="Arial" w:cs="Arial"/>
          <w:sz w:val="24"/>
          <w:szCs w:val="24"/>
        </w:rPr>
        <w:instrText>ADDIN F1000_CSL_CITATION&lt;~#@#~&gt;[{"title":"Embedding psychosocial perspectives within clinical management of low back pain: integration of psychosocially informed management principles into physical therapist practice--challenges and opportunities.","id":"4999270","page":"790-803","type":"article-journal","volume":"91","issue":"5","author":[{"family":"Foster","given":"Nadine E"},{"family":"Delitto","given":"Anthony"}],"issued":{"date-parts":[["2011","5"]]},"container-title":"Physical Therapy","container-title-short":"Phys. Ther.","journalAbbreviation":"Phys. Ther.","DOI":"10.2522/ptj.20100326","PMID":"21451095","citation-label":"4999270","Abstract":"As the biopsychosocial model of health has become increasingly understood, it has become clear that there are complex, interdependent relationships between the physical and biomedical features of low back pain and the psychological and social factors that present concomitantly. Epidemiological studies have not only highlighted that psychological and social factors are associated with back pain and disability but also have shed light on the way in which these factors serve as prognostic indicators, or obstacles to recovery, predicting which patients will have a poor prognosis. Integrating the assessment of these obstacles to recovery into physical therapist practice and using this information to guide clinical decision making have the potential to improve the quality of care offered by physical therapists by improving the targeting of treatments to individuals and enhancing the therapist-patient relationship and adherence to management advice and treatment programs. In turn, such approaches may improve both patients' clinical outcomes and the efficiency and effectiveness of service provision, helping direct interventions to those who need them. This article summarizes the key challenges to embedding psychosocial perspectives within physical therapist practice for patients with low back pain and the opportunities that could be realized by doing so, and it highlights new developments in research, clinical practice, and education that are shaping future directions in this field.","CleanAbstract":"As the biopsychosocial model of health has become increasingly understood, it has become clear that there are complex, interdependent relationships between the physical and biomedical features of low back pain and the psychological and social factors that present concomitantly. Epidemiological studies have not only highlighted that psychological and social factors are associated with back pain and disability but also have shed light on the way in which these factors serve as prognostic indicators, or obstacles to recovery, predicting which patients will have a poor prognosis. Integrating the assessment of these obstacles to recovery into physical therapist practice and using this information to guide clinical decision making have the potential to improve the quality of care offered by physical therapists by improving the targeting of treatments to individuals and enhancing the therapist-patient relationship and adherence to management advice and treatment programs. In turn, such approaches may improve both patients' clinical outcomes and the efficiency and effectiveness of service provision, helping direct interventions to those who need them. This article summarizes the key challenges to embedding psychosocial perspectives within physical therapist practice for patients with low back pain and the opportunities that could be realized by doing so, and it highlights new developments in research, clinical practice, and education that are shaping future directions in this field."},{"title":"How to explain central sensitization to patients with 'unexplained' chronic musculoskeletal pain: practice guidelines.","id":"1947295","page":"413-418","type":"article-journal","volume":"16","issue":"5","author":[{"family":"Nijs","given":"Jo"},{"family":"Paul van Wilgen","given":"C"},{"family":"Van Oosterwijck","given":"Jessica"},{"family":"van Ittersum","given":"Miriam"},{"family":"Meeus","given":"Mira"}],"issued":{"date-parts":[["2011","10"]]},"container-title":"Manual Therapy","container-title-short":"Man. Ther.","journalAbbreviation":"Man. Ther.","DOI":"10.1016/j.math.2011.04.005","PMID":"21632273","citation-label":"1947295","Abstract":"Central sensitization provides an evidence-based explanation for many cases of 'unexplained' chronic musculoskeletal pain. Prior to commencing rehabilitation in such cases, it is crucial to change maladaptive illness perceptions, to alter maladaptive pain cognitions and to reconceptualise pain. This can be accomplished by patient education about central sensitization and its role in chronic pain, a strategy known as pain physiology education. Pain physiology education is indicated when: 1) the clinical picture is characterized and dominated by central sensitization; and 2) maladaptive illness perceptions are present. Both are prerequisites for commencing pain physiology education. Face-to-face sessions of pain physiology education, in conjunction with written educational material, are effective for changing pain cognitions and improving health status in patients with various chronic musculoskeletal pain disorders. These include patients with chronic low back pain, chronic whiplash, fibromyalgia and chronic fatigue syndrome. After biopsychosocial assessment pain physiology education comprises of a first face-to-face session explaining basic pain physiology and contrasting acute nociception versus chronic pain (Session 1). Written information about pain physiology should be provided as homework in between session 1 and 2. The second session can be used to correct misunderstandings, and to facilitate the transition from knowledge to adaptive pain coping during daily life. Pain physiology education is a continuous process initiated during the educational sessions and continued within both the active treatment and during the longer term rehabilitation program.&lt;br&gt;&lt;br&gt;Copyright © 2011 Elsevier Ltd. All rights reserved.","CleanAbstract":"Central sensitization provides an evidence-based explanation for many cases of 'unexplained' chronic musculoskeletal pain. Prior to commencing rehabilitation in such cases, it is crucial to change maladaptive illness perceptions, to alter maladaptive pain cognitions and to reconceptualise pain. This can be accomplished by patient education about central sensitization and its role in chronic pain, a strategy known as pain physiology education. Pain physiology education is indicated when: 1) the clinical picture is characterized and dominated by central sensitization; and 2) maladaptive illness perceptions are present. Both are prerequisites for commencing pain physiology education. Face-to-face sessions of pain physiology education, in conjunction with written educational material, are effective for changing pain cognitions and improving health status in patients with various chronic musculoskeletal pain disorders. These include patients with chronic low back pain, chronic whiplash, fibromyalgia and chronic fatigue syndrome. After biopsychosocial assessment pain physiology education comprises of a first face-to-face session explaining basic pain physiology and contrasting acute nociception versus chronic pain (Session 1). Written information about pain physiology should be provided as homework in between session 1 and 2. The second session can be used to correct misunderstandings, and to facilitate the transition from knowledge to adaptive pain coping during daily life. Pain physiology education is a continuous process initiated during the educational sessions and continued within both the active treatment and during the longer term rehabilitation program.Copyright © 2011 Elsevier Ltd. All rights reserved."}]</w:instrText>
      </w:r>
      <w:r w:rsidR="006114F4">
        <w:rPr>
          <w:rFonts w:ascii="Arial" w:hAnsi="Arial" w:cs="Arial"/>
          <w:sz w:val="24"/>
          <w:szCs w:val="24"/>
        </w:rPr>
        <w:fldChar w:fldCharType="separate"/>
      </w:r>
      <w:r w:rsidR="009C5736" w:rsidRPr="009C5736">
        <w:rPr>
          <w:rFonts w:ascii="Arial" w:hAnsi="Arial" w:cs="Arial"/>
          <w:sz w:val="24"/>
          <w:szCs w:val="24"/>
          <w:vertAlign w:val="superscript"/>
        </w:rPr>
        <w:t>8,9</w:t>
      </w:r>
      <w:r w:rsidR="006114F4">
        <w:rPr>
          <w:rFonts w:ascii="Arial" w:hAnsi="Arial" w:cs="Arial"/>
          <w:sz w:val="24"/>
          <w:szCs w:val="24"/>
        </w:rPr>
        <w:fldChar w:fldCharType="end"/>
      </w:r>
    </w:p>
    <w:p w:rsidR="0020532B" w:rsidRPr="006114F4" w:rsidRDefault="006114F4" w:rsidP="006114F4">
      <w:pPr>
        <w:pStyle w:val="ListParagraph"/>
        <w:numPr>
          <w:ilvl w:val="1"/>
          <w:numId w:val="2"/>
        </w:numPr>
        <w:spacing w:after="0" w:line="480" w:lineRule="auto"/>
        <w:rPr>
          <w:rFonts w:ascii="Arial" w:hAnsi="Arial" w:cs="Arial"/>
          <w:sz w:val="24"/>
          <w:szCs w:val="24"/>
        </w:rPr>
      </w:pPr>
      <w:r w:rsidRPr="006114F4">
        <w:rPr>
          <w:rFonts w:ascii="Arial" w:hAnsi="Arial" w:cs="Arial"/>
          <w:sz w:val="24"/>
          <w:szCs w:val="24"/>
        </w:rPr>
        <w:lastRenderedPageBreak/>
        <w:t>Fear Avoidance Behavior Questionnaire (FABQ)</w:t>
      </w:r>
      <w:r>
        <w:rPr>
          <w:rFonts w:ascii="Arial" w:hAnsi="Arial" w:cs="Arial"/>
          <w:sz w:val="24"/>
          <w:szCs w:val="24"/>
        </w:rPr>
        <w:t xml:space="preserve">. </w:t>
      </w:r>
      <w:r w:rsidR="00A95FE5">
        <w:rPr>
          <w:rFonts w:ascii="Arial" w:hAnsi="Arial" w:cs="Arial"/>
          <w:sz w:val="24"/>
          <w:szCs w:val="24"/>
        </w:rPr>
        <w:t>For Patricia, a score of &gt;= 15/24 for FABQ (physical activity sub-scale) would indicate higher than average fear of activity.</w:t>
      </w:r>
      <w:r w:rsidR="006C7651">
        <w:rPr>
          <w:rFonts w:ascii="Arial" w:hAnsi="Arial" w:cs="Arial"/>
          <w:sz w:val="24"/>
          <w:szCs w:val="24"/>
        </w:rPr>
        <w:fldChar w:fldCharType="begin"/>
      </w:r>
      <w:r w:rsidR="009C5736">
        <w:rPr>
          <w:rFonts w:ascii="Arial" w:hAnsi="Arial" w:cs="Arial"/>
          <w:sz w:val="24"/>
          <w:szCs w:val="24"/>
        </w:rPr>
        <w:instrText>ADDIN F1000_CSL_CITATION&lt;~#@#~&gt;[{"title":"Fear-Avoidance Beliefs Questionnaire | Shirley Ryan AbilityLab - Formerly RIC","id":"5145564","type":"webpage","issued":{},"URL":"https://www.sralab.org/rehabilitation-measures/fear-avoidance-beliefs-questionnaire#back-pain","accessed":{"date-parts":[["2018","4","22"]]},"citation-label":"5145564"}]</w:instrText>
      </w:r>
      <w:r w:rsidR="006C7651">
        <w:rPr>
          <w:rFonts w:ascii="Arial" w:hAnsi="Arial" w:cs="Arial"/>
          <w:sz w:val="24"/>
          <w:szCs w:val="24"/>
        </w:rPr>
        <w:fldChar w:fldCharType="separate"/>
      </w:r>
      <w:r w:rsidR="009C5736" w:rsidRPr="009C5736">
        <w:rPr>
          <w:rFonts w:ascii="Arial" w:hAnsi="Arial" w:cs="Arial"/>
          <w:sz w:val="24"/>
          <w:szCs w:val="24"/>
          <w:vertAlign w:val="superscript"/>
        </w:rPr>
        <w:t>10</w:t>
      </w:r>
      <w:r w:rsidR="006C7651">
        <w:rPr>
          <w:rFonts w:ascii="Arial" w:hAnsi="Arial" w:cs="Arial"/>
          <w:sz w:val="24"/>
          <w:szCs w:val="24"/>
        </w:rPr>
        <w:fldChar w:fldCharType="end"/>
      </w:r>
      <w:r w:rsidR="006C7651">
        <w:rPr>
          <w:rFonts w:ascii="Arial" w:hAnsi="Arial" w:cs="Arial"/>
          <w:sz w:val="24"/>
          <w:szCs w:val="24"/>
        </w:rPr>
        <w:t xml:space="preserve"> </w:t>
      </w:r>
    </w:p>
    <w:p w:rsidR="00E80A28" w:rsidRDefault="00E80A28" w:rsidP="002B39CE">
      <w:pPr>
        <w:spacing w:after="0" w:line="480" w:lineRule="auto"/>
        <w:rPr>
          <w:rFonts w:ascii="Arial" w:hAnsi="Arial" w:cs="Arial"/>
          <w:b/>
          <w:sz w:val="24"/>
          <w:szCs w:val="24"/>
        </w:rPr>
      </w:pPr>
      <w:r>
        <w:rPr>
          <w:rFonts w:ascii="Arial" w:hAnsi="Arial" w:cs="Arial"/>
          <w:b/>
          <w:sz w:val="24"/>
          <w:szCs w:val="24"/>
        </w:rPr>
        <w:t>Outcome measures</w:t>
      </w:r>
    </w:p>
    <w:p w:rsidR="00E80A28" w:rsidRDefault="00E80A28" w:rsidP="002B39CE">
      <w:pPr>
        <w:spacing w:after="0" w:line="480" w:lineRule="auto"/>
        <w:rPr>
          <w:rFonts w:ascii="Arial" w:hAnsi="Arial" w:cs="Arial"/>
          <w:sz w:val="24"/>
          <w:szCs w:val="24"/>
        </w:rPr>
      </w:pPr>
      <w:r w:rsidRPr="006C7651">
        <w:rPr>
          <w:rFonts w:ascii="Arial" w:hAnsi="Arial" w:cs="Arial"/>
          <w:sz w:val="24"/>
          <w:szCs w:val="24"/>
        </w:rPr>
        <w:tab/>
      </w:r>
      <w:r w:rsidR="006C7651" w:rsidRPr="006C7651">
        <w:rPr>
          <w:rFonts w:ascii="Arial" w:hAnsi="Arial" w:cs="Arial"/>
          <w:sz w:val="24"/>
          <w:szCs w:val="24"/>
        </w:rPr>
        <w:t>Oswestry Disability Index</w:t>
      </w:r>
      <w:r w:rsidR="006C7651">
        <w:rPr>
          <w:rFonts w:ascii="Arial" w:hAnsi="Arial" w:cs="Arial"/>
          <w:b/>
          <w:sz w:val="24"/>
          <w:szCs w:val="24"/>
        </w:rPr>
        <w:t xml:space="preserve"> </w:t>
      </w:r>
      <w:r w:rsidR="006C7651">
        <w:rPr>
          <w:rFonts w:ascii="Arial" w:hAnsi="Arial" w:cs="Arial"/>
          <w:sz w:val="24"/>
          <w:szCs w:val="24"/>
        </w:rPr>
        <w:t>(</w:t>
      </w:r>
      <w:r>
        <w:rPr>
          <w:rFonts w:ascii="Arial" w:hAnsi="Arial" w:cs="Arial"/>
          <w:sz w:val="24"/>
          <w:szCs w:val="24"/>
        </w:rPr>
        <w:t>ODI</w:t>
      </w:r>
      <w:r w:rsidR="006C7651">
        <w:rPr>
          <w:rFonts w:ascii="Arial" w:hAnsi="Arial" w:cs="Arial"/>
          <w:sz w:val="24"/>
          <w:szCs w:val="24"/>
        </w:rPr>
        <w:t xml:space="preserve">) – </w:t>
      </w:r>
      <w:r w:rsidR="006D3C5D">
        <w:rPr>
          <w:rFonts w:ascii="Arial" w:hAnsi="Arial" w:cs="Arial"/>
          <w:sz w:val="24"/>
          <w:szCs w:val="24"/>
        </w:rPr>
        <w:t>Validated</w:t>
      </w:r>
      <w:r w:rsidR="006C7651">
        <w:rPr>
          <w:rFonts w:ascii="Arial" w:hAnsi="Arial" w:cs="Arial"/>
          <w:sz w:val="24"/>
          <w:szCs w:val="24"/>
        </w:rPr>
        <w:t xml:space="preserve"> pain disability measure of activities of daily living. </w:t>
      </w:r>
      <w:r w:rsidR="00982A97">
        <w:rPr>
          <w:rFonts w:ascii="Arial" w:hAnsi="Arial" w:cs="Arial"/>
          <w:sz w:val="24"/>
          <w:szCs w:val="24"/>
        </w:rPr>
        <w:t>The scoring ranges from “minimal disability” (0-20%) through “crippled” (61-80%). Above 80% is rated “the patient is either bed bound or exaggerating their symptoms.”</w:t>
      </w:r>
      <w:r w:rsidR="00982A97">
        <w:rPr>
          <w:rFonts w:ascii="Arial" w:hAnsi="Arial" w:cs="Arial"/>
          <w:sz w:val="24"/>
          <w:szCs w:val="24"/>
        </w:rPr>
        <w:fldChar w:fldCharType="begin"/>
      </w:r>
      <w:r w:rsidR="009C5736">
        <w:rPr>
          <w:rFonts w:ascii="Arial" w:hAnsi="Arial" w:cs="Arial"/>
          <w:sz w:val="24"/>
          <w:szCs w:val="24"/>
        </w:rPr>
        <w:instrText>ADDIN F1000_CSL_CITATION&lt;~#@#~&gt;[{"title":"Oswestry Disability Index","id":"5145606","type":"webpage","author":[{"family":"Cole, SPT","given":"Spencer"},{"family":"Dickey, SPT","given":"Sarah"},{"family":"Godfrey, SPT","given":"Jess"}],"issued":{"date-parts":[["2013","7"]]},"URL":"https://www.sralab.org/rehabilitation-measures/oswestry-disability-index","accessed":{"date-parts":[["2018","4","22"]]},"container-title":"Shirley Ryan Ability Lab","citation-label":"5145606"}]</w:instrText>
      </w:r>
      <w:r w:rsidR="00982A97">
        <w:rPr>
          <w:rFonts w:ascii="Arial" w:hAnsi="Arial" w:cs="Arial"/>
          <w:sz w:val="24"/>
          <w:szCs w:val="24"/>
        </w:rPr>
        <w:fldChar w:fldCharType="separate"/>
      </w:r>
      <w:r w:rsidR="009C5736" w:rsidRPr="009C5736">
        <w:rPr>
          <w:rFonts w:ascii="Arial" w:hAnsi="Arial" w:cs="Arial"/>
          <w:sz w:val="24"/>
          <w:szCs w:val="24"/>
          <w:vertAlign w:val="superscript"/>
        </w:rPr>
        <w:t>11</w:t>
      </w:r>
      <w:r w:rsidR="00982A97">
        <w:rPr>
          <w:rFonts w:ascii="Arial" w:hAnsi="Arial" w:cs="Arial"/>
          <w:sz w:val="24"/>
          <w:szCs w:val="24"/>
        </w:rPr>
        <w:fldChar w:fldCharType="end"/>
      </w:r>
    </w:p>
    <w:p w:rsidR="00E80A28" w:rsidRDefault="00E80A28" w:rsidP="006D3C5D">
      <w:pPr>
        <w:spacing w:after="0" w:line="480" w:lineRule="auto"/>
        <w:rPr>
          <w:rFonts w:ascii="Arial" w:hAnsi="Arial" w:cs="Arial"/>
          <w:sz w:val="24"/>
          <w:szCs w:val="24"/>
        </w:rPr>
      </w:pPr>
      <w:r>
        <w:rPr>
          <w:rFonts w:ascii="Arial" w:hAnsi="Arial" w:cs="Arial"/>
          <w:sz w:val="24"/>
          <w:szCs w:val="24"/>
        </w:rPr>
        <w:tab/>
      </w:r>
      <w:r w:rsidR="006D3C5D">
        <w:rPr>
          <w:rFonts w:ascii="Arial" w:hAnsi="Arial" w:cs="Arial"/>
          <w:sz w:val="24"/>
          <w:szCs w:val="24"/>
        </w:rPr>
        <w:t xml:space="preserve">Numeric Rating Scale (NRS) </w:t>
      </w:r>
      <w:r w:rsidR="003A6BEE">
        <w:rPr>
          <w:rFonts w:ascii="Arial" w:hAnsi="Arial" w:cs="Arial"/>
          <w:sz w:val="24"/>
          <w:szCs w:val="24"/>
        </w:rPr>
        <w:t>–</w:t>
      </w:r>
      <w:r w:rsidR="006D3C5D">
        <w:rPr>
          <w:rFonts w:ascii="Arial" w:hAnsi="Arial" w:cs="Arial"/>
          <w:sz w:val="24"/>
          <w:szCs w:val="24"/>
        </w:rPr>
        <w:t xml:space="preserve"> </w:t>
      </w:r>
      <w:r w:rsidR="003A6BEE">
        <w:rPr>
          <w:rFonts w:ascii="Arial" w:hAnsi="Arial" w:cs="Arial"/>
          <w:sz w:val="24"/>
          <w:szCs w:val="24"/>
        </w:rPr>
        <w:t>Similar to the VAS, this is a simple subjective rating of pain from 0 – 11 (no pain to worst pain imaginable). According to Physiopedia.com, an improvement (decrease) in numeric rating of 2 or more represents a significant improvement.</w:t>
      </w:r>
      <w:r w:rsidR="003A6BEE">
        <w:rPr>
          <w:rFonts w:ascii="Arial" w:hAnsi="Arial" w:cs="Arial"/>
          <w:sz w:val="24"/>
          <w:szCs w:val="24"/>
        </w:rPr>
        <w:fldChar w:fldCharType="begin"/>
      </w:r>
      <w:r w:rsidR="009C5736">
        <w:rPr>
          <w:rFonts w:ascii="Arial" w:hAnsi="Arial" w:cs="Arial"/>
          <w:sz w:val="24"/>
          <w:szCs w:val="24"/>
        </w:rPr>
        <w:instrText>ADDIN F1000_CSL_CITATION&lt;~#@#~&gt;[{"title":"Numeric Pain Rating Scale - Physiopedia","id":"5145653","type":"webpage","issued":{},"URL":"https://www.physio-pedia.com/Numeric_Pain_Rating_Scale","accessed":{"date-parts":[["2018","4","22"]]},"citation-label":"5145653"}]</w:instrText>
      </w:r>
      <w:r w:rsidR="003A6BEE">
        <w:rPr>
          <w:rFonts w:ascii="Arial" w:hAnsi="Arial" w:cs="Arial"/>
          <w:sz w:val="24"/>
          <w:szCs w:val="24"/>
        </w:rPr>
        <w:fldChar w:fldCharType="separate"/>
      </w:r>
      <w:r w:rsidR="009C5736" w:rsidRPr="009C5736">
        <w:rPr>
          <w:rFonts w:ascii="Arial" w:hAnsi="Arial" w:cs="Arial"/>
          <w:sz w:val="24"/>
          <w:szCs w:val="24"/>
          <w:vertAlign w:val="superscript"/>
        </w:rPr>
        <w:t>12</w:t>
      </w:r>
      <w:r w:rsidR="003A6BEE">
        <w:rPr>
          <w:rFonts w:ascii="Arial" w:hAnsi="Arial" w:cs="Arial"/>
          <w:sz w:val="24"/>
          <w:szCs w:val="24"/>
        </w:rPr>
        <w:fldChar w:fldCharType="end"/>
      </w:r>
    </w:p>
    <w:p w:rsidR="00E80A28" w:rsidRDefault="003A6BEE" w:rsidP="002B39CE">
      <w:pPr>
        <w:spacing w:after="0" w:line="480" w:lineRule="auto"/>
        <w:rPr>
          <w:rFonts w:ascii="Arial" w:hAnsi="Arial" w:cs="Arial"/>
          <w:sz w:val="24"/>
          <w:szCs w:val="24"/>
        </w:rPr>
      </w:pPr>
      <w:r>
        <w:rPr>
          <w:rFonts w:ascii="Arial" w:hAnsi="Arial" w:cs="Arial"/>
          <w:sz w:val="24"/>
          <w:szCs w:val="24"/>
        </w:rPr>
        <w:tab/>
        <w:t>Both the ODI and NRS were selected as preferred outcome measures (78% and 75%, respectively) by an international multidisciplinary panel of researchers convened to establish consistency in outcome reporting</w:t>
      </w:r>
      <w:r w:rsidR="00FF1521">
        <w:rPr>
          <w:rFonts w:ascii="Arial" w:hAnsi="Arial" w:cs="Arial"/>
          <w:sz w:val="24"/>
          <w:szCs w:val="24"/>
        </w:rPr>
        <w:t xml:space="preserve"> of back pain</w:t>
      </w:r>
      <w:r>
        <w:rPr>
          <w:rFonts w:ascii="Arial" w:hAnsi="Arial" w:cs="Arial"/>
          <w:sz w:val="24"/>
          <w:szCs w:val="24"/>
        </w:rPr>
        <w:t>.</w:t>
      </w:r>
      <w:r>
        <w:rPr>
          <w:rFonts w:ascii="Arial" w:hAnsi="Arial" w:cs="Arial"/>
          <w:sz w:val="24"/>
          <w:szCs w:val="24"/>
        </w:rPr>
        <w:fldChar w:fldCharType="begin"/>
      </w:r>
      <w:r w:rsidR="009C5736">
        <w:rPr>
          <w:rFonts w:ascii="Arial" w:hAnsi="Arial" w:cs="Arial"/>
          <w:sz w:val="24"/>
          <w:szCs w:val="24"/>
        </w:rPr>
        <w:instrText>ADDIN F1000_CSL_CITATION&lt;~#@#~&gt;[{"title":"Core outcome measurement instruments for clinical trials in nonspecific low back pain.","id":"5145666","page":"481-495","type":"article-journal","volume":"159","issue":"3","author":[{"family":"Chiarotto","given":"Alessandro"},{"family":"Boers","given":"Maarten"},{"family":"Deyo","given":"Richard A"},{"family":"Buchbinder","given":"Rachelle"},{"family":"Corbin","given":"Terry P"},{"family":"Costa","given":"Leonardo O P"},{"family":"Foster","given":"Nadine E"},{"family":"Grotle","given":"Margreth"},{"family":"Koes","given":"Bart W"},{"family":"Kovacs","given":"Francisco M"},{"family":"Lin","given":"C-W Christine"},{"family":"Maher","given":"Chris G"},{"family":"Pearson","given":"Adam M"},{"family":"Peul","given":"Wilco C"},{"family":"Schoene","given":"Mark L"},{"family":"Turk","given":"Dennis C"},{"family":"van Tulder","given":"Maurits W"},{"family":"Terwee","given":"Caroline B"},{"family":"Ostelo","given":"Raymond W"}],"issued":{"date-parts":[["2018","3"]]},"container-title":"Pain","container-title-short":"Pain","journalAbbreviation":"Pain","DOI":"10.1097/j.pain.0000000000001117","PMID":"29194127","PMCID":"PMC5828378","citation-label":"5145666","Abstract":"To standardize outcome reporting in clinical trials of patients with nonspecific low back pain, an international multidisciplinary panel recommended physical functioning, pain intensity, and health-related quality of life (HRQoL) as core outcome domains. Given the lack of a consensus on measurement instruments for these 3 domains in patients with low back pain, this study aimed to generate such consensus. The measurement properties of 17 patient-reported outcome measures for physical functioning, 3 for pain intensity, and 5 for HRQoL were appraised in 3 systematic reviews following the COSMIN methodology. Researchers, clinicians, and patients (n = 207) were invited in a 2-round Delphi survey to generate consensus (≥67% agreement among participants) on which instruments to endorse. Response rates were 44% and 41%, respectively. In round 1, consensus was achieved on the Oswestry Disability Index version 2.1a for physical functioning (78% agreement) and the Numeric Rating Scale (NRS) for pain intensity (75% agreement). No consensus was achieved on any HRQoL instrument, although the Short Form 12 (SF12) approached the consensus threshold (64% agreement). In round 2, a consensus was reached on an NRS version with a 1-week recall period (96% agreement). Various participants requested 1 free-to-use instrument per domain. Considering all issues together, recommendations on core instruments were formulated: Oswestry Disability Index version 2.1a or 24-item Roland-Morris Disability Questionnaire for physical functioning, NRS for pain intensity, and SF12 or 10-item PROMIS Global Health form for HRQoL. Further studies need to fill the evidence gaps on the measurement properties of these and other instruments.","CleanAbstract":"To standardize outcome reporting in clinical trials of patients with nonspecific low back pain, an international multidisciplinary panel recommended physical functioning, pain intensity, and health-related quality of life (HRQoL) as core outcome domains. Given the lack of a consensus on measurement instruments for these 3 domains in patients with low back pain, this study aimed to generate such consensus. The measurement properties of 17 patient-reported outcome measures for physical functioning, 3 for pain intensity, and 5 for HRQoL were appraised in 3 systematic reviews following the COSMIN methodology. Researchers, clinicians, and patients (n = 207) were invited in a 2-round Delphi survey to generate consensus (≥67% agreement among participants) on which instruments to endorse. Response rates were 44% and 41%, respectively. In round 1, consensus was achieved on the Oswestry Disability Index version 2.1a for physical functioning (78% agreement) and the Numeric Rating Scale (NRS) for pain intensity (75% agreement). No consensus was achieved on any HRQoL instrument, although the Short Form 12 (SF12) approached the consensus threshold (64% agreement). In round 2, a consensus was reached on an NRS version with a 1-week recall period (96% agreement). Various participants requested 1 free-to-use instrument per domain. Considering all issues together, recommendations on core instruments were formulated: Oswestry Disability Index version 2.1a or 24-item Roland-Morris Disability Questionnaire for physical functioning, NRS for pain intensity, and SF12 or 10-item PROMIS Global Health form for HRQoL. Further studies need to fill the evidence gaps on the measurement properties of these and other instruments."}]</w:instrText>
      </w:r>
      <w:r>
        <w:rPr>
          <w:rFonts w:ascii="Arial" w:hAnsi="Arial" w:cs="Arial"/>
          <w:sz w:val="24"/>
          <w:szCs w:val="24"/>
        </w:rPr>
        <w:fldChar w:fldCharType="separate"/>
      </w:r>
      <w:r w:rsidR="009C5736" w:rsidRPr="009C5736">
        <w:rPr>
          <w:rFonts w:ascii="Arial" w:hAnsi="Arial" w:cs="Arial"/>
          <w:sz w:val="24"/>
          <w:szCs w:val="24"/>
          <w:vertAlign w:val="superscript"/>
        </w:rPr>
        <w:t>13</w:t>
      </w:r>
      <w:r>
        <w:rPr>
          <w:rFonts w:ascii="Arial" w:hAnsi="Arial" w:cs="Arial"/>
          <w:sz w:val="24"/>
          <w:szCs w:val="24"/>
        </w:rPr>
        <w:fldChar w:fldCharType="end"/>
      </w:r>
    </w:p>
    <w:p w:rsidR="00E80A28" w:rsidRDefault="00E80A28" w:rsidP="002B39CE">
      <w:pPr>
        <w:spacing w:after="0" w:line="480" w:lineRule="auto"/>
        <w:rPr>
          <w:rFonts w:ascii="Arial" w:hAnsi="Arial" w:cs="Arial"/>
          <w:b/>
          <w:sz w:val="24"/>
          <w:szCs w:val="24"/>
        </w:rPr>
      </w:pPr>
      <w:r>
        <w:rPr>
          <w:rFonts w:ascii="Arial" w:hAnsi="Arial" w:cs="Arial"/>
          <w:b/>
          <w:sz w:val="24"/>
          <w:szCs w:val="24"/>
        </w:rPr>
        <w:t>Interventio</w:t>
      </w:r>
      <w:r w:rsidR="00C03814">
        <w:rPr>
          <w:rFonts w:ascii="Arial" w:hAnsi="Arial" w:cs="Arial"/>
          <w:b/>
          <w:sz w:val="24"/>
          <w:szCs w:val="24"/>
        </w:rPr>
        <w:t>n</w:t>
      </w:r>
      <w:r>
        <w:rPr>
          <w:rFonts w:ascii="Arial" w:hAnsi="Arial" w:cs="Arial"/>
          <w:b/>
          <w:sz w:val="24"/>
          <w:szCs w:val="24"/>
        </w:rPr>
        <w:t>s</w:t>
      </w:r>
    </w:p>
    <w:p w:rsidR="00F56E1C" w:rsidRDefault="00DB46C0" w:rsidP="00724AF1">
      <w:pPr>
        <w:spacing w:after="0" w:line="480" w:lineRule="auto"/>
        <w:ind w:firstLine="720"/>
        <w:rPr>
          <w:rFonts w:ascii="Arial" w:hAnsi="Arial" w:cs="Arial"/>
          <w:sz w:val="24"/>
          <w:szCs w:val="24"/>
        </w:rPr>
      </w:pPr>
      <w:r w:rsidRPr="00724AF1">
        <w:rPr>
          <w:rFonts w:ascii="Arial" w:hAnsi="Arial" w:cs="Arial"/>
          <w:sz w:val="24"/>
          <w:szCs w:val="24"/>
          <w:u w:val="single"/>
        </w:rPr>
        <w:t>Therapeutic exercises</w:t>
      </w:r>
      <w:r>
        <w:rPr>
          <w:rFonts w:ascii="Arial" w:hAnsi="Arial" w:cs="Arial"/>
          <w:sz w:val="24"/>
          <w:szCs w:val="24"/>
        </w:rPr>
        <w:t>: Level I evidence supports progressive endurance exercises for a patient like Patricia, acute and chronic back pain experiences. Walking, cycling, treadmill, or dance programs are examples of endurance activities that could be applied. Delitto et al. go on to explain that for patients with underlying psychosocial factors aerobic endurance exercises not only improve physical functioning, they also address pain perception.</w:t>
      </w:r>
      <w:r>
        <w:rPr>
          <w:rFonts w:ascii="Arial" w:hAnsi="Arial" w:cs="Arial"/>
          <w:sz w:val="24"/>
          <w:szCs w:val="24"/>
        </w:rPr>
        <w:fldChar w:fldCharType="begin"/>
      </w:r>
      <w:r w:rsidR="009C5736">
        <w:rPr>
          <w:rFonts w:ascii="Arial" w:hAnsi="Arial" w:cs="Arial"/>
          <w:sz w:val="24"/>
          <w:szCs w:val="24"/>
        </w:rPr>
        <w:instrText>ADDIN F1000_CSL_CITATION&lt;~#@#~&gt;[{"title":"Low Back Pain: clinical practice guidelines linked to the international classification of functioning, disability, and health from the Orthopaedic Section of the American Physical Therapy Association","id":"612592","page":"A1-A57","type":"article-journal","volume":"42","author":[{"family":"Delitto","given":"A"},{"family":"George","given":"sz"},{"family":"Van Dillen","given":"L"}],"issued":{"date-parts":[["2012"]]},"container-title":"The Journal of Orthopaedic and Sports Physical Therapy","container-title-short":"J. Orthop. Sports Phys. Ther.","journalAbbreviation":"J. Orthop. Sports Phys. Ther.","DOI":"10.2519/jospt.2012.0301","PMID":"22660660","citation-label":"612592"}]</w:instrText>
      </w:r>
      <w:r>
        <w:rPr>
          <w:rFonts w:ascii="Arial" w:hAnsi="Arial" w:cs="Arial"/>
          <w:sz w:val="24"/>
          <w:szCs w:val="24"/>
        </w:rPr>
        <w:fldChar w:fldCharType="separate"/>
      </w:r>
      <w:r w:rsidR="009C5736" w:rsidRPr="009C5736">
        <w:rPr>
          <w:rFonts w:ascii="Arial" w:hAnsi="Arial" w:cs="Arial"/>
          <w:sz w:val="24"/>
          <w:szCs w:val="24"/>
          <w:vertAlign w:val="superscript"/>
        </w:rPr>
        <w:t>7</w:t>
      </w:r>
      <w:r>
        <w:rPr>
          <w:rFonts w:ascii="Arial" w:hAnsi="Arial" w:cs="Arial"/>
          <w:sz w:val="24"/>
          <w:szCs w:val="24"/>
        </w:rPr>
        <w:fldChar w:fldCharType="end"/>
      </w:r>
      <w:r w:rsidR="00F56E1C">
        <w:rPr>
          <w:rFonts w:ascii="Arial" w:hAnsi="Arial" w:cs="Arial"/>
          <w:sz w:val="24"/>
          <w:szCs w:val="24"/>
        </w:rPr>
        <w:t xml:space="preserve"> No specific exercise prescription has been proposed, but recommendation for graded increase toward the recommended Physical Activity </w:t>
      </w:r>
      <w:r w:rsidR="00F56E1C">
        <w:rPr>
          <w:rFonts w:ascii="Arial" w:hAnsi="Arial" w:cs="Arial"/>
          <w:sz w:val="24"/>
          <w:szCs w:val="24"/>
        </w:rPr>
        <w:lastRenderedPageBreak/>
        <w:t>Guidelines for US Citizens may be developed and used for Patricia.</w:t>
      </w:r>
      <w:r w:rsidR="00407DBA">
        <w:rPr>
          <w:rFonts w:ascii="Arial" w:hAnsi="Arial" w:cs="Arial"/>
          <w:sz w:val="24"/>
          <w:szCs w:val="24"/>
        </w:rPr>
        <w:t xml:space="preserve"> Any program will proceed with strict monitoring and assessment of response. Careful education on precautions and warning signs for adverse events will be provided.</w:t>
      </w:r>
      <w:r w:rsidR="00071274">
        <w:rPr>
          <w:rFonts w:ascii="Arial" w:hAnsi="Arial" w:cs="Arial"/>
          <w:sz w:val="24"/>
          <w:szCs w:val="24"/>
        </w:rPr>
        <w:t xml:space="preserve"> Qaseem et al. indicated therapeutic exercise receives moderate-quality evidence in small gains of function and pain relief. Moderate quality evidence showed no clear superior specific training programs (more than 20 RCTs compared).</w:t>
      </w:r>
      <w:r w:rsidR="00071274">
        <w:rPr>
          <w:rFonts w:ascii="Arial" w:hAnsi="Arial" w:cs="Arial"/>
          <w:sz w:val="24"/>
          <w:szCs w:val="24"/>
        </w:rPr>
        <w:fldChar w:fldCharType="begin"/>
      </w:r>
      <w:r w:rsidR="009C5736">
        <w:rPr>
          <w:rFonts w:ascii="Arial" w:hAnsi="Arial" w:cs="Arial"/>
          <w:sz w:val="24"/>
          <w:szCs w:val="24"/>
        </w:rPr>
        <w:instrText>ADDIN F1000_CSL_CITATION&lt;~#@#~&gt;[{"title":"Noninvasive treatments for acute, subacute, and chronic low back pain: A clinical practice guideline from the american college of physicians.","id":"3132489","page":"514-530","type":"article-journal","volume":"166","issue":"7","author":[{"family":"Qaseem","given":"Amir"},{"family":"Wilt","given":"Timothy J"},{"family":"McLean","given":"Robert M"},{"family":"Forciea","given":"Mary Ann"},{"family":"Clinical Guidelines Committee of the American College of Physicians"}],"issued":{"date-parts":[["2017","4","4"]]},"container-title":"Annals of Internal Medicine","container-title-short":"Ann. Intern. Med.","journalAbbreviation":"Ann. Intern. Med.","DOI":"10.7326/M16-2367","PMID":"28192789","citation-label":"3132489","Abstract":"&lt;strong&gt;Description:&lt;/strong&gt; The American College of Physicians (ACP) developed this guideline to present the evidence and provide clinical recommendations on noninvasive treatment of low back pain.&lt;br&gt;&lt;br&gt;&lt;strong&gt;Methods:&lt;/strong&gt; Using the ACP grading system, the committee based these recommendations on a systematic review of randomized, controlled trials and systematic reviews published through April 2015 on noninvasive pharmacologic and nonpharmacologic treatments for low back pain. Updated searches were performed through November 2016. Clinical outcomes evaluated included reduction or elimination of low back pain, improvement in back-specific and overall function, improvement in health-related quality of life, reduction in work disability and return to work, global improvement, number of back pain episodes or time between episodes, patient satisfaction, and adverse effects.&lt;br&gt;&lt;br&gt;&lt;strong&gt;Target Audience and Patient Population:&lt;/strong&gt; The target audience for this guideline includes all clinicians, and the target patient population includes adults with acute, subacute, or chronic low back pain.&lt;br&gt;&lt;br&gt;&lt;strong&gt;Recommendation 1:&lt;/strong&gt; Given that most patients with acute or subacute low back pain improve over time regardless of treatment, clinicians and patients should select nonpharmacologic treatment with superficial heat (moderate-quality evidence), massage, acupuncture, or spinal manipulation (low-quality evidence). If pharmacologic treatment is desired, clinicians and patients should select nonsteroidal anti-inflammatory drugs or skeletal muscle relaxants (moderate-quality evidence). (Grade: strong recommendation).&lt;br&gt;&lt;br&gt;&lt;strong&gt;Recommendation 2:&lt;/strong&gt; For patients with chronic low back pain, clinicians and patients should initially select nonpharmacologic treatment with exercise, multidisciplinary rehabilitation, acupuncture, mindfulness-based stress reduction (moderate-quality evidence), tai chi, yoga, motor control exercise, progressive relaxation, electromyography biofeedback, low-level laser therapy, operant therapy, cognitive behavioral therapy, or spinal manipulation (low-quality evidence). (Grade: strong recommendation).&lt;br&gt;&lt;br&gt;&lt;strong&gt;Recommendation 3:&lt;/strong&gt; In patients with chronic low back pain who have had an inadequate response to nonpharmacologic therapy, clinicians and patients should consider pharmacologic treatment with nonsteroidal anti-inflammatory drugs as first-line therapy, or tramadol or duloxetine as second-line therapy. Clinicians should only consider opioids as an option in patients who have failed the aforementioned treatments and only if the potential benefits outweigh the risks for individual patients and after a discussion of known risks and realistic benefits with patients. (Grade: weak recommendation, moderate-quality evidence).","CleanAbstract":"Description: The American College of Physicians (ACP) developed this guideline to present the evidence and provide clinical recommendations on noninvasive treatment of low back pain.Methods: Using the ACP grading system, the committee based these recommendations on a systematic review of randomized, controlled trials and systematic reviews published through April 2015 on noninvasive pharmacologic and nonpharmacologic treatments for low back pain. Updated searches were performed through November 2016. Clinical outcomes evaluated included reduction or elimination of low back pain, improvement in back-specific and overall function, improvement in health-related quality of life, reduction in work disability and return to work, global improvement, number of back pain episodes or time between episodes, patient satisfaction, and adverse effects.Target Audience and Patient Population: The target audience for this guideline includes all clinicians, and the target patient population includes adults with acute, subacute, or chronic low back pain.Recommendation 1: Given that most patients with acute or subacute low back pain improve over time regardless of treatment, clinicians and patients should select nonpharmacologic treatment with superficial heat (moderate-quality evidence), massage, acupuncture, or spinal manipulation (low-quality evidence). If pharmacologic treatment is desired, clinicians and patients should select nonsteroidal anti-inflammatory drugs or skeletal muscle relaxants (moderate-quality evidence). (Grade: strong recommendation).Recommendation 2: For patients with chronic low back pain, clinicians and patients should initially select nonpharmacologic treatment with exercise, multidisciplinary rehabilitation, acupuncture, mindfulness-based stress reduction (moderate-quality evidence), tai chi, yoga, motor control exercise, progressive relaxation, electromyography biofeedback, low-level laser therapy, operant therapy, cognitive behavioral therapy, or spinal manipulation (low-quality evidence). (Grade: strong recommendation).Recommendation 3: In patients with chronic low back pain who have had an inadequate response to nonpharmacologic therapy, clinicians and patients should consider pharmacologic treatment with nonsteroidal anti-inflammatory drugs as first-line therapy, or tramadol or duloxetine as second-line therapy. Clinicians should only consider opioids as an option in patients who have failed the aforementioned treatments and only if the potential benefits outweigh the risks for individual patients and after a discussion of known risks and realistic benefits with patients. (Grade: weak recommendation, moderate-quality evidence)."}]</w:instrText>
      </w:r>
      <w:r w:rsidR="00071274">
        <w:rPr>
          <w:rFonts w:ascii="Arial" w:hAnsi="Arial" w:cs="Arial"/>
          <w:sz w:val="24"/>
          <w:szCs w:val="24"/>
        </w:rPr>
        <w:fldChar w:fldCharType="separate"/>
      </w:r>
      <w:r w:rsidR="009C5736" w:rsidRPr="009C5736">
        <w:rPr>
          <w:rFonts w:ascii="Arial" w:hAnsi="Arial" w:cs="Arial"/>
          <w:sz w:val="24"/>
          <w:szCs w:val="24"/>
          <w:vertAlign w:val="superscript"/>
        </w:rPr>
        <w:t>6</w:t>
      </w:r>
      <w:r w:rsidR="00071274">
        <w:rPr>
          <w:rFonts w:ascii="Arial" w:hAnsi="Arial" w:cs="Arial"/>
          <w:sz w:val="24"/>
          <w:szCs w:val="24"/>
        </w:rPr>
        <w:fldChar w:fldCharType="end"/>
      </w:r>
      <w:r w:rsidR="00071274">
        <w:rPr>
          <w:rFonts w:ascii="Arial" w:hAnsi="Arial" w:cs="Arial"/>
          <w:sz w:val="24"/>
          <w:szCs w:val="24"/>
        </w:rPr>
        <w:t xml:space="preserve"> What follows is a conservative endurance and resistance progression program for Patricia, with general guidelines proposed by American College of Sports Medicine</w:t>
      </w:r>
      <w:r w:rsidR="00071274">
        <w:rPr>
          <w:rFonts w:ascii="Arial" w:hAnsi="Arial" w:cs="Arial"/>
          <w:sz w:val="24"/>
          <w:szCs w:val="24"/>
        </w:rPr>
        <w:fldChar w:fldCharType="begin"/>
      </w:r>
      <w:r w:rsidR="009C5736">
        <w:rPr>
          <w:rFonts w:ascii="Arial" w:hAnsi="Arial" w:cs="Arial"/>
          <w:sz w:val="24"/>
          <w:szCs w:val="24"/>
        </w:rPr>
        <w:instrText>ADDIN F1000_CSL_CITATION&lt;~#@#~&gt;[{"title":"American College of Sports Medicine position stand. Progression models in resistance training for healthy adults.","id":"865981","page":"687-708","type":"article-journal","volume":"41","issue":"3","author":[{"family":"American College of Sports Medicine"}],"issued":{"date-parts":[["2009","3"]]},"container-title":"Medicine and Science in Sports and Exercise","container-title-short":"Med. Sci. Sports Exerc.","journalAbbreviation":"Med. Sci. Sports Exerc.","DOI":"10.1249/MSS.0b013e3181915670","PMID":"19204579","citation-label":"865981"}]</w:instrText>
      </w:r>
      <w:r w:rsidR="00071274">
        <w:rPr>
          <w:rFonts w:ascii="Arial" w:hAnsi="Arial" w:cs="Arial"/>
          <w:sz w:val="24"/>
          <w:szCs w:val="24"/>
        </w:rPr>
        <w:fldChar w:fldCharType="separate"/>
      </w:r>
      <w:r w:rsidR="009C5736" w:rsidRPr="009C5736">
        <w:rPr>
          <w:rFonts w:ascii="Arial" w:hAnsi="Arial" w:cs="Arial"/>
          <w:sz w:val="24"/>
          <w:szCs w:val="24"/>
          <w:vertAlign w:val="superscript"/>
        </w:rPr>
        <w:t>14</w:t>
      </w:r>
      <w:r w:rsidR="00071274">
        <w:rPr>
          <w:rFonts w:ascii="Arial" w:hAnsi="Arial" w:cs="Arial"/>
          <w:sz w:val="24"/>
          <w:szCs w:val="24"/>
        </w:rPr>
        <w:fldChar w:fldCharType="end"/>
      </w:r>
      <w:r w:rsidR="00071274">
        <w:rPr>
          <w:rFonts w:ascii="Arial" w:hAnsi="Arial" w:cs="Arial"/>
          <w:sz w:val="24"/>
          <w:szCs w:val="24"/>
        </w:rPr>
        <w:t>.</w:t>
      </w:r>
      <w:r w:rsidR="00724AF1">
        <w:rPr>
          <w:rFonts w:ascii="Arial" w:hAnsi="Arial" w:cs="Arial"/>
          <w:sz w:val="24"/>
          <w:szCs w:val="24"/>
        </w:rPr>
        <w:t xml:space="preserve"> Exercise (endurance and resistance training) also is recommended for prevention of re-injury by Delitto et al.</w:t>
      </w:r>
      <w:r w:rsidR="00724AF1">
        <w:rPr>
          <w:rFonts w:ascii="Arial" w:hAnsi="Arial" w:cs="Arial"/>
          <w:sz w:val="24"/>
          <w:szCs w:val="24"/>
        </w:rPr>
        <w:fldChar w:fldCharType="begin"/>
      </w:r>
      <w:r w:rsidR="009C5736">
        <w:rPr>
          <w:rFonts w:ascii="Arial" w:hAnsi="Arial" w:cs="Arial"/>
          <w:sz w:val="24"/>
          <w:szCs w:val="24"/>
        </w:rPr>
        <w:instrText>ADDIN F1000_CSL_CITATION&lt;~#@#~&gt;[{"title":"Low Back Pain: clinical practice guidelines linked to the international classification of functioning, disability, and health from the Orthopaedic Section of the American Physical Therapy Association","id":"612592","page":"A1-A57","type":"article-journal","volume":"42","author":[{"family":"Delitto","given":"A"},{"family":"George","given":"sz"},{"family":"Van Dillen","given":"L"}],"issued":{"date-parts":[["2012"]]},"container-title":"The Journal of Orthopaedic and Sports Physical Therapy","container-title-short":"J. Orthop. Sports Phys. Ther.","journalAbbreviation":"J. Orthop. Sports Phys. Ther.","DOI":"10.2519/jospt.2012.0301","PMID":"22660660","citation-label":"612592"}]</w:instrText>
      </w:r>
      <w:r w:rsidR="00724AF1">
        <w:rPr>
          <w:rFonts w:ascii="Arial" w:hAnsi="Arial" w:cs="Arial"/>
          <w:sz w:val="24"/>
          <w:szCs w:val="24"/>
        </w:rPr>
        <w:fldChar w:fldCharType="separate"/>
      </w:r>
      <w:r w:rsidR="009C5736" w:rsidRPr="009C5736">
        <w:rPr>
          <w:rFonts w:ascii="Arial" w:hAnsi="Arial" w:cs="Arial"/>
          <w:sz w:val="24"/>
          <w:szCs w:val="24"/>
          <w:vertAlign w:val="superscript"/>
        </w:rPr>
        <w:t>7</w:t>
      </w:r>
      <w:r w:rsidR="00724AF1">
        <w:rPr>
          <w:rFonts w:ascii="Arial" w:hAnsi="Arial" w:cs="Arial"/>
          <w:sz w:val="24"/>
          <w:szCs w:val="24"/>
        </w:rPr>
        <w:fldChar w:fldCharType="end"/>
      </w:r>
      <w:r w:rsidR="00724AF1">
        <w:rPr>
          <w:rFonts w:ascii="Arial" w:hAnsi="Arial" w:cs="Arial"/>
          <w:sz w:val="24"/>
          <w:szCs w:val="24"/>
        </w:rPr>
        <w:t xml:space="preserve"> </w:t>
      </w:r>
    </w:p>
    <w:tbl>
      <w:tblPr>
        <w:tblStyle w:val="TableGrid"/>
        <w:tblW w:w="0" w:type="auto"/>
        <w:tblLook w:val="04A0" w:firstRow="1" w:lastRow="0" w:firstColumn="1" w:lastColumn="0" w:noHBand="0" w:noVBand="1"/>
      </w:tblPr>
      <w:tblGrid>
        <w:gridCol w:w="1550"/>
        <w:gridCol w:w="1524"/>
        <w:gridCol w:w="1546"/>
        <w:gridCol w:w="1549"/>
        <w:gridCol w:w="1564"/>
        <w:gridCol w:w="1617"/>
      </w:tblGrid>
      <w:tr w:rsidR="00F56E1C" w:rsidTr="00F56E1C">
        <w:tc>
          <w:tcPr>
            <w:tcW w:w="1558" w:type="dxa"/>
          </w:tcPr>
          <w:p w:rsidR="00F56E1C" w:rsidRDefault="00F56E1C" w:rsidP="00F56E1C">
            <w:pPr>
              <w:rPr>
                <w:rFonts w:ascii="Arial" w:hAnsi="Arial" w:cs="Arial"/>
              </w:rPr>
            </w:pPr>
            <w:r>
              <w:rPr>
                <w:rFonts w:ascii="Arial" w:hAnsi="Arial" w:cs="Arial"/>
              </w:rPr>
              <w:t>Exercise</w:t>
            </w:r>
          </w:p>
        </w:tc>
        <w:tc>
          <w:tcPr>
            <w:tcW w:w="1558" w:type="dxa"/>
          </w:tcPr>
          <w:p w:rsidR="00F56E1C" w:rsidRDefault="00F56E1C" w:rsidP="00F56E1C">
            <w:pPr>
              <w:rPr>
                <w:rFonts w:ascii="Arial" w:hAnsi="Arial" w:cs="Arial"/>
              </w:rPr>
            </w:pPr>
            <w:r>
              <w:rPr>
                <w:rFonts w:ascii="Arial" w:hAnsi="Arial" w:cs="Arial"/>
              </w:rPr>
              <w:t>Weeks</w:t>
            </w:r>
          </w:p>
        </w:tc>
        <w:tc>
          <w:tcPr>
            <w:tcW w:w="1558" w:type="dxa"/>
          </w:tcPr>
          <w:p w:rsidR="00F56E1C" w:rsidRDefault="00F56E1C" w:rsidP="00F56E1C">
            <w:pPr>
              <w:rPr>
                <w:rFonts w:ascii="Arial" w:hAnsi="Arial" w:cs="Arial"/>
              </w:rPr>
            </w:pPr>
            <w:r>
              <w:rPr>
                <w:rFonts w:ascii="Arial" w:hAnsi="Arial" w:cs="Arial"/>
              </w:rPr>
              <w:t>Frequency</w:t>
            </w:r>
          </w:p>
        </w:tc>
        <w:tc>
          <w:tcPr>
            <w:tcW w:w="1558" w:type="dxa"/>
          </w:tcPr>
          <w:p w:rsidR="00F56E1C" w:rsidRDefault="00F56E1C" w:rsidP="00F56E1C">
            <w:pPr>
              <w:rPr>
                <w:rFonts w:ascii="Arial" w:hAnsi="Arial" w:cs="Arial"/>
              </w:rPr>
            </w:pPr>
            <w:r>
              <w:rPr>
                <w:rFonts w:ascii="Arial" w:hAnsi="Arial" w:cs="Arial"/>
              </w:rPr>
              <w:t>Intensity</w:t>
            </w:r>
          </w:p>
        </w:tc>
        <w:tc>
          <w:tcPr>
            <w:tcW w:w="1559" w:type="dxa"/>
          </w:tcPr>
          <w:p w:rsidR="00F56E1C" w:rsidRDefault="00566887" w:rsidP="00F56E1C">
            <w:pPr>
              <w:rPr>
                <w:rFonts w:ascii="Arial" w:hAnsi="Arial" w:cs="Arial"/>
              </w:rPr>
            </w:pPr>
            <w:r>
              <w:rPr>
                <w:rFonts w:ascii="Arial" w:hAnsi="Arial" w:cs="Arial"/>
              </w:rPr>
              <w:t>Notes</w:t>
            </w:r>
          </w:p>
        </w:tc>
        <w:tc>
          <w:tcPr>
            <w:tcW w:w="1559" w:type="dxa"/>
          </w:tcPr>
          <w:p w:rsidR="00F56E1C" w:rsidRDefault="00F56E1C" w:rsidP="00F56E1C">
            <w:pPr>
              <w:rPr>
                <w:rFonts w:ascii="Arial" w:hAnsi="Arial" w:cs="Arial"/>
              </w:rPr>
            </w:pPr>
          </w:p>
        </w:tc>
      </w:tr>
      <w:tr w:rsidR="00F56E1C" w:rsidTr="00F56E1C">
        <w:tc>
          <w:tcPr>
            <w:tcW w:w="1558" w:type="dxa"/>
          </w:tcPr>
          <w:p w:rsidR="00F56E1C" w:rsidRDefault="00F56E1C" w:rsidP="00F56E1C">
            <w:pPr>
              <w:rPr>
                <w:rFonts w:ascii="Arial" w:hAnsi="Arial" w:cs="Arial"/>
              </w:rPr>
            </w:pPr>
            <w:r>
              <w:rPr>
                <w:rFonts w:ascii="Arial" w:hAnsi="Arial" w:cs="Arial"/>
              </w:rPr>
              <w:t>Walking, cycling, TM or dance</w:t>
            </w:r>
          </w:p>
        </w:tc>
        <w:tc>
          <w:tcPr>
            <w:tcW w:w="1558" w:type="dxa"/>
          </w:tcPr>
          <w:p w:rsidR="00F56E1C" w:rsidRDefault="00F56E1C" w:rsidP="00F56E1C">
            <w:pPr>
              <w:rPr>
                <w:rFonts w:ascii="Arial" w:hAnsi="Arial" w:cs="Arial"/>
              </w:rPr>
            </w:pPr>
            <w:r>
              <w:rPr>
                <w:rFonts w:ascii="Arial" w:hAnsi="Arial" w:cs="Arial"/>
              </w:rPr>
              <w:t>1-3</w:t>
            </w:r>
          </w:p>
        </w:tc>
        <w:tc>
          <w:tcPr>
            <w:tcW w:w="1558" w:type="dxa"/>
          </w:tcPr>
          <w:p w:rsidR="00F56E1C" w:rsidRDefault="00F56E1C" w:rsidP="00F56E1C">
            <w:pPr>
              <w:rPr>
                <w:rFonts w:ascii="Arial" w:hAnsi="Arial" w:cs="Arial"/>
              </w:rPr>
            </w:pPr>
            <w:r>
              <w:rPr>
                <w:rFonts w:ascii="Arial" w:hAnsi="Arial" w:cs="Arial"/>
              </w:rPr>
              <w:t>3-5d/ week</w:t>
            </w:r>
          </w:p>
        </w:tc>
        <w:tc>
          <w:tcPr>
            <w:tcW w:w="1558" w:type="dxa"/>
          </w:tcPr>
          <w:p w:rsidR="00F56E1C" w:rsidRDefault="00F56E1C" w:rsidP="00F56E1C">
            <w:pPr>
              <w:rPr>
                <w:rFonts w:ascii="Arial" w:hAnsi="Arial" w:cs="Arial"/>
              </w:rPr>
            </w:pPr>
            <w:r>
              <w:rPr>
                <w:rFonts w:ascii="Arial" w:hAnsi="Arial" w:cs="Arial"/>
              </w:rPr>
              <w:t>RPE 9-11</w:t>
            </w:r>
          </w:p>
          <w:p w:rsidR="00F56E1C" w:rsidRDefault="00F56E1C" w:rsidP="006E5177">
            <w:pPr>
              <w:rPr>
                <w:rFonts w:ascii="Arial" w:hAnsi="Arial" w:cs="Arial"/>
              </w:rPr>
            </w:pPr>
            <w:r>
              <w:rPr>
                <w:rFonts w:ascii="Arial" w:hAnsi="Arial" w:cs="Arial"/>
              </w:rPr>
              <w:t>(</w:t>
            </w:r>
            <w:r w:rsidR="006E5177">
              <w:rPr>
                <w:rFonts w:ascii="Arial" w:hAnsi="Arial" w:cs="Arial"/>
              </w:rPr>
              <w:t>Very l</w:t>
            </w:r>
            <w:r>
              <w:rPr>
                <w:rFonts w:ascii="Arial" w:hAnsi="Arial" w:cs="Arial"/>
              </w:rPr>
              <w:t>ight</w:t>
            </w:r>
            <w:r w:rsidR="006E5177">
              <w:rPr>
                <w:rFonts w:ascii="Arial" w:hAnsi="Arial" w:cs="Arial"/>
              </w:rPr>
              <w:t>- Light</w:t>
            </w:r>
            <w:r>
              <w:rPr>
                <w:rFonts w:ascii="Arial" w:hAnsi="Arial" w:cs="Arial"/>
              </w:rPr>
              <w:t>)</w:t>
            </w:r>
          </w:p>
        </w:tc>
        <w:tc>
          <w:tcPr>
            <w:tcW w:w="1559" w:type="dxa"/>
          </w:tcPr>
          <w:p w:rsidR="00566887" w:rsidRDefault="00566887" w:rsidP="00F56E1C">
            <w:pPr>
              <w:rPr>
                <w:rFonts w:ascii="Arial" w:hAnsi="Arial" w:cs="Arial"/>
              </w:rPr>
            </w:pPr>
            <w:r>
              <w:rPr>
                <w:rFonts w:ascii="Arial" w:hAnsi="Arial" w:cs="Arial"/>
              </w:rPr>
              <w:t>Begin at tolerable level 15 min./ day</w:t>
            </w:r>
          </w:p>
          <w:p w:rsidR="006E5177" w:rsidRDefault="00826353" w:rsidP="00F56E1C">
            <w:pPr>
              <w:rPr>
                <w:rFonts w:ascii="Arial" w:hAnsi="Arial" w:cs="Arial"/>
              </w:rPr>
            </w:pPr>
            <w:r>
              <w:rPr>
                <w:rFonts w:ascii="Arial" w:hAnsi="Arial" w:cs="Arial"/>
              </w:rPr>
              <w:t>8</w:t>
            </w:r>
            <w:r w:rsidR="006E5177">
              <w:rPr>
                <w:rFonts w:ascii="Arial" w:hAnsi="Arial" w:cs="Arial"/>
              </w:rPr>
              <w:t>0 min/ week goal</w:t>
            </w:r>
          </w:p>
        </w:tc>
        <w:tc>
          <w:tcPr>
            <w:tcW w:w="1559" w:type="dxa"/>
          </w:tcPr>
          <w:p w:rsidR="00F56E1C" w:rsidRDefault="00566887" w:rsidP="00566887">
            <w:pPr>
              <w:rPr>
                <w:rFonts w:ascii="Arial" w:hAnsi="Arial" w:cs="Arial"/>
              </w:rPr>
            </w:pPr>
            <w:r>
              <w:rPr>
                <w:rFonts w:ascii="Arial" w:hAnsi="Arial" w:cs="Arial"/>
              </w:rPr>
              <w:t xml:space="preserve">Increase by 5 min./session/ week as </w:t>
            </w:r>
            <w:proofErr w:type="spellStart"/>
            <w:r>
              <w:rPr>
                <w:rFonts w:ascii="Arial" w:hAnsi="Arial" w:cs="Arial"/>
              </w:rPr>
              <w:t>tol</w:t>
            </w:r>
            <w:proofErr w:type="spellEnd"/>
            <w:r>
              <w:rPr>
                <w:rFonts w:ascii="Arial" w:hAnsi="Arial" w:cs="Arial"/>
              </w:rPr>
              <w:t>.</w:t>
            </w:r>
          </w:p>
        </w:tc>
      </w:tr>
      <w:tr w:rsidR="006E5177" w:rsidTr="00F56E1C">
        <w:tc>
          <w:tcPr>
            <w:tcW w:w="1558" w:type="dxa"/>
          </w:tcPr>
          <w:p w:rsidR="006E5177" w:rsidRDefault="006E5177" w:rsidP="00F56E1C">
            <w:pPr>
              <w:rPr>
                <w:rFonts w:ascii="Arial" w:hAnsi="Arial" w:cs="Arial"/>
              </w:rPr>
            </w:pPr>
          </w:p>
        </w:tc>
        <w:tc>
          <w:tcPr>
            <w:tcW w:w="1558" w:type="dxa"/>
          </w:tcPr>
          <w:p w:rsidR="006E5177" w:rsidRDefault="006E5177" w:rsidP="00F56E1C">
            <w:pPr>
              <w:rPr>
                <w:rFonts w:ascii="Arial" w:hAnsi="Arial" w:cs="Arial"/>
              </w:rPr>
            </w:pPr>
            <w:r>
              <w:rPr>
                <w:rFonts w:ascii="Arial" w:hAnsi="Arial" w:cs="Arial"/>
              </w:rPr>
              <w:t>4-6</w:t>
            </w:r>
          </w:p>
        </w:tc>
        <w:tc>
          <w:tcPr>
            <w:tcW w:w="1558" w:type="dxa"/>
          </w:tcPr>
          <w:p w:rsidR="006E5177" w:rsidRDefault="006E5177" w:rsidP="00F56E1C">
            <w:pPr>
              <w:rPr>
                <w:rFonts w:ascii="Arial" w:hAnsi="Arial" w:cs="Arial"/>
              </w:rPr>
            </w:pPr>
            <w:r>
              <w:rPr>
                <w:rFonts w:ascii="Arial" w:hAnsi="Arial" w:cs="Arial"/>
              </w:rPr>
              <w:t>3-5d/ week</w:t>
            </w:r>
          </w:p>
        </w:tc>
        <w:tc>
          <w:tcPr>
            <w:tcW w:w="1558" w:type="dxa"/>
          </w:tcPr>
          <w:p w:rsidR="006E5177" w:rsidRDefault="006E5177" w:rsidP="00F56E1C">
            <w:pPr>
              <w:rPr>
                <w:rFonts w:ascii="Arial" w:hAnsi="Arial" w:cs="Arial"/>
              </w:rPr>
            </w:pPr>
            <w:r>
              <w:rPr>
                <w:rFonts w:ascii="Arial" w:hAnsi="Arial" w:cs="Arial"/>
              </w:rPr>
              <w:t>RPE 11-14</w:t>
            </w:r>
          </w:p>
          <w:p w:rsidR="006E5177" w:rsidRDefault="006E5177" w:rsidP="00F56E1C">
            <w:pPr>
              <w:rPr>
                <w:rFonts w:ascii="Arial" w:hAnsi="Arial" w:cs="Arial"/>
              </w:rPr>
            </w:pPr>
            <w:r>
              <w:rPr>
                <w:rFonts w:ascii="Arial" w:hAnsi="Arial" w:cs="Arial"/>
              </w:rPr>
              <w:t>(Light – Hard)</w:t>
            </w:r>
          </w:p>
        </w:tc>
        <w:tc>
          <w:tcPr>
            <w:tcW w:w="1559" w:type="dxa"/>
          </w:tcPr>
          <w:p w:rsidR="006E5177" w:rsidRDefault="006E5177" w:rsidP="00F56E1C">
            <w:pPr>
              <w:rPr>
                <w:rFonts w:ascii="Arial" w:hAnsi="Arial" w:cs="Arial"/>
              </w:rPr>
            </w:pPr>
            <w:r>
              <w:rPr>
                <w:rFonts w:ascii="Arial" w:hAnsi="Arial" w:cs="Arial"/>
              </w:rPr>
              <w:t>25-35 min./ day</w:t>
            </w:r>
          </w:p>
          <w:p w:rsidR="006E5177" w:rsidRDefault="00826353" w:rsidP="00F56E1C">
            <w:pPr>
              <w:rPr>
                <w:rFonts w:ascii="Arial" w:hAnsi="Arial" w:cs="Arial"/>
              </w:rPr>
            </w:pPr>
            <w:r>
              <w:rPr>
                <w:rFonts w:ascii="Arial" w:hAnsi="Arial" w:cs="Arial"/>
              </w:rPr>
              <w:t>100 min. week goal</w:t>
            </w:r>
          </w:p>
        </w:tc>
        <w:tc>
          <w:tcPr>
            <w:tcW w:w="1559" w:type="dxa"/>
          </w:tcPr>
          <w:p w:rsidR="006E5177" w:rsidRDefault="006E5177" w:rsidP="00566887">
            <w:pPr>
              <w:rPr>
                <w:rFonts w:ascii="Arial" w:hAnsi="Arial" w:cs="Arial"/>
              </w:rPr>
            </w:pPr>
          </w:p>
        </w:tc>
      </w:tr>
      <w:tr w:rsidR="00826353" w:rsidTr="00F56E1C">
        <w:tc>
          <w:tcPr>
            <w:tcW w:w="1558" w:type="dxa"/>
          </w:tcPr>
          <w:p w:rsidR="00826353" w:rsidRDefault="00826353" w:rsidP="00F56E1C">
            <w:pPr>
              <w:rPr>
                <w:rFonts w:ascii="Arial" w:hAnsi="Arial" w:cs="Arial"/>
              </w:rPr>
            </w:pPr>
          </w:p>
        </w:tc>
        <w:tc>
          <w:tcPr>
            <w:tcW w:w="1558" w:type="dxa"/>
          </w:tcPr>
          <w:p w:rsidR="00826353" w:rsidRDefault="00826353" w:rsidP="00F56E1C">
            <w:pPr>
              <w:rPr>
                <w:rFonts w:ascii="Arial" w:hAnsi="Arial" w:cs="Arial"/>
              </w:rPr>
            </w:pPr>
            <w:r>
              <w:rPr>
                <w:rFonts w:ascii="Arial" w:hAnsi="Arial" w:cs="Arial"/>
              </w:rPr>
              <w:t>7-10</w:t>
            </w:r>
          </w:p>
        </w:tc>
        <w:tc>
          <w:tcPr>
            <w:tcW w:w="1558" w:type="dxa"/>
          </w:tcPr>
          <w:p w:rsidR="00826353" w:rsidRDefault="00826353" w:rsidP="00F56E1C">
            <w:pPr>
              <w:rPr>
                <w:rFonts w:ascii="Arial" w:hAnsi="Arial" w:cs="Arial"/>
              </w:rPr>
            </w:pPr>
            <w:r>
              <w:rPr>
                <w:rFonts w:ascii="Arial" w:hAnsi="Arial" w:cs="Arial"/>
              </w:rPr>
              <w:t>5d/ week</w:t>
            </w:r>
          </w:p>
        </w:tc>
        <w:tc>
          <w:tcPr>
            <w:tcW w:w="1558" w:type="dxa"/>
          </w:tcPr>
          <w:p w:rsidR="00826353" w:rsidRDefault="00826353" w:rsidP="00F56E1C">
            <w:pPr>
              <w:rPr>
                <w:rFonts w:ascii="Arial" w:hAnsi="Arial" w:cs="Arial"/>
              </w:rPr>
            </w:pPr>
            <w:r>
              <w:rPr>
                <w:rFonts w:ascii="Arial" w:hAnsi="Arial" w:cs="Arial"/>
              </w:rPr>
              <w:t>RPE 11-14</w:t>
            </w:r>
          </w:p>
        </w:tc>
        <w:tc>
          <w:tcPr>
            <w:tcW w:w="1559" w:type="dxa"/>
          </w:tcPr>
          <w:p w:rsidR="00826353" w:rsidRDefault="00826353" w:rsidP="00F56E1C">
            <w:pPr>
              <w:rPr>
                <w:rFonts w:ascii="Arial" w:hAnsi="Arial" w:cs="Arial"/>
              </w:rPr>
            </w:pPr>
            <w:r>
              <w:rPr>
                <w:rFonts w:ascii="Arial" w:hAnsi="Arial" w:cs="Arial"/>
              </w:rPr>
              <w:t>25 min./ day</w:t>
            </w:r>
          </w:p>
          <w:p w:rsidR="00826353" w:rsidRDefault="00826353" w:rsidP="00F56E1C">
            <w:pPr>
              <w:rPr>
                <w:rFonts w:ascii="Arial" w:hAnsi="Arial" w:cs="Arial"/>
              </w:rPr>
            </w:pPr>
            <w:r>
              <w:rPr>
                <w:rFonts w:ascii="Arial" w:hAnsi="Arial" w:cs="Arial"/>
              </w:rPr>
              <w:t>120 min. week goal</w:t>
            </w:r>
          </w:p>
        </w:tc>
        <w:tc>
          <w:tcPr>
            <w:tcW w:w="1559" w:type="dxa"/>
          </w:tcPr>
          <w:p w:rsidR="00826353" w:rsidRDefault="00826353" w:rsidP="00566887">
            <w:pPr>
              <w:rPr>
                <w:rFonts w:ascii="Arial" w:hAnsi="Arial" w:cs="Arial"/>
              </w:rPr>
            </w:pPr>
          </w:p>
        </w:tc>
      </w:tr>
      <w:tr w:rsidR="00F56E1C" w:rsidTr="00F56E1C">
        <w:tc>
          <w:tcPr>
            <w:tcW w:w="1558" w:type="dxa"/>
          </w:tcPr>
          <w:p w:rsidR="00566887" w:rsidRDefault="00F56E1C" w:rsidP="00F56E1C">
            <w:pPr>
              <w:rPr>
                <w:rFonts w:ascii="Arial" w:hAnsi="Arial" w:cs="Arial"/>
              </w:rPr>
            </w:pPr>
            <w:r>
              <w:rPr>
                <w:rFonts w:ascii="Arial" w:hAnsi="Arial" w:cs="Arial"/>
              </w:rPr>
              <w:t>Resistance training</w:t>
            </w:r>
            <w:r w:rsidR="00566887">
              <w:rPr>
                <w:rFonts w:ascii="Arial" w:hAnsi="Arial" w:cs="Arial"/>
              </w:rPr>
              <w:t>,</w:t>
            </w:r>
          </w:p>
          <w:p w:rsidR="00566887" w:rsidRDefault="00566887" w:rsidP="00F56E1C">
            <w:pPr>
              <w:rPr>
                <w:rFonts w:ascii="Arial" w:hAnsi="Arial" w:cs="Arial"/>
              </w:rPr>
            </w:pPr>
            <w:r>
              <w:rPr>
                <w:rFonts w:ascii="Arial" w:hAnsi="Arial" w:cs="Arial"/>
              </w:rPr>
              <w:t>or aquatic</w:t>
            </w:r>
          </w:p>
        </w:tc>
        <w:tc>
          <w:tcPr>
            <w:tcW w:w="1558" w:type="dxa"/>
          </w:tcPr>
          <w:p w:rsidR="00F56E1C" w:rsidRDefault="00F56E1C" w:rsidP="00F56E1C">
            <w:pPr>
              <w:rPr>
                <w:rFonts w:ascii="Arial" w:hAnsi="Arial" w:cs="Arial"/>
              </w:rPr>
            </w:pPr>
            <w:r>
              <w:rPr>
                <w:rFonts w:ascii="Arial" w:hAnsi="Arial" w:cs="Arial"/>
              </w:rPr>
              <w:t>1-3</w:t>
            </w:r>
          </w:p>
        </w:tc>
        <w:tc>
          <w:tcPr>
            <w:tcW w:w="1558" w:type="dxa"/>
          </w:tcPr>
          <w:p w:rsidR="00F56E1C" w:rsidRDefault="00F56E1C" w:rsidP="00F56E1C">
            <w:pPr>
              <w:rPr>
                <w:rFonts w:ascii="Arial" w:hAnsi="Arial" w:cs="Arial"/>
              </w:rPr>
            </w:pPr>
            <w:r>
              <w:rPr>
                <w:rFonts w:ascii="Arial" w:hAnsi="Arial" w:cs="Arial"/>
              </w:rPr>
              <w:t>1-2d/ week</w:t>
            </w:r>
          </w:p>
        </w:tc>
        <w:tc>
          <w:tcPr>
            <w:tcW w:w="1558" w:type="dxa"/>
          </w:tcPr>
          <w:p w:rsidR="00071274" w:rsidRDefault="00566887" w:rsidP="00071274">
            <w:pPr>
              <w:rPr>
                <w:rFonts w:ascii="Arial" w:hAnsi="Arial" w:cs="Arial"/>
              </w:rPr>
            </w:pPr>
            <w:r>
              <w:rPr>
                <w:rFonts w:ascii="Arial" w:hAnsi="Arial" w:cs="Arial"/>
              </w:rPr>
              <w:t>1-3 sets @</w:t>
            </w:r>
          </w:p>
          <w:p w:rsidR="00407DBA" w:rsidRDefault="00071274" w:rsidP="00407DBA">
            <w:pPr>
              <w:rPr>
                <w:rFonts w:ascii="Arial" w:hAnsi="Arial" w:cs="Arial"/>
              </w:rPr>
            </w:pPr>
            <w:r>
              <w:rPr>
                <w:rFonts w:ascii="Arial" w:hAnsi="Arial" w:cs="Arial"/>
              </w:rPr>
              <w:t>Light Resistance</w:t>
            </w:r>
          </w:p>
          <w:p w:rsidR="00071274" w:rsidRDefault="00071274" w:rsidP="00407DBA">
            <w:pPr>
              <w:rPr>
                <w:rFonts w:ascii="Arial" w:hAnsi="Arial" w:cs="Arial"/>
              </w:rPr>
            </w:pPr>
            <w:r>
              <w:rPr>
                <w:rFonts w:ascii="Arial" w:hAnsi="Arial" w:cs="Arial"/>
              </w:rPr>
              <w:t>3-8 reps/ set</w:t>
            </w:r>
          </w:p>
        </w:tc>
        <w:tc>
          <w:tcPr>
            <w:tcW w:w="1559" w:type="dxa"/>
          </w:tcPr>
          <w:p w:rsidR="00F56E1C" w:rsidRDefault="00071274" w:rsidP="00F56E1C">
            <w:pPr>
              <w:rPr>
                <w:rFonts w:ascii="Arial" w:hAnsi="Arial" w:cs="Arial"/>
              </w:rPr>
            </w:pPr>
            <w:r>
              <w:rPr>
                <w:rFonts w:ascii="Arial" w:hAnsi="Arial" w:cs="Arial"/>
              </w:rPr>
              <w:t>Therabands/</w:t>
            </w:r>
          </w:p>
          <w:p w:rsidR="00071274" w:rsidRDefault="00071274" w:rsidP="00F56E1C">
            <w:pPr>
              <w:rPr>
                <w:rFonts w:ascii="Arial" w:hAnsi="Arial" w:cs="Arial"/>
              </w:rPr>
            </w:pPr>
            <w:r>
              <w:rPr>
                <w:rFonts w:ascii="Arial" w:hAnsi="Arial" w:cs="Arial"/>
              </w:rPr>
              <w:t>Hand weights/</w:t>
            </w:r>
          </w:p>
          <w:p w:rsidR="00071274" w:rsidRDefault="00071274" w:rsidP="00F56E1C">
            <w:pPr>
              <w:rPr>
                <w:rFonts w:ascii="Arial" w:hAnsi="Arial" w:cs="Arial"/>
              </w:rPr>
            </w:pPr>
          </w:p>
        </w:tc>
        <w:tc>
          <w:tcPr>
            <w:tcW w:w="1559" w:type="dxa"/>
          </w:tcPr>
          <w:p w:rsidR="00F56E1C" w:rsidRDefault="006E5177" w:rsidP="006E5177">
            <w:pPr>
              <w:rPr>
                <w:rFonts w:ascii="Arial" w:hAnsi="Arial" w:cs="Arial"/>
              </w:rPr>
            </w:pPr>
            <w:r>
              <w:rPr>
                <w:rFonts w:ascii="Arial" w:hAnsi="Arial" w:cs="Arial"/>
              </w:rPr>
              <w:t xml:space="preserve">Gradually increase Frequency, Intensity, Time, Type </w:t>
            </w:r>
          </w:p>
        </w:tc>
      </w:tr>
      <w:tr w:rsidR="006E5177" w:rsidTr="00F56E1C">
        <w:tc>
          <w:tcPr>
            <w:tcW w:w="1558" w:type="dxa"/>
          </w:tcPr>
          <w:p w:rsidR="006E5177" w:rsidRDefault="006E5177" w:rsidP="00F56E1C">
            <w:pPr>
              <w:rPr>
                <w:rFonts w:ascii="Arial" w:hAnsi="Arial" w:cs="Arial"/>
              </w:rPr>
            </w:pPr>
          </w:p>
        </w:tc>
        <w:tc>
          <w:tcPr>
            <w:tcW w:w="1558" w:type="dxa"/>
          </w:tcPr>
          <w:p w:rsidR="006E5177" w:rsidRDefault="00826353" w:rsidP="00F56E1C">
            <w:pPr>
              <w:rPr>
                <w:rFonts w:ascii="Arial" w:hAnsi="Arial" w:cs="Arial"/>
              </w:rPr>
            </w:pPr>
            <w:r>
              <w:rPr>
                <w:rFonts w:ascii="Arial" w:hAnsi="Arial" w:cs="Arial"/>
              </w:rPr>
              <w:t>4-6</w:t>
            </w:r>
          </w:p>
        </w:tc>
        <w:tc>
          <w:tcPr>
            <w:tcW w:w="1558" w:type="dxa"/>
          </w:tcPr>
          <w:p w:rsidR="006E5177" w:rsidRDefault="00826353" w:rsidP="00F56E1C">
            <w:pPr>
              <w:rPr>
                <w:rFonts w:ascii="Arial" w:hAnsi="Arial" w:cs="Arial"/>
              </w:rPr>
            </w:pPr>
            <w:r>
              <w:rPr>
                <w:rFonts w:ascii="Arial" w:hAnsi="Arial" w:cs="Arial"/>
              </w:rPr>
              <w:t>2d/ week</w:t>
            </w:r>
          </w:p>
        </w:tc>
        <w:tc>
          <w:tcPr>
            <w:tcW w:w="1558" w:type="dxa"/>
          </w:tcPr>
          <w:p w:rsidR="006E5177" w:rsidRDefault="00407DBA" w:rsidP="00F56E1C">
            <w:pPr>
              <w:rPr>
                <w:rFonts w:ascii="Arial" w:hAnsi="Arial" w:cs="Arial"/>
              </w:rPr>
            </w:pPr>
            <w:r>
              <w:rPr>
                <w:rFonts w:ascii="Arial" w:hAnsi="Arial" w:cs="Arial"/>
              </w:rPr>
              <w:t>3-4 sets @</w:t>
            </w:r>
          </w:p>
          <w:p w:rsidR="00407DBA" w:rsidRDefault="00071274" w:rsidP="00F56E1C">
            <w:pPr>
              <w:rPr>
                <w:rFonts w:ascii="Arial" w:hAnsi="Arial" w:cs="Arial"/>
              </w:rPr>
            </w:pPr>
            <w:r>
              <w:rPr>
                <w:rFonts w:ascii="Arial" w:hAnsi="Arial" w:cs="Arial"/>
              </w:rPr>
              <w:t>Light-Heavy</w:t>
            </w:r>
          </w:p>
          <w:p w:rsidR="00071274" w:rsidRDefault="00071274" w:rsidP="00F56E1C">
            <w:pPr>
              <w:rPr>
                <w:rFonts w:ascii="Arial" w:hAnsi="Arial" w:cs="Arial"/>
              </w:rPr>
            </w:pPr>
            <w:r>
              <w:rPr>
                <w:rFonts w:ascii="Arial" w:hAnsi="Arial" w:cs="Arial"/>
              </w:rPr>
              <w:t>Resistance</w:t>
            </w:r>
          </w:p>
          <w:p w:rsidR="00071274" w:rsidRDefault="00071274" w:rsidP="00F56E1C">
            <w:pPr>
              <w:rPr>
                <w:rFonts w:ascii="Arial" w:hAnsi="Arial" w:cs="Arial"/>
              </w:rPr>
            </w:pPr>
            <w:r>
              <w:rPr>
                <w:rFonts w:ascii="Arial" w:hAnsi="Arial" w:cs="Arial"/>
              </w:rPr>
              <w:t>6-9 reps/ set</w:t>
            </w:r>
          </w:p>
        </w:tc>
        <w:tc>
          <w:tcPr>
            <w:tcW w:w="1559" w:type="dxa"/>
          </w:tcPr>
          <w:p w:rsidR="006E5177" w:rsidRDefault="00071274" w:rsidP="00F56E1C">
            <w:pPr>
              <w:rPr>
                <w:rFonts w:ascii="Arial" w:hAnsi="Arial" w:cs="Arial"/>
              </w:rPr>
            </w:pPr>
            <w:r>
              <w:rPr>
                <w:rFonts w:ascii="Arial" w:hAnsi="Arial" w:cs="Arial"/>
              </w:rPr>
              <w:t>1 lb./ 3 lb. / 5 lb. hand weights</w:t>
            </w:r>
          </w:p>
          <w:p w:rsidR="00071274" w:rsidRDefault="00071274" w:rsidP="00F56E1C">
            <w:pPr>
              <w:rPr>
                <w:rFonts w:ascii="Arial" w:hAnsi="Arial" w:cs="Arial"/>
              </w:rPr>
            </w:pPr>
          </w:p>
        </w:tc>
        <w:tc>
          <w:tcPr>
            <w:tcW w:w="1559" w:type="dxa"/>
          </w:tcPr>
          <w:p w:rsidR="006E5177" w:rsidRDefault="006E5177" w:rsidP="006E5177">
            <w:pPr>
              <w:rPr>
                <w:rFonts w:ascii="Arial" w:hAnsi="Arial" w:cs="Arial"/>
              </w:rPr>
            </w:pPr>
          </w:p>
        </w:tc>
      </w:tr>
      <w:tr w:rsidR="00407DBA" w:rsidTr="00F56E1C">
        <w:tc>
          <w:tcPr>
            <w:tcW w:w="1558" w:type="dxa"/>
          </w:tcPr>
          <w:p w:rsidR="00407DBA" w:rsidRDefault="00407DBA" w:rsidP="00F56E1C">
            <w:pPr>
              <w:rPr>
                <w:rFonts w:ascii="Arial" w:hAnsi="Arial" w:cs="Arial"/>
              </w:rPr>
            </w:pPr>
          </w:p>
        </w:tc>
        <w:tc>
          <w:tcPr>
            <w:tcW w:w="1558" w:type="dxa"/>
          </w:tcPr>
          <w:p w:rsidR="00407DBA" w:rsidRDefault="00407DBA" w:rsidP="00F56E1C">
            <w:pPr>
              <w:rPr>
                <w:rFonts w:ascii="Arial" w:hAnsi="Arial" w:cs="Arial"/>
              </w:rPr>
            </w:pPr>
            <w:r>
              <w:rPr>
                <w:rFonts w:ascii="Arial" w:hAnsi="Arial" w:cs="Arial"/>
              </w:rPr>
              <w:t>7-10</w:t>
            </w:r>
          </w:p>
        </w:tc>
        <w:tc>
          <w:tcPr>
            <w:tcW w:w="1558" w:type="dxa"/>
          </w:tcPr>
          <w:p w:rsidR="00407DBA" w:rsidRDefault="00407DBA" w:rsidP="00F56E1C">
            <w:pPr>
              <w:rPr>
                <w:rFonts w:ascii="Arial" w:hAnsi="Arial" w:cs="Arial"/>
              </w:rPr>
            </w:pPr>
            <w:r>
              <w:rPr>
                <w:rFonts w:ascii="Arial" w:hAnsi="Arial" w:cs="Arial"/>
              </w:rPr>
              <w:t>3d/ week</w:t>
            </w:r>
          </w:p>
        </w:tc>
        <w:tc>
          <w:tcPr>
            <w:tcW w:w="1558" w:type="dxa"/>
          </w:tcPr>
          <w:p w:rsidR="00407DBA" w:rsidRDefault="00407DBA" w:rsidP="00F56E1C">
            <w:pPr>
              <w:rPr>
                <w:rFonts w:ascii="Arial" w:hAnsi="Arial" w:cs="Arial"/>
              </w:rPr>
            </w:pPr>
            <w:r>
              <w:rPr>
                <w:rFonts w:ascii="Arial" w:hAnsi="Arial" w:cs="Arial"/>
              </w:rPr>
              <w:t>3-4 sets @</w:t>
            </w:r>
            <w:r w:rsidR="00071274">
              <w:rPr>
                <w:rFonts w:ascii="Arial" w:hAnsi="Arial" w:cs="Arial"/>
              </w:rPr>
              <w:t xml:space="preserve"> </w:t>
            </w:r>
          </w:p>
          <w:p w:rsidR="00071274" w:rsidRDefault="00071274" w:rsidP="00F56E1C">
            <w:pPr>
              <w:rPr>
                <w:rFonts w:ascii="Arial" w:hAnsi="Arial" w:cs="Arial"/>
              </w:rPr>
            </w:pPr>
            <w:r>
              <w:rPr>
                <w:rFonts w:ascii="Arial" w:hAnsi="Arial" w:cs="Arial"/>
              </w:rPr>
              <w:t>Moderate-Heavy resistance</w:t>
            </w:r>
          </w:p>
          <w:p w:rsidR="00071274" w:rsidRDefault="00071274" w:rsidP="00F56E1C">
            <w:pPr>
              <w:rPr>
                <w:rFonts w:ascii="Arial" w:hAnsi="Arial" w:cs="Arial"/>
              </w:rPr>
            </w:pPr>
            <w:r>
              <w:rPr>
                <w:rFonts w:ascii="Arial" w:hAnsi="Arial" w:cs="Arial"/>
              </w:rPr>
              <w:lastRenderedPageBreak/>
              <w:t>8-12 reps/ set</w:t>
            </w:r>
          </w:p>
        </w:tc>
        <w:tc>
          <w:tcPr>
            <w:tcW w:w="1559" w:type="dxa"/>
          </w:tcPr>
          <w:p w:rsidR="00407DBA" w:rsidRDefault="00407DBA" w:rsidP="00F56E1C">
            <w:pPr>
              <w:rPr>
                <w:rFonts w:ascii="Arial" w:hAnsi="Arial" w:cs="Arial"/>
              </w:rPr>
            </w:pPr>
          </w:p>
        </w:tc>
        <w:tc>
          <w:tcPr>
            <w:tcW w:w="1559" w:type="dxa"/>
          </w:tcPr>
          <w:p w:rsidR="00407DBA" w:rsidRDefault="00407DBA" w:rsidP="006E5177">
            <w:pPr>
              <w:rPr>
                <w:rFonts w:ascii="Arial" w:hAnsi="Arial" w:cs="Arial"/>
              </w:rPr>
            </w:pPr>
          </w:p>
        </w:tc>
      </w:tr>
    </w:tbl>
    <w:p w:rsidR="00DB46C0" w:rsidRPr="00DB46C0" w:rsidRDefault="00DB46C0" w:rsidP="002B39CE">
      <w:pPr>
        <w:spacing w:after="0" w:line="480" w:lineRule="auto"/>
        <w:rPr>
          <w:rFonts w:ascii="Arial" w:hAnsi="Arial" w:cs="Arial"/>
          <w:sz w:val="24"/>
          <w:szCs w:val="24"/>
        </w:rPr>
      </w:pPr>
      <w:r>
        <w:rPr>
          <w:rFonts w:ascii="Arial" w:hAnsi="Arial" w:cs="Arial"/>
          <w:sz w:val="24"/>
          <w:szCs w:val="24"/>
        </w:rPr>
        <w:lastRenderedPageBreak/>
        <w:t xml:space="preserve"> </w:t>
      </w:r>
    </w:p>
    <w:p w:rsidR="00C03814" w:rsidRDefault="00071274" w:rsidP="00724AF1">
      <w:pPr>
        <w:spacing w:after="0" w:line="480" w:lineRule="auto"/>
        <w:ind w:firstLine="720"/>
        <w:rPr>
          <w:rFonts w:ascii="Arial" w:hAnsi="Arial" w:cs="Arial"/>
          <w:sz w:val="24"/>
          <w:szCs w:val="24"/>
        </w:rPr>
      </w:pPr>
      <w:r w:rsidRPr="00071274">
        <w:rPr>
          <w:rFonts w:ascii="Arial" w:hAnsi="Arial" w:cs="Arial"/>
          <w:sz w:val="24"/>
          <w:szCs w:val="24"/>
          <w:u w:val="single"/>
        </w:rPr>
        <w:t>Manual therapy</w:t>
      </w:r>
      <w:r w:rsidR="009A2526">
        <w:rPr>
          <w:rFonts w:ascii="Arial" w:hAnsi="Arial" w:cs="Arial"/>
          <w:sz w:val="24"/>
          <w:szCs w:val="24"/>
        </w:rPr>
        <w:t xml:space="preserve"> – </w:t>
      </w:r>
      <w:r>
        <w:rPr>
          <w:rFonts w:ascii="Arial" w:hAnsi="Arial" w:cs="Arial"/>
          <w:sz w:val="24"/>
          <w:szCs w:val="24"/>
        </w:rPr>
        <w:t>Including s</w:t>
      </w:r>
      <w:r w:rsidR="009A2526">
        <w:rPr>
          <w:rFonts w:ascii="Arial" w:hAnsi="Arial" w:cs="Arial"/>
          <w:sz w:val="24"/>
          <w:szCs w:val="24"/>
        </w:rPr>
        <w:t>uperficial heat, soft tissue massage,</w:t>
      </w:r>
      <w:r>
        <w:rPr>
          <w:rFonts w:ascii="Arial" w:hAnsi="Arial" w:cs="Arial"/>
          <w:sz w:val="24"/>
          <w:szCs w:val="24"/>
        </w:rPr>
        <w:t xml:space="preserve"> spinal mobilizations. American College of Physicians and APTA include hands-on therapy and modalities for pain reduction and improved flexibility/ mobility for patients like Patricia.</w:t>
      </w:r>
      <w:r w:rsidR="00724AF1">
        <w:rPr>
          <w:rFonts w:ascii="Arial" w:hAnsi="Arial" w:cs="Arial"/>
          <w:sz w:val="24"/>
          <w:szCs w:val="24"/>
        </w:rPr>
        <w:t xml:space="preserve"> Low quality to moderate quality evidence supports heat and massage for pain and functional improvements.</w:t>
      </w:r>
      <w:r w:rsidR="00724AF1">
        <w:rPr>
          <w:rFonts w:ascii="Arial" w:hAnsi="Arial" w:cs="Arial"/>
          <w:sz w:val="24"/>
          <w:szCs w:val="24"/>
        </w:rPr>
        <w:fldChar w:fldCharType="begin"/>
      </w:r>
      <w:r w:rsidR="009C5736">
        <w:rPr>
          <w:rFonts w:ascii="Arial" w:hAnsi="Arial" w:cs="Arial"/>
          <w:sz w:val="24"/>
          <w:szCs w:val="24"/>
        </w:rPr>
        <w:instrText>ADDIN F1000_CSL_CITATION&lt;~#@#~&gt;[{"title":"Noninvasive treatments for acute, subacute, and chronic low back pain: A clinical practice guideline from the american college of physicians.","id":"3132489","page":"514-530","type":"article-journal","volume":"166","issue":"7","author":[{"family":"Qaseem","given":"Amir"},{"family":"Wilt","given":"Timothy J"},{"family":"McLean","given":"Robert M"},{"family":"Forciea","given":"Mary Ann"},{"family":"Clinical Guidelines Committee of the American College of Physicians"}],"issued":{"date-parts":[["2017","4","4"]]},"container-title":"Annals of Internal Medicine","container-title-short":"Ann. Intern. Med.","journalAbbreviation":"Ann. Intern. Med.","DOI":"10.7326/M16-2367","PMID":"28192789","citation-label":"3132489","Abstract":"&lt;strong&gt;Description:&lt;/strong&gt; The American College of Physicians (ACP) developed this guideline to present the evidence and provide clinical recommendations on noninvasive treatment of low back pain.&lt;br&gt;&lt;br&gt;&lt;strong&gt;Methods:&lt;/strong&gt; Using the ACP grading system, the committee based these recommendations on a systematic review of randomized, controlled trials and systematic reviews published through April 2015 on noninvasive pharmacologic and nonpharmacologic treatments for low back pain. Updated searches were performed through November 2016. Clinical outcomes evaluated included reduction or elimination of low back pain, improvement in back-specific and overall function, improvement in health-related quality of life, reduction in work disability and return to work, global improvement, number of back pain episodes or time between episodes, patient satisfaction, and adverse effects.&lt;br&gt;&lt;br&gt;&lt;strong&gt;Target Audience and Patient Population:&lt;/strong&gt; The target audience for this guideline includes all clinicians, and the target patient population includes adults with acute, subacute, or chronic low back pain.&lt;br&gt;&lt;br&gt;&lt;strong&gt;Recommendation 1:&lt;/strong&gt; Given that most patients with acute or subacute low back pain improve over time regardless of treatment, clinicians and patients should select nonpharmacologic treatment with superficial heat (moderate-quality evidence), massage, acupuncture, or spinal manipulation (low-quality evidence). If pharmacologic treatment is desired, clinicians and patients should select nonsteroidal anti-inflammatory drugs or skeletal muscle relaxants (moderate-quality evidence). (Grade: strong recommendation).&lt;br&gt;&lt;br&gt;&lt;strong&gt;Recommendation 2:&lt;/strong&gt; For patients with chronic low back pain, clinicians and patients should initially select nonpharmacologic treatment with exercise, multidisciplinary rehabilitation, acupuncture, mindfulness-based stress reduction (moderate-quality evidence), tai chi, yoga, motor control exercise, progressive relaxation, electromyography biofeedback, low-level laser therapy, operant therapy, cognitive behavioral therapy, or spinal manipulation (low-quality evidence). (Grade: strong recommendation).&lt;br&gt;&lt;br&gt;&lt;strong&gt;Recommendation 3:&lt;/strong&gt; In patients with chronic low back pain who have had an inadequate response to nonpharmacologic therapy, clinicians and patients should consider pharmacologic treatment with nonsteroidal anti-inflammatory drugs as first-line therapy, or tramadol or duloxetine as second-line therapy. Clinicians should only consider opioids as an option in patients who have failed the aforementioned treatments and only if the potential benefits outweigh the risks for individual patients and after a discussion of known risks and realistic benefits with patients. (Grade: weak recommendation, moderate-quality evidence).","CleanAbstract":"Description: The American College of Physicians (ACP) developed this guideline to present the evidence and provide clinical recommendations on noninvasive treatment of low back pain.Methods: Using the ACP grading system, the committee based these recommendations on a systematic review of randomized, controlled trials and systematic reviews published through April 2015 on noninvasive pharmacologic and nonpharmacologic treatments for low back pain. Updated searches were performed through November 2016. Clinical outcomes evaluated included reduction or elimination of low back pain, improvement in back-specific and overall function, improvement in health-related quality of life, reduction in work disability and return to work, global improvement, number of back pain episodes or time between episodes, patient satisfaction, and adverse effects.Target Audience and Patient Population: The target audience for this guideline includes all clinicians, and the target patient population includes adults with acute, subacute, or chronic low back pain.Recommendation 1: Given that most patients with acute or subacute low back pain improve over time regardless of treatment, clinicians and patients should select nonpharmacologic treatment with superficial heat (moderate-quality evidence), massage, acupuncture, or spinal manipulation (low-quality evidence). If pharmacologic treatment is desired, clinicians and patients should select nonsteroidal anti-inflammatory drugs or skeletal muscle relaxants (moderate-quality evidence). (Grade: strong recommendation).Recommendation 2: For patients with chronic low back pain, clinicians and patients should initially select nonpharmacologic treatment with exercise, multidisciplinary rehabilitation, acupuncture, mindfulness-based stress reduction (moderate-quality evidence), tai chi, yoga, motor control exercise, progressive relaxation, electromyography biofeedback, low-level laser therapy, operant therapy, cognitive behavioral therapy, or spinal manipulation (low-quality evidence). (Grade: strong recommendation).Recommendation 3: In patients with chronic low back pain who have had an inadequate response to nonpharmacologic therapy, clinicians and patients should consider pharmacologic treatment with nonsteroidal anti-inflammatory drugs as first-line therapy, or tramadol or duloxetine as second-line therapy. Clinicians should only consider opioids as an option in patients who have failed the aforementioned treatments and only if the potential benefits outweigh the risks for individual patients and after a discussion of known risks and realistic benefits with patients. (Grade: weak recommendation, moderate-quality evidence)."}]</w:instrText>
      </w:r>
      <w:r w:rsidR="00724AF1">
        <w:rPr>
          <w:rFonts w:ascii="Arial" w:hAnsi="Arial" w:cs="Arial"/>
          <w:sz w:val="24"/>
          <w:szCs w:val="24"/>
        </w:rPr>
        <w:fldChar w:fldCharType="separate"/>
      </w:r>
      <w:r w:rsidR="009C5736" w:rsidRPr="009C5736">
        <w:rPr>
          <w:rFonts w:ascii="Arial" w:hAnsi="Arial" w:cs="Arial"/>
          <w:sz w:val="24"/>
          <w:szCs w:val="24"/>
          <w:vertAlign w:val="superscript"/>
        </w:rPr>
        <w:t>6</w:t>
      </w:r>
      <w:r w:rsidR="00724AF1">
        <w:rPr>
          <w:rFonts w:ascii="Arial" w:hAnsi="Arial" w:cs="Arial"/>
          <w:sz w:val="24"/>
          <w:szCs w:val="24"/>
        </w:rPr>
        <w:fldChar w:fldCharType="end"/>
      </w:r>
      <w:r w:rsidR="00724AF1">
        <w:rPr>
          <w:rFonts w:ascii="Arial" w:hAnsi="Arial" w:cs="Arial"/>
          <w:sz w:val="24"/>
          <w:szCs w:val="24"/>
        </w:rPr>
        <w:t xml:space="preserve"> In patients with chronic back pain, manual therapy is recommended by the APTA for improvement of spinal segmental mobility as well as pain reduction.</w:t>
      </w:r>
      <w:r w:rsidR="00724AF1">
        <w:rPr>
          <w:rFonts w:ascii="Arial" w:hAnsi="Arial" w:cs="Arial"/>
          <w:sz w:val="24"/>
          <w:szCs w:val="24"/>
        </w:rPr>
        <w:fldChar w:fldCharType="begin"/>
      </w:r>
      <w:r w:rsidR="009C5736">
        <w:rPr>
          <w:rFonts w:ascii="Arial" w:hAnsi="Arial" w:cs="Arial"/>
          <w:sz w:val="24"/>
          <w:szCs w:val="24"/>
        </w:rPr>
        <w:instrText>ADDIN F1000_CSL_CITATION&lt;~#@#~&gt;[{"title":"Low Back Pain: clinical practice guidelines linked to the international classification of functioning, disability, and health from the Orthopaedic Section of the American Physical Therapy Association","id":"612592","page":"A1-A57","type":"article-journal","volume":"42","author":[{"family":"Delitto","given":"A"},{"family":"George","given":"sz"},{"family":"Van Dillen","given":"L"}],"issued":{"date-parts":[["2012"]]},"container-title":"The Journal of Orthopaedic and Sports Physical Therapy","container-title-short":"J. Orthop. Sports Phys. Ther.","journalAbbreviation":"J. Orthop. Sports Phys. Ther.","DOI":"10.2519/jospt.2012.0301","PMID":"22660660","citation-label":"612592"}]</w:instrText>
      </w:r>
      <w:r w:rsidR="00724AF1">
        <w:rPr>
          <w:rFonts w:ascii="Arial" w:hAnsi="Arial" w:cs="Arial"/>
          <w:sz w:val="24"/>
          <w:szCs w:val="24"/>
        </w:rPr>
        <w:fldChar w:fldCharType="separate"/>
      </w:r>
      <w:r w:rsidR="009C5736" w:rsidRPr="009C5736">
        <w:rPr>
          <w:rFonts w:ascii="Arial" w:hAnsi="Arial" w:cs="Arial"/>
          <w:sz w:val="24"/>
          <w:szCs w:val="24"/>
          <w:vertAlign w:val="superscript"/>
        </w:rPr>
        <w:t>7</w:t>
      </w:r>
      <w:r w:rsidR="00724AF1">
        <w:rPr>
          <w:rFonts w:ascii="Arial" w:hAnsi="Arial" w:cs="Arial"/>
          <w:sz w:val="24"/>
          <w:szCs w:val="24"/>
        </w:rPr>
        <w:fldChar w:fldCharType="end"/>
      </w:r>
    </w:p>
    <w:p w:rsidR="00612E4D" w:rsidRDefault="00724AF1" w:rsidP="002B39CE">
      <w:pPr>
        <w:spacing w:after="0" w:line="480" w:lineRule="auto"/>
        <w:rPr>
          <w:rFonts w:ascii="Arial" w:hAnsi="Arial" w:cs="Arial"/>
          <w:sz w:val="24"/>
          <w:szCs w:val="24"/>
        </w:rPr>
      </w:pPr>
      <w:r>
        <w:rPr>
          <w:rFonts w:ascii="Arial" w:hAnsi="Arial" w:cs="Arial"/>
          <w:sz w:val="24"/>
          <w:szCs w:val="24"/>
        </w:rPr>
        <w:tab/>
      </w:r>
      <w:r w:rsidRPr="00724AF1">
        <w:rPr>
          <w:rFonts w:ascii="Arial" w:hAnsi="Arial" w:cs="Arial"/>
          <w:sz w:val="24"/>
          <w:szCs w:val="24"/>
          <w:u w:val="single"/>
        </w:rPr>
        <w:t>Patient education</w:t>
      </w:r>
      <w:r w:rsidRPr="00724AF1">
        <w:rPr>
          <w:rFonts w:ascii="Arial" w:hAnsi="Arial" w:cs="Arial"/>
          <w:sz w:val="24"/>
          <w:szCs w:val="24"/>
        </w:rPr>
        <w:t xml:space="preserve"> </w:t>
      </w:r>
      <w:r>
        <w:rPr>
          <w:rFonts w:ascii="Arial" w:hAnsi="Arial" w:cs="Arial"/>
          <w:sz w:val="24"/>
          <w:szCs w:val="24"/>
        </w:rPr>
        <w:t>– Patricia would benefit from so</w:t>
      </w:r>
      <w:r w:rsidR="00612E4D">
        <w:rPr>
          <w:rFonts w:ascii="Arial" w:hAnsi="Arial" w:cs="Arial"/>
          <w:sz w:val="24"/>
          <w:szCs w:val="24"/>
        </w:rPr>
        <w:t>me recent research into pain perception. Moseley described the neuromatrix conceptually as being composed of the brain as a huge information processor. Initially, pain is transmitted from sensory receptors and serves as warning to avoid harm. Once the threat subsides (over a range of time), the signal goes away. However, for some people, other habits or influences can serve to nurture the pain signals and a negative cycle of elevated pain response follows. Phantom limb phenomenon is an illustration of how the brain is experiencing pain signals but the actual threat is no longer present.</w:t>
      </w:r>
      <w:r w:rsidR="00612E4D">
        <w:rPr>
          <w:rFonts w:ascii="Arial" w:hAnsi="Arial" w:cs="Arial"/>
          <w:sz w:val="24"/>
          <w:szCs w:val="24"/>
        </w:rPr>
        <w:fldChar w:fldCharType="begin"/>
      </w:r>
      <w:r w:rsidR="009C5736">
        <w:rPr>
          <w:rFonts w:ascii="Arial" w:hAnsi="Arial" w:cs="Arial"/>
          <w:sz w:val="24"/>
          <w:szCs w:val="24"/>
        </w:rPr>
        <w:instrText>ADDIN F1000_CSL_CITATION&lt;~#@#~&gt;[{"title":"A pain neuromatrix approach to patients with chronic pain.","id":"612467","page":"130-140","type":"article-journal","volume":"8","issue":"3","author":[{"family":"Moseley","given":"G L"}],"issued":{"date-parts":[["2003","8"]]},"container-title":"Manual Therapy","container-title-short":"Man. Ther.","journalAbbreviation":"Man. Ther.","DOI":"10.1016/S1356-689X(03)00051-1","PMID":"12909433","citation-label":"612467","Abstract":"This paper presents an approach to rehabilitation of pain patients. The fundamental principles of the approach are (i) pain is an output of the brain that is produced whenever the brain concludes that body tissue is in danger and action is required, and (ii) pain is a multisystem output that is produced when an individual-specific cortical pain neuromatrix is activated. When pain becomes chronic, the efficacy of the pain neuromatrix is strengthened via nociceptive and non-nociceptive mechanisms, which means that less input, both nociceptive and non-nociceptive, is required to produce pain. The clinical approach focuses on decreasing all inputs that imply that body tissue is in danger and then on activating components of the pain neuromatrix without activating its output. Rehabilitation progresses to increase exposure to threatening input across sensory and non-sensory domains.","CleanAbstract":"This paper presents an approach to rehabilitation of pain patients. The fundamental principles of the approach are (i) pain is an output of the brain that is produced whenever the brain concludes that body tissue is in danger and action is required, and (ii) pain is a multisystem output that is produced when an individual-specific cortical pain neuromatrix is activated. When pain becomes chronic, the efficacy of the pain neuromatrix is strengthened via nociceptive and non-nociceptive mechanisms, which means that less input, both nociceptive and non-nociceptive, is required to produce pain. The clinical approach focuses on decreasing all inputs that imply that body tissue is in danger and then on activating components of the pain neuromatrix without activating its output. Rehabilitation progresses to increase exposure to threatening input across sensory and non-sensory domains."}]</w:instrText>
      </w:r>
      <w:r w:rsidR="00612E4D">
        <w:rPr>
          <w:rFonts w:ascii="Arial" w:hAnsi="Arial" w:cs="Arial"/>
          <w:sz w:val="24"/>
          <w:szCs w:val="24"/>
        </w:rPr>
        <w:fldChar w:fldCharType="separate"/>
      </w:r>
      <w:r w:rsidR="009C5736" w:rsidRPr="009C5736">
        <w:rPr>
          <w:rFonts w:ascii="Arial" w:hAnsi="Arial" w:cs="Arial"/>
          <w:sz w:val="24"/>
          <w:szCs w:val="24"/>
          <w:vertAlign w:val="superscript"/>
        </w:rPr>
        <w:t>15</w:t>
      </w:r>
      <w:r w:rsidR="00612E4D">
        <w:rPr>
          <w:rFonts w:ascii="Arial" w:hAnsi="Arial" w:cs="Arial"/>
          <w:sz w:val="24"/>
          <w:szCs w:val="24"/>
        </w:rPr>
        <w:fldChar w:fldCharType="end"/>
      </w:r>
    </w:p>
    <w:p w:rsidR="00612E4D" w:rsidRDefault="00612E4D" w:rsidP="002B39CE">
      <w:pPr>
        <w:spacing w:after="0" w:line="480" w:lineRule="auto"/>
        <w:rPr>
          <w:rFonts w:ascii="Arial" w:hAnsi="Arial" w:cs="Arial"/>
          <w:sz w:val="24"/>
          <w:szCs w:val="24"/>
        </w:rPr>
      </w:pPr>
      <w:r>
        <w:rPr>
          <w:rFonts w:ascii="Arial" w:hAnsi="Arial" w:cs="Arial"/>
          <w:sz w:val="24"/>
          <w:szCs w:val="24"/>
        </w:rPr>
        <w:tab/>
        <w:t xml:space="preserve">For patients like Patricia, if it is determined that there may be a psychosocial component to her pain rather than an anatomical or actual threat, exercises like those described above along with an education program may be beneficial. </w:t>
      </w:r>
      <w:proofErr w:type="spellStart"/>
      <w:r>
        <w:rPr>
          <w:rFonts w:ascii="Arial" w:hAnsi="Arial" w:cs="Arial"/>
          <w:sz w:val="24"/>
          <w:szCs w:val="24"/>
        </w:rPr>
        <w:t>Nijs</w:t>
      </w:r>
      <w:proofErr w:type="spellEnd"/>
      <w:r>
        <w:rPr>
          <w:rFonts w:ascii="Arial" w:hAnsi="Arial" w:cs="Arial"/>
          <w:sz w:val="24"/>
          <w:szCs w:val="24"/>
        </w:rPr>
        <w:t xml:space="preserve"> et al. provide a detailed 2 session education program involving information about pain sensation and homework to complete that guides them to a reduced pain experience. Each patient is treated with respect and acknowledgement of their experience. Through that foundation, </w:t>
      </w:r>
      <w:r>
        <w:rPr>
          <w:rFonts w:ascii="Arial" w:hAnsi="Arial" w:cs="Arial"/>
          <w:sz w:val="24"/>
          <w:szCs w:val="24"/>
        </w:rPr>
        <w:lastRenderedPageBreak/>
        <w:t>patients learn how to recognize threats through reconceptualization of pain, altering of belief patterns, and adaptive pain responses.</w:t>
      </w:r>
      <w:r>
        <w:rPr>
          <w:rFonts w:ascii="Arial" w:hAnsi="Arial" w:cs="Arial"/>
          <w:sz w:val="24"/>
          <w:szCs w:val="24"/>
        </w:rPr>
        <w:fldChar w:fldCharType="begin"/>
      </w:r>
      <w:r w:rsidR="009C5736">
        <w:rPr>
          <w:rFonts w:ascii="Arial" w:hAnsi="Arial" w:cs="Arial"/>
          <w:sz w:val="24"/>
          <w:szCs w:val="24"/>
        </w:rPr>
        <w:instrText>ADDIN F1000_CSL_CITATION&lt;~#@#~&gt;[{"title":"How to explain central sensitization to patients with 'unexplained' chronic musculoskeletal pain: practice guidelines.","id":"1947295","page":"413-418","type":"article-journal","volume":"16","issue":"5","author":[{"family":"Nijs","given":"Jo"},{"family":"Paul van Wilgen","given":"C"},{"family":"Van Oosterwijck","given":"Jessica"},{"family":"van Ittersum","given":"Miriam"},{"family":"Meeus","given":"Mira"}],"issued":{"date-parts":[["2011","10"]]},"container-title":"Manual Therapy","container-title-short":"Man. Ther.","journalAbbreviation":"Man. Ther.","DOI":"10.1016/j.math.2011.04.005","PMID":"21632273","citation-label":"1947295","Abstract":"Central sensitization provides an evidence-based explanation for many cases of 'unexplained' chronic musculoskeletal pain. Prior to commencing rehabilitation in such cases, it is crucial to change maladaptive illness perceptions, to alter maladaptive pain cognitions and to reconceptualise pain. This can be accomplished by patient education about central sensitization and its role in chronic pain, a strategy known as pain physiology education. Pain physiology education is indicated when: 1) the clinical picture is characterized and dominated by central sensitization; and 2) maladaptive illness perceptions are present. Both are prerequisites for commencing pain physiology education. Face-to-face sessions of pain physiology education, in conjunction with written educational material, are effective for changing pain cognitions and improving health status in patients with various chronic musculoskeletal pain disorders. These include patients with chronic low back pain, chronic whiplash, fibromyalgia and chronic fatigue syndrome. After biopsychosocial assessment pain physiology education comprises of a first face-to-face session explaining basic pain physiology and contrasting acute nociception versus chronic pain (Session 1). Written information about pain physiology should be provided as homework in between session 1 and 2. The second session can be used to correct misunderstandings, and to facilitate the transition from knowledge to adaptive pain coping during daily life. Pain physiology education is a continuous process initiated during the educational sessions and continued within both the active treatment and during the longer term rehabilitation program.&lt;br&gt;&lt;br&gt;Copyright © 2011 Elsevier Ltd. All rights reserved.","CleanAbstract":"Central sensitization provides an evidence-based explanation for many cases of 'unexplained' chronic musculoskeletal pain. Prior to commencing rehabilitation in such cases, it is crucial to change maladaptive illness perceptions, to alter maladaptive pain cognitions and to reconceptualise pain. This can be accomplished by patient education about central sensitization and its role in chronic pain, a strategy known as pain physiology education. Pain physiology education is indicated when: 1) the clinical picture is characterized and dominated by central sensitization; and 2) maladaptive illness perceptions are present. Both are prerequisites for commencing pain physiology education. Face-to-face sessions of pain physiology education, in conjunction with written educational material, are effective for changing pain cognitions and improving health status in patients with various chronic musculoskeletal pain disorders. These include patients with chronic low back pain, chronic whiplash, fibromyalgia and chronic fatigue syndrome. After biopsychosocial assessment pain physiology education comprises of a first face-to-face session explaining basic pain physiology and contrasting acute nociception versus chronic pain (Session 1). Written information about pain physiology should be provided as homework in between session 1 and 2. The second session can be used to correct misunderstandings, and to facilitate the transition from knowledge to adaptive pain coping during daily life. Pain physiology education is a continuous process initiated during the educational sessions and continued within both the active treatment and during the longer term rehabilitation program.Copyright © 2011 Elsevier Ltd. All rights reserved."}]</w:instrText>
      </w:r>
      <w:r>
        <w:rPr>
          <w:rFonts w:ascii="Arial" w:hAnsi="Arial" w:cs="Arial"/>
          <w:sz w:val="24"/>
          <w:szCs w:val="24"/>
        </w:rPr>
        <w:fldChar w:fldCharType="separate"/>
      </w:r>
      <w:r w:rsidR="009C5736" w:rsidRPr="009C5736">
        <w:rPr>
          <w:rFonts w:ascii="Arial" w:hAnsi="Arial" w:cs="Arial"/>
          <w:sz w:val="24"/>
          <w:szCs w:val="24"/>
          <w:vertAlign w:val="superscript"/>
        </w:rPr>
        <w:t>9</w:t>
      </w:r>
      <w:r>
        <w:rPr>
          <w:rFonts w:ascii="Arial" w:hAnsi="Arial" w:cs="Arial"/>
          <w:sz w:val="24"/>
          <w:szCs w:val="24"/>
        </w:rPr>
        <w:fldChar w:fldCharType="end"/>
      </w:r>
    </w:p>
    <w:p w:rsidR="00C03814" w:rsidRPr="00C03814" w:rsidRDefault="00C03814" w:rsidP="002B39CE">
      <w:pPr>
        <w:spacing w:after="0" w:line="480" w:lineRule="auto"/>
        <w:rPr>
          <w:rFonts w:ascii="Arial" w:hAnsi="Arial" w:cs="Arial"/>
          <w:b/>
          <w:sz w:val="24"/>
          <w:szCs w:val="24"/>
        </w:rPr>
      </w:pPr>
      <w:r>
        <w:rPr>
          <w:rFonts w:ascii="Arial" w:hAnsi="Arial" w:cs="Arial"/>
          <w:b/>
          <w:sz w:val="24"/>
          <w:szCs w:val="24"/>
        </w:rPr>
        <w:t>Care delivery modifications</w:t>
      </w:r>
    </w:p>
    <w:p w:rsidR="00CF2A30" w:rsidRDefault="00C03814" w:rsidP="002B39CE">
      <w:pPr>
        <w:spacing w:after="0" w:line="480" w:lineRule="auto"/>
        <w:rPr>
          <w:rFonts w:ascii="Arial" w:hAnsi="Arial" w:cs="Arial"/>
          <w:sz w:val="24"/>
          <w:szCs w:val="24"/>
        </w:rPr>
      </w:pPr>
      <w:r w:rsidRPr="00C03814">
        <w:rPr>
          <w:rFonts w:ascii="Arial" w:hAnsi="Arial" w:cs="Arial"/>
          <w:sz w:val="24"/>
          <w:szCs w:val="24"/>
        </w:rPr>
        <w:tab/>
      </w:r>
      <w:r w:rsidR="00612E4D">
        <w:rPr>
          <w:rFonts w:ascii="Arial" w:hAnsi="Arial" w:cs="Arial"/>
          <w:sz w:val="24"/>
          <w:szCs w:val="24"/>
        </w:rPr>
        <w:t xml:space="preserve">There are a number of alternatives for Patricia should she not have insurance or financial ability to pay for her PT services. </w:t>
      </w:r>
      <w:r w:rsidRPr="00C03814">
        <w:rPr>
          <w:rFonts w:ascii="Arial" w:hAnsi="Arial" w:cs="Arial"/>
          <w:sz w:val="24"/>
          <w:szCs w:val="24"/>
        </w:rPr>
        <w:t>UNC</w:t>
      </w:r>
      <w:r>
        <w:rPr>
          <w:rFonts w:ascii="Arial" w:hAnsi="Arial" w:cs="Arial"/>
          <w:sz w:val="24"/>
          <w:szCs w:val="24"/>
        </w:rPr>
        <w:t xml:space="preserve"> charity care</w:t>
      </w:r>
      <w:r w:rsidR="00612E4D">
        <w:rPr>
          <w:rFonts w:ascii="Arial" w:hAnsi="Arial" w:cs="Arial"/>
          <w:sz w:val="24"/>
          <w:szCs w:val="24"/>
        </w:rPr>
        <w:t xml:space="preserve"> would be an excellent possibility for Patricia. Information about this program is available through the UNC website.</w:t>
      </w:r>
      <w:r w:rsidR="00612E4D">
        <w:rPr>
          <w:rFonts w:ascii="Arial" w:hAnsi="Arial" w:cs="Arial"/>
          <w:sz w:val="24"/>
          <w:szCs w:val="24"/>
        </w:rPr>
        <w:fldChar w:fldCharType="begin"/>
      </w:r>
      <w:r w:rsidR="009C5736">
        <w:rPr>
          <w:rFonts w:ascii="Arial" w:hAnsi="Arial" w:cs="Arial"/>
          <w:sz w:val="24"/>
          <w:szCs w:val="24"/>
        </w:rPr>
        <w:instrText>ADDIN F1000_CSL_CITATION&lt;~#@#~&gt;[{"title":"Our Services — University Physical &amp; Occupational Therapy","id":"5000309","type":"webpage","issued":{},"URL":"http://www.med.unc.edu/ahs/physical/university-pt/our-services","accessed":{"date-parts":[["2018","3","28"]]},"citation-label":"5000309"}]</w:instrText>
      </w:r>
      <w:r w:rsidR="00612E4D">
        <w:rPr>
          <w:rFonts w:ascii="Arial" w:hAnsi="Arial" w:cs="Arial"/>
          <w:sz w:val="24"/>
          <w:szCs w:val="24"/>
        </w:rPr>
        <w:fldChar w:fldCharType="separate"/>
      </w:r>
      <w:r w:rsidR="009C5736" w:rsidRPr="009C5736">
        <w:rPr>
          <w:rFonts w:ascii="Arial" w:hAnsi="Arial" w:cs="Arial"/>
          <w:sz w:val="24"/>
          <w:szCs w:val="24"/>
          <w:vertAlign w:val="superscript"/>
        </w:rPr>
        <w:t>16</w:t>
      </w:r>
      <w:r w:rsidR="00612E4D">
        <w:rPr>
          <w:rFonts w:ascii="Arial" w:hAnsi="Arial" w:cs="Arial"/>
          <w:sz w:val="24"/>
          <w:szCs w:val="24"/>
        </w:rPr>
        <w:fldChar w:fldCharType="end"/>
      </w:r>
    </w:p>
    <w:p w:rsidR="00C03814" w:rsidRPr="00C03814" w:rsidRDefault="00C03814" w:rsidP="002B39CE">
      <w:pPr>
        <w:spacing w:after="0" w:line="480" w:lineRule="auto"/>
        <w:rPr>
          <w:rFonts w:ascii="Arial" w:hAnsi="Arial" w:cs="Arial"/>
          <w:sz w:val="24"/>
          <w:szCs w:val="24"/>
        </w:rPr>
      </w:pPr>
      <w:r>
        <w:rPr>
          <w:rFonts w:ascii="Arial" w:hAnsi="Arial" w:cs="Arial"/>
          <w:sz w:val="24"/>
          <w:szCs w:val="24"/>
        </w:rPr>
        <w:tab/>
        <w:t xml:space="preserve">Silver </w:t>
      </w:r>
      <w:r w:rsidR="009C5736">
        <w:rPr>
          <w:rFonts w:ascii="Arial" w:hAnsi="Arial" w:cs="Arial"/>
          <w:sz w:val="24"/>
          <w:szCs w:val="24"/>
        </w:rPr>
        <w:t>S</w:t>
      </w:r>
      <w:r>
        <w:rPr>
          <w:rFonts w:ascii="Arial" w:hAnsi="Arial" w:cs="Arial"/>
          <w:sz w:val="24"/>
          <w:szCs w:val="24"/>
        </w:rPr>
        <w:t xml:space="preserve">neakers </w:t>
      </w:r>
      <w:r w:rsidR="009C5736">
        <w:rPr>
          <w:rFonts w:ascii="Arial" w:hAnsi="Arial" w:cs="Arial"/>
          <w:sz w:val="24"/>
          <w:szCs w:val="24"/>
        </w:rPr>
        <w:t>is another resource that may help Patricia. The program is free on the web, and offers back exercises that are safe and easy to perform. Plus, Silver Sneakers has endurance programs and a social component that might be just the thing to keep her motivated.</w:t>
      </w:r>
      <w:r w:rsidR="009C5736">
        <w:rPr>
          <w:rFonts w:ascii="Arial" w:hAnsi="Arial" w:cs="Arial"/>
          <w:sz w:val="24"/>
          <w:szCs w:val="24"/>
        </w:rPr>
        <w:fldChar w:fldCharType="begin"/>
      </w:r>
      <w:r w:rsidR="009C5736">
        <w:rPr>
          <w:rFonts w:ascii="Arial" w:hAnsi="Arial" w:cs="Arial"/>
          <w:sz w:val="24"/>
          <w:szCs w:val="24"/>
        </w:rPr>
        <w:instrText>ADDIN F1000_CSL_CITATION&lt;~#@#~&gt;[{"title":"The Best and Worst Exercises for Back Pain - SilverSneakers","id":"5146498","type":"webpage","issued":{},"URL":"https://www.silversneakers.com/blog/exercises-back/","accessed":{"date-parts":[["2018","4","23"]]},"citation-label":"5146498"}]</w:instrText>
      </w:r>
      <w:r w:rsidR="009C5736">
        <w:rPr>
          <w:rFonts w:ascii="Arial" w:hAnsi="Arial" w:cs="Arial"/>
          <w:sz w:val="24"/>
          <w:szCs w:val="24"/>
        </w:rPr>
        <w:fldChar w:fldCharType="separate"/>
      </w:r>
      <w:r w:rsidR="009C5736" w:rsidRPr="009C5736">
        <w:rPr>
          <w:rFonts w:ascii="Arial" w:hAnsi="Arial" w:cs="Arial"/>
          <w:sz w:val="24"/>
          <w:szCs w:val="24"/>
          <w:vertAlign w:val="superscript"/>
        </w:rPr>
        <w:t>17</w:t>
      </w:r>
      <w:r w:rsidR="009C5736">
        <w:rPr>
          <w:rFonts w:ascii="Arial" w:hAnsi="Arial" w:cs="Arial"/>
          <w:sz w:val="24"/>
          <w:szCs w:val="24"/>
        </w:rPr>
        <w:fldChar w:fldCharType="end"/>
      </w:r>
    </w:p>
    <w:p w:rsidR="002B796D" w:rsidRDefault="002B796D" w:rsidP="002B39CE">
      <w:pPr>
        <w:spacing w:after="0" w:line="480" w:lineRule="auto"/>
        <w:rPr>
          <w:rFonts w:ascii="Arial" w:hAnsi="Arial" w:cs="Arial"/>
          <w:sz w:val="24"/>
          <w:szCs w:val="24"/>
        </w:rPr>
      </w:pPr>
    </w:p>
    <w:p w:rsidR="002B796D" w:rsidRDefault="002B796D" w:rsidP="002B39CE">
      <w:pPr>
        <w:spacing w:after="0" w:line="480" w:lineRule="auto"/>
        <w:rPr>
          <w:rFonts w:ascii="Arial" w:hAnsi="Arial" w:cs="Arial"/>
          <w:sz w:val="24"/>
          <w:szCs w:val="24"/>
        </w:rPr>
      </w:pPr>
    </w:p>
    <w:p w:rsidR="002B796D" w:rsidRDefault="002B796D" w:rsidP="002B39CE">
      <w:pPr>
        <w:spacing w:after="0" w:line="480" w:lineRule="auto"/>
        <w:rPr>
          <w:rFonts w:ascii="Arial" w:hAnsi="Arial" w:cs="Arial"/>
          <w:sz w:val="24"/>
          <w:szCs w:val="24"/>
        </w:rPr>
      </w:pPr>
    </w:p>
    <w:p w:rsidR="002B796D" w:rsidRDefault="002B796D" w:rsidP="002B39CE">
      <w:pPr>
        <w:spacing w:after="0" w:line="480" w:lineRule="auto"/>
        <w:rPr>
          <w:rFonts w:ascii="Arial" w:hAnsi="Arial" w:cs="Arial"/>
          <w:sz w:val="24"/>
          <w:szCs w:val="24"/>
        </w:rPr>
      </w:pPr>
    </w:p>
    <w:p w:rsidR="00CF2A30" w:rsidRDefault="00CF2A30">
      <w:pPr>
        <w:rPr>
          <w:rFonts w:ascii="Arial" w:hAnsi="Arial" w:cs="Arial"/>
          <w:sz w:val="24"/>
          <w:szCs w:val="24"/>
        </w:rPr>
      </w:pPr>
    </w:p>
    <w:p w:rsidR="00CF2A30" w:rsidRDefault="00CF2A30">
      <w:pPr>
        <w:rPr>
          <w:rFonts w:ascii="Arial" w:hAnsi="Arial" w:cs="Arial"/>
          <w:sz w:val="24"/>
          <w:szCs w:val="24"/>
        </w:rPr>
      </w:pPr>
    </w:p>
    <w:p w:rsidR="00CF2A30" w:rsidRDefault="00CF2A30" w:rsidP="001C21BE">
      <w:pPr>
        <w:spacing w:after="0" w:line="480" w:lineRule="auto"/>
        <w:rPr>
          <w:rFonts w:ascii="Arial" w:hAnsi="Arial" w:cs="Arial"/>
          <w:sz w:val="24"/>
          <w:szCs w:val="24"/>
        </w:rPr>
      </w:pPr>
      <w:r>
        <w:rPr>
          <w:rFonts w:ascii="Arial" w:hAnsi="Arial" w:cs="Arial"/>
          <w:sz w:val="24"/>
          <w:szCs w:val="24"/>
        </w:rPr>
        <w:t>Bibliography</w:t>
      </w:r>
    </w:p>
    <w:p w:rsidR="009C5736" w:rsidRDefault="00CF2A30" w:rsidP="009C5736">
      <w:pPr>
        <w:ind w:left="560" w:hanging="560"/>
        <w:rPr>
          <w:rFonts w:ascii="Arial" w:hAnsi="Arial" w:cs="Arial"/>
          <w:sz w:val="24"/>
          <w:szCs w:val="24"/>
        </w:rPr>
      </w:pPr>
      <w:r>
        <w:rPr>
          <w:rFonts w:ascii="Arial" w:hAnsi="Arial" w:cs="Arial"/>
          <w:sz w:val="24"/>
          <w:szCs w:val="24"/>
        </w:rPr>
        <w:fldChar w:fldCharType="begin"/>
      </w:r>
      <w:r w:rsidRPr="002B39CE">
        <w:rPr>
          <w:rFonts w:ascii="Arial" w:hAnsi="Arial" w:cs="Arial"/>
          <w:sz w:val="24"/>
          <w:szCs w:val="24"/>
        </w:rPr>
        <w:instrText>ADDIN F1000_CSL_BIBLIOGRAPHY</w:instrText>
      </w:r>
      <w:r>
        <w:rPr>
          <w:rFonts w:ascii="Arial" w:hAnsi="Arial" w:cs="Arial"/>
          <w:sz w:val="24"/>
          <w:szCs w:val="24"/>
        </w:rPr>
        <w:fldChar w:fldCharType="separate"/>
      </w:r>
      <w:r w:rsidR="009C5736">
        <w:rPr>
          <w:rFonts w:ascii="Arial" w:hAnsi="Arial" w:cs="Arial"/>
          <w:sz w:val="24"/>
          <w:szCs w:val="24"/>
        </w:rPr>
        <w:t xml:space="preserve">1. </w:t>
      </w:r>
      <w:r w:rsidR="009C5736">
        <w:rPr>
          <w:rFonts w:ascii="Arial" w:hAnsi="Arial" w:cs="Arial"/>
          <w:sz w:val="24"/>
          <w:szCs w:val="24"/>
        </w:rPr>
        <w:tab/>
      </w:r>
      <w:proofErr w:type="spellStart"/>
      <w:r w:rsidR="009C5736">
        <w:rPr>
          <w:rFonts w:ascii="Arial" w:hAnsi="Arial" w:cs="Arial"/>
          <w:sz w:val="24"/>
          <w:szCs w:val="24"/>
        </w:rPr>
        <w:t>Raad</w:t>
      </w:r>
      <w:proofErr w:type="spellEnd"/>
      <w:r w:rsidR="009C5736">
        <w:rPr>
          <w:rFonts w:ascii="Arial" w:hAnsi="Arial" w:cs="Arial"/>
          <w:sz w:val="24"/>
          <w:szCs w:val="24"/>
        </w:rPr>
        <w:t xml:space="preserve"> J. Rehab Measures: Timed Up and Go. 2013. Available at: http://www.rehabmeasures.org/Lists/RehabMeasures/DispForm.aspx?ID=903. Accessed October 1, 2017.</w:t>
      </w:r>
    </w:p>
    <w:p w:rsidR="009C5736" w:rsidRDefault="009C5736" w:rsidP="009C5736">
      <w:pPr>
        <w:ind w:left="560" w:hanging="560"/>
        <w:rPr>
          <w:rFonts w:ascii="Arial" w:hAnsi="Arial" w:cs="Arial"/>
          <w:sz w:val="24"/>
          <w:szCs w:val="24"/>
        </w:rPr>
      </w:pPr>
      <w:r>
        <w:rPr>
          <w:rFonts w:ascii="Arial" w:hAnsi="Arial" w:cs="Arial"/>
          <w:sz w:val="24"/>
          <w:szCs w:val="24"/>
        </w:rPr>
        <w:t xml:space="preserve">2. </w:t>
      </w:r>
      <w:r>
        <w:rPr>
          <w:rFonts w:ascii="Arial" w:hAnsi="Arial" w:cs="Arial"/>
          <w:sz w:val="24"/>
          <w:szCs w:val="24"/>
        </w:rPr>
        <w:tab/>
        <w:t xml:space="preserve">Jones CJ, </w:t>
      </w:r>
      <w:proofErr w:type="spellStart"/>
      <w:r>
        <w:rPr>
          <w:rFonts w:ascii="Arial" w:hAnsi="Arial" w:cs="Arial"/>
          <w:sz w:val="24"/>
          <w:szCs w:val="24"/>
        </w:rPr>
        <w:t>Rikli</w:t>
      </w:r>
      <w:proofErr w:type="spellEnd"/>
      <w:r>
        <w:rPr>
          <w:rFonts w:ascii="Arial" w:hAnsi="Arial" w:cs="Arial"/>
          <w:sz w:val="24"/>
          <w:szCs w:val="24"/>
        </w:rPr>
        <w:t xml:space="preserve"> RE. Measuring Functional Fitness in Senior Adults. </w:t>
      </w:r>
      <w:r w:rsidRPr="009C5736">
        <w:rPr>
          <w:rFonts w:ascii="Arial" w:hAnsi="Arial" w:cs="Arial"/>
          <w:i/>
          <w:sz w:val="24"/>
          <w:szCs w:val="24"/>
        </w:rPr>
        <w:t>The Journal on Active Aging</w:t>
      </w:r>
      <w:r>
        <w:rPr>
          <w:rFonts w:ascii="Arial" w:hAnsi="Arial" w:cs="Arial"/>
          <w:sz w:val="24"/>
          <w:szCs w:val="24"/>
        </w:rPr>
        <w:t xml:space="preserve"> 2002:24-30.</w:t>
      </w:r>
    </w:p>
    <w:p w:rsidR="009C5736" w:rsidRDefault="009C5736" w:rsidP="009C5736">
      <w:pPr>
        <w:ind w:left="560" w:hanging="560"/>
        <w:rPr>
          <w:rFonts w:ascii="Arial" w:hAnsi="Arial" w:cs="Arial"/>
          <w:sz w:val="24"/>
          <w:szCs w:val="24"/>
        </w:rPr>
      </w:pPr>
      <w:r>
        <w:rPr>
          <w:rFonts w:ascii="Arial" w:hAnsi="Arial" w:cs="Arial"/>
          <w:sz w:val="24"/>
          <w:szCs w:val="24"/>
        </w:rPr>
        <w:t xml:space="preserve">3. </w:t>
      </w:r>
      <w:r>
        <w:rPr>
          <w:rFonts w:ascii="Arial" w:hAnsi="Arial" w:cs="Arial"/>
          <w:sz w:val="24"/>
          <w:szCs w:val="24"/>
        </w:rPr>
        <w:tab/>
        <w:t xml:space="preserve">Beattie PF. Current understanding of lumbar intervertebral disc degeneration: a review with emphasis upon etiology, pathophysiology, and lumbar magnetic resonance imaging findings. </w:t>
      </w:r>
      <w:r w:rsidRPr="009C5736">
        <w:rPr>
          <w:rFonts w:ascii="Arial" w:hAnsi="Arial" w:cs="Arial"/>
          <w:i/>
          <w:sz w:val="24"/>
          <w:szCs w:val="24"/>
        </w:rPr>
        <w:t xml:space="preserve">J </w:t>
      </w:r>
      <w:proofErr w:type="spellStart"/>
      <w:r w:rsidRPr="009C5736">
        <w:rPr>
          <w:rFonts w:ascii="Arial" w:hAnsi="Arial" w:cs="Arial"/>
          <w:i/>
          <w:sz w:val="24"/>
          <w:szCs w:val="24"/>
        </w:rPr>
        <w:t>Orthop</w:t>
      </w:r>
      <w:proofErr w:type="spellEnd"/>
      <w:r w:rsidRPr="009C5736">
        <w:rPr>
          <w:rFonts w:ascii="Arial" w:hAnsi="Arial" w:cs="Arial"/>
          <w:i/>
          <w:sz w:val="24"/>
          <w:szCs w:val="24"/>
        </w:rPr>
        <w:t xml:space="preserve"> Sports </w:t>
      </w:r>
      <w:proofErr w:type="spellStart"/>
      <w:r w:rsidRPr="009C5736">
        <w:rPr>
          <w:rFonts w:ascii="Arial" w:hAnsi="Arial" w:cs="Arial"/>
          <w:i/>
          <w:sz w:val="24"/>
          <w:szCs w:val="24"/>
        </w:rPr>
        <w:t>Phys</w:t>
      </w:r>
      <w:proofErr w:type="spellEnd"/>
      <w:r w:rsidRPr="009C5736">
        <w:rPr>
          <w:rFonts w:ascii="Arial" w:hAnsi="Arial" w:cs="Arial"/>
          <w:i/>
          <w:sz w:val="24"/>
          <w:szCs w:val="24"/>
        </w:rPr>
        <w:t xml:space="preserve"> </w:t>
      </w:r>
      <w:proofErr w:type="spellStart"/>
      <w:r w:rsidRPr="009C5736">
        <w:rPr>
          <w:rFonts w:ascii="Arial" w:hAnsi="Arial" w:cs="Arial"/>
          <w:i/>
          <w:sz w:val="24"/>
          <w:szCs w:val="24"/>
        </w:rPr>
        <w:t>Ther</w:t>
      </w:r>
      <w:proofErr w:type="spellEnd"/>
      <w:r>
        <w:rPr>
          <w:rFonts w:ascii="Arial" w:hAnsi="Arial" w:cs="Arial"/>
          <w:sz w:val="24"/>
          <w:szCs w:val="24"/>
        </w:rPr>
        <w:t xml:space="preserve"> 2008;38(6):329-340. doi:10.2519/jospt.2008.2768.</w:t>
      </w:r>
    </w:p>
    <w:p w:rsidR="009C5736" w:rsidRDefault="009C5736" w:rsidP="009C5736">
      <w:pPr>
        <w:ind w:left="560" w:hanging="560"/>
        <w:rPr>
          <w:rFonts w:ascii="Arial" w:hAnsi="Arial" w:cs="Arial"/>
          <w:sz w:val="24"/>
          <w:szCs w:val="24"/>
        </w:rPr>
      </w:pPr>
      <w:r>
        <w:rPr>
          <w:rFonts w:ascii="Arial" w:hAnsi="Arial" w:cs="Arial"/>
          <w:sz w:val="24"/>
          <w:szCs w:val="24"/>
        </w:rPr>
        <w:lastRenderedPageBreak/>
        <w:t xml:space="preserve">4. </w:t>
      </w:r>
      <w:r>
        <w:rPr>
          <w:rFonts w:ascii="Arial" w:hAnsi="Arial" w:cs="Arial"/>
          <w:sz w:val="24"/>
          <w:szCs w:val="24"/>
        </w:rPr>
        <w:tab/>
      </w:r>
      <w:proofErr w:type="spellStart"/>
      <w:r>
        <w:rPr>
          <w:rFonts w:ascii="Arial" w:hAnsi="Arial" w:cs="Arial"/>
          <w:sz w:val="24"/>
          <w:szCs w:val="24"/>
        </w:rPr>
        <w:t>Ciccone</w:t>
      </w:r>
      <w:proofErr w:type="spellEnd"/>
      <w:r>
        <w:rPr>
          <w:rFonts w:ascii="Arial" w:hAnsi="Arial" w:cs="Arial"/>
          <w:sz w:val="24"/>
          <w:szCs w:val="24"/>
        </w:rPr>
        <w:t xml:space="preserve"> CD. </w:t>
      </w:r>
      <w:r w:rsidRPr="009C5736">
        <w:rPr>
          <w:rFonts w:ascii="Arial" w:hAnsi="Arial" w:cs="Arial"/>
          <w:i/>
          <w:sz w:val="24"/>
          <w:szCs w:val="24"/>
        </w:rPr>
        <w:t>Davis’s Drug Guide for Rehabilitation Professionals</w:t>
      </w:r>
      <w:r>
        <w:rPr>
          <w:rFonts w:ascii="Arial" w:hAnsi="Arial" w:cs="Arial"/>
          <w:sz w:val="24"/>
          <w:szCs w:val="24"/>
        </w:rPr>
        <w:t>. Ipswich, MA: eBook.; 2013.</w:t>
      </w:r>
    </w:p>
    <w:p w:rsidR="009C5736" w:rsidRDefault="009C5736" w:rsidP="009C5736">
      <w:pPr>
        <w:ind w:left="560" w:hanging="560"/>
        <w:rPr>
          <w:rFonts w:ascii="Arial" w:hAnsi="Arial" w:cs="Arial"/>
          <w:sz w:val="24"/>
          <w:szCs w:val="24"/>
        </w:rPr>
      </w:pPr>
      <w:r>
        <w:rPr>
          <w:rFonts w:ascii="Arial" w:hAnsi="Arial" w:cs="Arial"/>
          <w:sz w:val="24"/>
          <w:szCs w:val="24"/>
        </w:rPr>
        <w:t xml:space="preserve">5. </w:t>
      </w:r>
      <w:r>
        <w:rPr>
          <w:rFonts w:ascii="Arial" w:hAnsi="Arial" w:cs="Arial"/>
          <w:sz w:val="24"/>
          <w:szCs w:val="24"/>
        </w:rPr>
        <w:tab/>
      </w:r>
      <w:proofErr w:type="spellStart"/>
      <w:r>
        <w:rPr>
          <w:rFonts w:ascii="Arial" w:hAnsi="Arial" w:cs="Arial"/>
          <w:sz w:val="24"/>
          <w:szCs w:val="24"/>
        </w:rPr>
        <w:t>Sahin</w:t>
      </w:r>
      <w:proofErr w:type="spellEnd"/>
      <w:r>
        <w:rPr>
          <w:rFonts w:ascii="Arial" w:hAnsi="Arial" w:cs="Arial"/>
          <w:sz w:val="24"/>
          <w:szCs w:val="24"/>
        </w:rPr>
        <w:t xml:space="preserve"> MS, </w:t>
      </w:r>
      <w:proofErr w:type="spellStart"/>
      <w:r>
        <w:rPr>
          <w:rFonts w:ascii="Arial" w:hAnsi="Arial" w:cs="Arial"/>
          <w:sz w:val="24"/>
          <w:szCs w:val="24"/>
        </w:rPr>
        <w:t>Ergün</w:t>
      </w:r>
      <w:proofErr w:type="spellEnd"/>
      <w:r>
        <w:rPr>
          <w:rFonts w:ascii="Arial" w:hAnsi="Arial" w:cs="Arial"/>
          <w:sz w:val="24"/>
          <w:szCs w:val="24"/>
        </w:rPr>
        <w:t xml:space="preserve"> A, Aslan A. The relationship between osteoarthritis of the lumbar facet joints and </w:t>
      </w:r>
      <w:proofErr w:type="spellStart"/>
      <w:r>
        <w:rPr>
          <w:rFonts w:ascii="Arial" w:hAnsi="Arial" w:cs="Arial"/>
          <w:sz w:val="24"/>
          <w:szCs w:val="24"/>
        </w:rPr>
        <w:t>lumbosacropelvic</w:t>
      </w:r>
      <w:proofErr w:type="spellEnd"/>
      <w:r>
        <w:rPr>
          <w:rFonts w:ascii="Arial" w:hAnsi="Arial" w:cs="Arial"/>
          <w:sz w:val="24"/>
          <w:szCs w:val="24"/>
        </w:rPr>
        <w:t xml:space="preserve"> morphology. </w:t>
      </w:r>
      <w:r w:rsidRPr="009C5736">
        <w:rPr>
          <w:rFonts w:ascii="Arial" w:hAnsi="Arial" w:cs="Arial"/>
          <w:i/>
          <w:sz w:val="24"/>
          <w:szCs w:val="24"/>
        </w:rPr>
        <w:t>Spine</w:t>
      </w:r>
      <w:r>
        <w:rPr>
          <w:rFonts w:ascii="Arial" w:hAnsi="Arial" w:cs="Arial"/>
          <w:sz w:val="24"/>
          <w:szCs w:val="24"/>
        </w:rPr>
        <w:t xml:space="preserve"> 2015;40(19):E1058-62. doi:10.1097/BRS.0000000000001070.</w:t>
      </w:r>
    </w:p>
    <w:p w:rsidR="009C5736" w:rsidRDefault="009C5736" w:rsidP="009C5736">
      <w:pPr>
        <w:ind w:left="560" w:hanging="560"/>
        <w:rPr>
          <w:rFonts w:ascii="Arial" w:hAnsi="Arial" w:cs="Arial"/>
          <w:sz w:val="24"/>
          <w:szCs w:val="24"/>
        </w:rPr>
      </w:pPr>
      <w:r>
        <w:rPr>
          <w:rFonts w:ascii="Arial" w:hAnsi="Arial" w:cs="Arial"/>
          <w:sz w:val="24"/>
          <w:szCs w:val="24"/>
        </w:rPr>
        <w:t xml:space="preserve">6. </w:t>
      </w:r>
      <w:r>
        <w:rPr>
          <w:rFonts w:ascii="Arial" w:hAnsi="Arial" w:cs="Arial"/>
          <w:sz w:val="24"/>
          <w:szCs w:val="24"/>
        </w:rPr>
        <w:tab/>
        <w:t xml:space="preserve">Qaseem A, Wilt TJ, McLean RM, </w:t>
      </w:r>
      <w:proofErr w:type="spellStart"/>
      <w:r>
        <w:rPr>
          <w:rFonts w:ascii="Arial" w:hAnsi="Arial" w:cs="Arial"/>
          <w:sz w:val="24"/>
          <w:szCs w:val="24"/>
        </w:rPr>
        <w:t>Forciea</w:t>
      </w:r>
      <w:proofErr w:type="spellEnd"/>
      <w:r>
        <w:rPr>
          <w:rFonts w:ascii="Arial" w:hAnsi="Arial" w:cs="Arial"/>
          <w:sz w:val="24"/>
          <w:szCs w:val="24"/>
        </w:rPr>
        <w:t xml:space="preserve"> MA, Clinical Guidelines Committee of the American College of Physicians. Noninvasive treatments for acute, subacute, and chronic low back pain: A clinical practice guideline from the </w:t>
      </w:r>
      <w:proofErr w:type="spellStart"/>
      <w:r>
        <w:rPr>
          <w:rFonts w:ascii="Arial" w:hAnsi="Arial" w:cs="Arial"/>
          <w:sz w:val="24"/>
          <w:szCs w:val="24"/>
        </w:rPr>
        <w:t>american</w:t>
      </w:r>
      <w:proofErr w:type="spellEnd"/>
      <w:r>
        <w:rPr>
          <w:rFonts w:ascii="Arial" w:hAnsi="Arial" w:cs="Arial"/>
          <w:sz w:val="24"/>
          <w:szCs w:val="24"/>
        </w:rPr>
        <w:t xml:space="preserve"> college of physicians. </w:t>
      </w:r>
      <w:r w:rsidRPr="009C5736">
        <w:rPr>
          <w:rFonts w:ascii="Arial" w:hAnsi="Arial" w:cs="Arial"/>
          <w:i/>
          <w:sz w:val="24"/>
          <w:szCs w:val="24"/>
        </w:rPr>
        <w:t>Ann Intern Med</w:t>
      </w:r>
      <w:r>
        <w:rPr>
          <w:rFonts w:ascii="Arial" w:hAnsi="Arial" w:cs="Arial"/>
          <w:sz w:val="24"/>
          <w:szCs w:val="24"/>
        </w:rPr>
        <w:t xml:space="preserve"> 2017;166(7):514-530. doi:10.7326/M16-2367.</w:t>
      </w:r>
    </w:p>
    <w:p w:rsidR="009C5736" w:rsidRDefault="009C5736" w:rsidP="009C5736">
      <w:pPr>
        <w:ind w:left="560" w:hanging="560"/>
        <w:rPr>
          <w:rFonts w:ascii="Arial" w:hAnsi="Arial" w:cs="Arial"/>
          <w:sz w:val="24"/>
          <w:szCs w:val="24"/>
        </w:rPr>
      </w:pPr>
      <w:r>
        <w:rPr>
          <w:rFonts w:ascii="Arial" w:hAnsi="Arial" w:cs="Arial"/>
          <w:sz w:val="24"/>
          <w:szCs w:val="24"/>
        </w:rPr>
        <w:t xml:space="preserve">7. </w:t>
      </w:r>
      <w:r>
        <w:rPr>
          <w:rFonts w:ascii="Arial" w:hAnsi="Arial" w:cs="Arial"/>
          <w:sz w:val="24"/>
          <w:szCs w:val="24"/>
        </w:rPr>
        <w:tab/>
        <w:t xml:space="preserve">Delitto A, George  </w:t>
      </w:r>
      <w:proofErr w:type="spellStart"/>
      <w:r>
        <w:rPr>
          <w:rFonts w:ascii="Arial" w:hAnsi="Arial" w:cs="Arial"/>
          <w:sz w:val="24"/>
          <w:szCs w:val="24"/>
        </w:rPr>
        <w:t>sz</w:t>
      </w:r>
      <w:proofErr w:type="spellEnd"/>
      <w:r>
        <w:rPr>
          <w:rFonts w:ascii="Arial" w:hAnsi="Arial" w:cs="Arial"/>
          <w:sz w:val="24"/>
          <w:szCs w:val="24"/>
        </w:rPr>
        <w:t xml:space="preserve">, Van </w:t>
      </w:r>
      <w:proofErr w:type="spellStart"/>
      <w:r>
        <w:rPr>
          <w:rFonts w:ascii="Arial" w:hAnsi="Arial" w:cs="Arial"/>
          <w:sz w:val="24"/>
          <w:szCs w:val="24"/>
        </w:rPr>
        <w:t>Dillen</w:t>
      </w:r>
      <w:proofErr w:type="spellEnd"/>
      <w:r>
        <w:rPr>
          <w:rFonts w:ascii="Arial" w:hAnsi="Arial" w:cs="Arial"/>
          <w:sz w:val="24"/>
          <w:szCs w:val="24"/>
        </w:rPr>
        <w:t xml:space="preserve"> L. Low Back Pain: clinical practice guidelines linked to the international classification of functioning, disability, and health from the Orthopaedic Section of the American Physical Therapy Association. </w:t>
      </w:r>
      <w:r w:rsidRPr="009C5736">
        <w:rPr>
          <w:rFonts w:ascii="Arial" w:hAnsi="Arial" w:cs="Arial"/>
          <w:i/>
          <w:sz w:val="24"/>
          <w:szCs w:val="24"/>
        </w:rPr>
        <w:t xml:space="preserve">J </w:t>
      </w:r>
      <w:proofErr w:type="spellStart"/>
      <w:r w:rsidRPr="009C5736">
        <w:rPr>
          <w:rFonts w:ascii="Arial" w:hAnsi="Arial" w:cs="Arial"/>
          <w:i/>
          <w:sz w:val="24"/>
          <w:szCs w:val="24"/>
        </w:rPr>
        <w:t>Orthop</w:t>
      </w:r>
      <w:proofErr w:type="spellEnd"/>
      <w:r w:rsidRPr="009C5736">
        <w:rPr>
          <w:rFonts w:ascii="Arial" w:hAnsi="Arial" w:cs="Arial"/>
          <w:i/>
          <w:sz w:val="24"/>
          <w:szCs w:val="24"/>
        </w:rPr>
        <w:t xml:space="preserve"> Sports </w:t>
      </w:r>
      <w:proofErr w:type="spellStart"/>
      <w:r w:rsidRPr="009C5736">
        <w:rPr>
          <w:rFonts w:ascii="Arial" w:hAnsi="Arial" w:cs="Arial"/>
          <w:i/>
          <w:sz w:val="24"/>
          <w:szCs w:val="24"/>
        </w:rPr>
        <w:t>Phys</w:t>
      </w:r>
      <w:proofErr w:type="spellEnd"/>
      <w:r w:rsidRPr="009C5736">
        <w:rPr>
          <w:rFonts w:ascii="Arial" w:hAnsi="Arial" w:cs="Arial"/>
          <w:i/>
          <w:sz w:val="24"/>
          <w:szCs w:val="24"/>
        </w:rPr>
        <w:t xml:space="preserve"> </w:t>
      </w:r>
      <w:proofErr w:type="spellStart"/>
      <w:r w:rsidRPr="009C5736">
        <w:rPr>
          <w:rFonts w:ascii="Arial" w:hAnsi="Arial" w:cs="Arial"/>
          <w:i/>
          <w:sz w:val="24"/>
          <w:szCs w:val="24"/>
        </w:rPr>
        <w:t>Ther</w:t>
      </w:r>
      <w:proofErr w:type="spellEnd"/>
      <w:r>
        <w:rPr>
          <w:rFonts w:ascii="Arial" w:hAnsi="Arial" w:cs="Arial"/>
          <w:sz w:val="24"/>
          <w:szCs w:val="24"/>
        </w:rPr>
        <w:t xml:space="preserve"> 2012;42:A1-A57. doi:10.2519/jospt.2012.0301.</w:t>
      </w:r>
    </w:p>
    <w:p w:rsidR="009C5736" w:rsidRDefault="009C5736" w:rsidP="009C5736">
      <w:pPr>
        <w:ind w:left="560" w:hanging="560"/>
        <w:rPr>
          <w:rFonts w:ascii="Arial" w:hAnsi="Arial" w:cs="Arial"/>
          <w:sz w:val="24"/>
          <w:szCs w:val="24"/>
        </w:rPr>
      </w:pPr>
      <w:r>
        <w:rPr>
          <w:rFonts w:ascii="Arial" w:hAnsi="Arial" w:cs="Arial"/>
          <w:sz w:val="24"/>
          <w:szCs w:val="24"/>
        </w:rPr>
        <w:t xml:space="preserve">8. </w:t>
      </w:r>
      <w:r>
        <w:rPr>
          <w:rFonts w:ascii="Arial" w:hAnsi="Arial" w:cs="Arial"/>
          <w:sz w:val="24"/>
          <w:szCs w:val="24"/>
        </w:rPr>
        <w:tab/>
        <w:t xml:space="preserve">Foster NE, Delitto A. Embedding psychosocial perspectives within clinical management of low back pain: integration of psychosocially informed management principles into physical therapist practice--challenges and opportunities. </w:t>
      </w:r>
      <w:proofErr w:type="spellStart"/>
      <w:r w:rsidRPr="009C5736">
        <w:rPr>
          <w:rFonts w:ascii="Arial" w:hAnsi="Arial" w:cs="Arial"/>
          <w:i/>
          <w:sz w:val="24"/>
          <w:szCs w:val="24"/>
        </w:rPr>
        <w:t>Phys</w:t>
      </w:r>
      <w:proofErr w:type="spellEnd"/>
      <w:r w:rsidRPr="009C5736">
        <w:rPr>
          <w:rFonts w:ascii="Arial" w:hAnsi="Arial" w:cs="Arial"/>
          <w:i/>
          <w:sz w:val="24"/>
          <w:szCs w:val="24"/>
        </w:rPr>
        <w:t xml:space="preserve"> </w:t>
      </w:r>
      <w:proofErr w:type="spellStart"/>
      <w:r w:rsidRPr="009C5736">
        <w:rPr>
          <w:rFonts w:ascii="Arial" w:hAnsi="Arial" w:cs="Arial"/>
          <w:i/>
          <w:sz w:val="24"/>
          <w:szCs w:val="24"/>
        </w:rPr>
        <w:t>Ther</w:t>
      </w:r>
      <w:proofErr w:type="spellEnd"/>
      <w:r>
        <w:rPr>
          <w:rFonts w:ascii="Arial" w:hAnsi="Arial" w:cs="Arial"/>
          <w:sz w:val="24"/>
          <w:szCs w:val="24"/>
        </w:rPr>
        <w:t xml:space="preserve"> 2011;91(5):790-803. doi:10.2522/ptj.20100326.</w:t>
      </w:r>
    </w:p>
    <w:p w:rsidR="009C5736" w:rsidRDefault="009C5736" w:rsidP="009C5736">
      <w:pPr>
        <w:ind w:left="560" w:hanging="560"/>
        <w:rPr>
          <w:rFonts w:ascii="Arial" w:hAnsi="Arial" w:cs="Arial"/>
          <w:sz w:val="24"/>
          <w:szCs w:val="24"/>
        </w:rPr>
      </w:pPr>
      <w:r>
        <w:rPr>
          <w:rFonts w:ascii="Arial" w:hAnsi="Arial" w:cs="Arial"/>
          <w:sz w:val="24"/>
          <w:szCs w:val="24"/>
        </w:rPr>
        <w:t xml:space="preserve">9. </w:t>
      </w:r>
      <w:r>
        <w:rPr>
          <w:rFonts w:ascii="Arial" w:hAnsi="Arial" w:cs="Arial"/>
          <w:sz w:val="24"/>
          <w:szCs w:val="24"/>
        </w:rPr>
        <w:tab/>
      </w:r>
      <w:proofErr w:type="spellStart"/>
      <w:r>
        <w:rPr>
          <w:rFonts w:ascii="Arial" w:hAnsi="Arial" w:cs="Arial"/>
          <w:sz w:val="24"/>
          <w:szCs w:val="24"/>
        </w:rPr>
        <w:t>Nijs</w:t>
      </w:r>
      <w:proofErr w:type="spellEnd"/>
      <w:r>
        <w:rPr>
          <w:rFonts w:ascii="Arial" w:hAnsi="Arial" w:cs="Arial"/>
          <w:sz w:val="24"/>
          <w:szCs w:val="24"/>
        </w:rPr>
        <w:t xml:space="preserve"> J, Paul van </w:t>
      </w:r>
      <w:proofErr w:type="spellStart"/>
      <w:r>
        <w:rPr>
          <w:rFonts w:ascii="Arial" w:hAnsi="Arial" w:cs="Arial"/>
          <w:sz w:val="24"/>
          <w:szCs w:val="24"/>
        </w:rPr>
        <w:t>Wilgen</w:t>
      </w:r>
      <w:proofErr w:type="spellEnd"/>
      <w:r>
        <w:rPr>
          <w:rFonts w:ascii="Arial" w:hAnsi="Arial" w:cs="Arial"/>
          <w:sz w:val="24"/>
          <w:szCs w:val="24"/>
        </w:rPr>
        <w:t xml:space="preserve"> C, Van </w:t>
      </w:r>
      <w:proofErr w:type="spellStart"/>
      <w:r>
        <w:rPr>
          <w:rFonts w:ascii="Arial" w:hAnsi="Arial" w:cs="Arial"/>
          <w:sz w:val="24"/>
          <w:szCs w:val="24"/>
        </w:rPr>
        <w:t>Oosterwijck</w:t>
      </w:r>
      <w:proofErr w:type="spellEnd"/>
      <w:r>
        <w:rPr>
          <w:rFonts w:ascii="Arial" w:hAnsi="Arial" w:cs="Arial"/>
          <w:sz w:val="24"/>
          <w:szCs w:val="24"/>
        </w:rPr>
        <w:t xml:space="preserve"> J, van </w:t>
      </w:r>
      <w:proofErr w:type="spellStart"/>
      <w:r>
        <w:rPr>
          <w:rFonts w:ascii="Arial" w:hAnsi="Arial" w:cs="Arial"/>
          <w:sz w:val="24"/>
          <w:szCs w:val="24"/>
        </w:rPr>
        <w:t>Ittersum</w:t>
      </w:r>
      <w:proofErr w:type="spellEnd"/>
      <w:r>
        <w:rPr>
          <w:rFonts w:ascii="Arial" w:hAnsi="Arial" w:cs="Arial"/>
          <w:sz w:val="24"/>
          <w:szCs w:val="24"/>
        </w:rPr>
        <w:t xml:space="preserve"> M, </w:t>
      </w:r>
      <w:proofErr w:type="spellStart"/>
      <w:r>
        <w:rPr>
          <w:rFonts w:ascii="Arial" w:hAnsi="Arial" w:cs="Arial"/>
          <w:sz w:val="24"/>
          <w:szCs w:val="24"/>
        </w:rPr>
        <w:t>Meeus</w:t>
      </w:r>
      <w:proofErr w:type="spellEnd"/>
      <w:r>
        <w:rPr>
          <w:rFonts w:ascii="Arial" w:hAnsi="Arial" w:cs="Arial"/>
          <w:sz w:val="24"/>
          <w:szCs w:val="24"/>
        </w:rPr>
        <w:t xml:space="preserve"> M. How to explain central sensitization to patients with “unexplained” chronic musculoskeletal pain: practice guidelines. </w:t>
      </w:r>
      <w:r w:rsidRPr="009C5736">
        <w:rPr>
          <w:rFonts w:ascii="Arial" w:hAnsi="Arial" w:cs="Arial"/>
          <w:i/>
          <w:sz w:val="24"/>
          <w:szCs w:val="24"/>
        </w:rPr>
        <w:t xml:space="preserve">Man </w:t>
      </w:r>
      <w:proofErr w:type="spellStart"/>
      <w:r w:rsidRPr="009C5736">
        <w:rPr>
          <w:rFonts w:ascii="Arial" w:hAnsi="Arial" w:cs="Arial"/>
          <w:i/>
          <w:sz w:val="24"/>
          <w:szCs w:val="24"/>
        </w:rPr>
        <w:t>Ther</w:t>
      </w:r>
      <w:proofErr w:type="spellEnd"/>
      <w:r>
        <w:rPr>
          <w:rFonts w:ascii="Arial" w:hAnsi="Arial" w:cs="Arial"/>
          <w:sz w:val="24"/>
          <w:szCs w:val="24"/>
        </w:rPr>
        <w:t xml:space="preserve"> 2011;16(5):413-418. doi:10.1016/j.math.2011.04.005.</w:t>
      </w:r>
    </w:p>
    <w:p w:rsidR="009C5736" w:rsidRDefault="009C5736" w:rsidP="009C5736">
      <w:pPr>
        <w:ind w:left="560" w:hanging="560"/>
        <w:rPr>
          <w:rFonts w:ascii="Arial" w:hAnsi="Arial" w:cs="Arial"/>
          <w:sz w:val="24"/>
          <w:szCs w:val="24"/>
        </w:rPr>
      </w:pPr>
      <w:r>
        <w:rPr>
          <w:rFonts w:ascii="Arial" w:hAnsi="Arial" w:cs="Arial"/>
          <w:sz w:val="24"/>
          <w:szCs w:val="24"/>
        </w:rPr>
        <w:t xml:space="preserve">10. </w:t>
      </w:r>
      <w:r>
        <w:rPr>
          <w:rFonts w:ascii="Arial" w:hAnsi="Arial" w:cs="Arial"/>
          <w:sz w:val="24"/>
          <w:szCs w:val="24"/>
        </w:rPr>
        <w:tab/>
        <w:t xml:space="preserve">Fear-Avoidance Beliefs Questionnaire | Shirley Ryan </w:t>
      </w:r>
      <w:proofErr w:type="spellStart"/>
      <w:r>
        <w:rPr>
          <w:rFonts w:ascii="Arial" w:hAnsi="Arial" w:cs="Arial"/>
          <w:sz w:val="24"/>
          <w:szCs w:val="24"/>
        </w:rPr>
        <w:t>AbilityLab</w:t>
      </w:r>
      <w:proofErr w:type="spellEnd"/>
      <w:r>
        <w:rPr>
          <w:rFonts w:ascii="Arial" w:hAnsi="Arial" w:cs="Arial"/>
          <w:sz w:val="24"/>
          <w:szCs w:val="24"/>
        </w:rPr>
        <w:t xml:space="preserve"> - Formerly RIC. Available at: https://www.sralab.org/rehabilitation-measures/fear-avoidance-beliefs-questionnaire#back-pain. Accessed April 22, 2018.</w:t>
      </w:r>
    </w:p>
    <w:p w:rsidR="009C5736" w:rsidRDefault="009C5736" w:rsidP="009C5736">
      <w:pPr>
        <w:ind w:left="560" w:hanging="560"/>
        <w:rPr>
          <w:rFonts w:ascii="Arial" w:hAnsi="Arial" w:cs="Arial"/>
          <w:sz w:val="24"/>
          <w:szCs w:val="24"/>
        </w:rPr>
      </w:pPr>
      <w:r>
        <w:rPr>
          <w:rFonts w:ascii="Arial" w:hAnsi="Arial" w:cs="Arial"/>
          <w:sz w:val="24"/>
          <w:szCs w:val="24"/>
        </w:rPr>
        <w:t xml:space="preserve">11. </w:t>
      </w:r>
      <w:r>
        <w:rPr>
          <w:rFonts w:ascii="Arial" w:hAnsi="Arial" w:cs="Arial"/>
          <w:sz w:val="24"/>
          <w:szCs w:val="24"/>
        </w:rPr>
        <w:tab/>
        <w:t xml:space="preserve">Cole, SPT S, Dickey, SPT S, Godfrey, SPT J. Oswestry Disability Index. </w:t>
      </w:r>
      <w:r w:rsidRPr="009C5736">
        <w:rPr>
          <w:rFonts w:ascii="Arial" w:hAnsi="Arial" w:cs="Arial"/>
          <w:i/>
          <w:sz w:val="24"/>
          <w:szCs w:val="24"/>
        </w:rPr>
        <w:t>Shirley Ryan Ability Lab</w:t>
      </w:r>
      <w:r>
        <w:rPr>
          <w:rFonts w:ascii="Arial" w:hAnsi="Arial" w:cs="Arial"/>
          <w:sz w:val="24"/>
          <w:szCs w:val="24"/>
        </w:rPr>
        <w:t xml:space="preserve"> 2013. Available at: https://www.sralab.org/rehabilitation-measures/oswestry-disability-index. Accessed April 22, 2018.</w:t>
      </w:r>
    </w:p>
    <w:p w:rsidR="009C5736" w:rsidRDefault="009C5736" w:rsidP="009C5736">
      <w:pPr>
        <w:ind w:left="560" w:hanging="560"/>
        <w:rPr>
          <w:rFonts w:ascii="Arial" w:hAnsi="Arial" w:cs="Arial"/>
          <w:sz w:val="24"/>
          <w:szCs w:val="24"/>
        </w:rPr>
      </w:pPr>
      <w:r>
        <w:rPr>
          <w:rFonts w:ascii="Arial" w:hAnsi="Arial" w:cs="Arial"/>
          <w:sz w:val="24"/>
          <w:szCs w:val="24"/>
        </w:rPr>
        <w:t xml:space="preserve">12. </w:t>
      </w:r>
      <w:r>
        <w:rPr>
          <w:rFonts w:ascii="Arial" w:hAnsi="Arial" w:cs="Arial"/>
          <w:sz w:val="24"/>
          <w:szCs w:val="24"/>
        </w:rPr>
        <w:tab/>
        <w:t xml:space="preserve">Numeric Pain Rating Scale - </w:t>
      </w:r>
      <w:proofErr w:type="spellStart"/>
      <w:r>
        <w:rPr>
          <w:rFonts w:ascii="Arial" w:hAnsi="Arial" w:cs="Arial"/>
          <w:sz w:val="24"/>
          <w:szCs w:val="24"/>
        </w:rPr>
        <w:t>Physiopedia</w:t>
      </w:r>
      <w:proofErr w:type="spellEnd"/>
      <w:r>
        <w:rPr>
          <w:rFonts w:ascii="Arial" w:hAnsi="Arial" w:cs="Arial"/>
          <w:sz w:val="24"/>
          <w:szCs w:val="24"/>
        </w:rPr>
        <w:t>. Available at: https://www.physio-pedia.com/Numeric_Pain_Rating_Scale. Accessed April 22, 2018.</w:t>
      </w:r>
    </w:p>
    <w:p w:rsidR="009C5736" w:rsidRDefault="009C5736" w:rsidP="009C5736">
      <w:pPr>
        <w:ind w:left="560" w:hanging="560"/>
        <w:rPr>
          <w:rFonts w:ascii="Arial" w:hAnsi="Arial" w:cs="Arial"/>
          <w:sz w:val="24"/>
          <w:szCs w:val="24"/>
        </w:rPr>
      </w:pPr>
      <w:r>
        <w:rPr>
          <w:rFonts w:ascii="Arial" w:hAnsi="Arial" w:cs="Arial"/>
          <w:sz w:val="24"/>
          <w:szCs w:val="24"/>
        </w:rPr>
        <w:t xml:space="preserve">13. </w:t>
      </w:r>
      <w:r>
        <w:rPr>
          <w:rFonts w:ascii="Arial" w:hAnsi="Arial" w:cs="Arial"/>
          <w:sz w:val="24"/>
          <w:szCs w:val="24"/>
        </w:rPr>
        <w:tab/>
      </w:r>
      <w:proofErr w:type="spellStart"/>
      <w:r>
        <w:rPr>
          <w:rFonts w:ascii="Arial" w:hAnsi="Arial" w:cs="Arial"/>
          <w:sz w:val="24"/>
          <w:szCs w:val="24"/>
        </w:rPr>
        <w:t>Chiarotto</w:t>
      </w:r>
      <w:proofErr w:type="spellEnd"/>
      <w:r>
        <w:rPr>
          <w:rFonts w:ascii="Arial" w:hAnsi="Arial" w:cs="Arial"/>
          <w:sz w:val="24"/>
          <w:szCs w:val="24"/>
        </w:rPr>
        <w:t xml:space="preserve"> A, Boers M, </w:t>
      </w:r>
      <w:proofErr w:type="spellStart"/>
      <w:r>
        <w:rPr>
          <w:rFonts w:ascii="Arial" w:hAnsi="Arial" w:cs="Arial"/>
          <w:sz w:val="24"/>
          <w:szCs w:val="24"/>
        </w:rPr>
        <w:t>Deyo</w:t>
      </w:r>
      <w:proofErr w:type="spellEnd"/>
      <w:r>
        <w:rPr>
          <w:rFonts w:ascii="Arial" w:hAnsi="Arial" w:cs="Arial"/>
          <w:sz w:val="24"/>
          <w:szCs w:val="24"/>
        </w:rPr>
        <w:t xml:space="preserve"> RA, et al. Core outcome measurement instruments for clinical trials in nonspecific low back pain. </w:t>
      </w:r>
      <w:r w:rsidRPr="009C5736">
        <w:rPr>
          <w:rFonts w:ascii="Arial" w:hAnsi="Arial" w:cs="Arial"/>
          <w:i/>
          <w:sz w:val="24"/>
          <w:szCs w:val="24"/>
        </w:rPr>
        <w:t>Pain</w:t>
      </w:r>
      <w:r>
        <w:rPr>
          <w:rFonts w:ascii="Arial" w:hAnsi="Arial" w:cs="Arial"/>
          <w:sz w:val="24"/>
          <w:szCs w:val="24"/>
        </w:rPr>
        <w:t xml:space="preserve"> 2018;159(3):481-495. doi:10.1097/j.pain.0000000000001117.</w:t>
      </w:r>
    </w:p>
    <w:p w:rsidR="009C5736" w:rsidRDefault="009C5736" w:rsidP="009C5736">
      <w:pPr>
        <w:ind w:left="560" w:hanging="560"/>
        <w:rPr>
          <w:rFonts w:ascii="Arial" w:hAnsi="Arial" w:cs="Arial"/>
          <w:sz w:val="24"/>
          <w:szCs w:val="24"/>
        </w:rPr>
      </w:pPr>
      <w:r>
        <w:rPr>
          <w:rFonts w:ascii="Arial" w:hAnsi="Arial" w:cs="Arial"/>
          <w:sz w:val="24"/>
          <w:szCs w:val="24"/>
        </w:rPr>
        <w:t xml:space="preserve">14. </w:t>
      </w:r>
      <w:r>
        <w:rPr>
          <w:rFonts w:ascii="Arial" w:hAnsi="Arial" w:cs="Arial"/>
          <w:sz w:val="24"/>
          <w:szCs w:val="24"/>
        </w:rPr>
        <w:tab/>
        <w:t xml:space="preserve">American College of Sports Medicine. American College of Sports Medicine position stand. Progression models in resistance training for healthy adults. </w:t>
      </w:r>
      <w:r w:rsidRPr="009C5736">
        <w:rPr>
          <w:rFonts w:ascii="Arial" w:hAnsi="Arial" w:cs="Arial"/>
          <w:i/>
          <w:sz w:val="24"/>
          <w:szCs w:val="24"/>
        </w:rPr>
        <w:t xml:space="preserve">Med </w:t>
      </w:r>
      <w:proofErr w:type="spellStart"/>
      <w:r w:rsidRPr="009C5736">
        <w:rPr>
          <w:rFonts w:ascii="Arial" w:hAnsi="Arial" w:cs="Arial"/>
          <w:i/>
          <w:sz w:val="24"/>
          <w:szCs w:val="24"/>
        </w:rPr>
        <w:t>Sci</w:t>
      </w:r>
      <w:proofErr w:type="spellEnd"/>
      <w:r w:rsidRPr="009C5736">
        <w:rPr>
          <w:rFonts w:ascii="Arial" w:hAnsi="Arial" w:cs="Arial"/>
          <w:i/>
          <w:sz w:val="24"/>
          <w:szCs w:val="24"/>
        </w:rPr>
        <w:t xml:space="preserve"> Sports </w:t>
      </w:r>
      <w:proofErr w:type="spellStart"/>
      <w:r w:rsidRPr="009C5736">
        <w:rPr>
          <w:rFonts w:ascii="Arial" w:hAnsi="Arial" w:cs="Arial"/>
          <w:i/>
          <w:sz w:val="24"/>
          <w:szCs w:val="24"/>
        </w:rPr>
        <w:t>Exerc</w:t>
      </w:r>
      <w:proofErr w:type="spellEnd"/>
      <w:r>
        <w:rPr>
          <w:rFonts w:ascii="Arial" w:hAnsi="Arial" w:cs="Arial"/>
          <w:sz w:val="24"/>
          <w:szCs w:val="24"/>
        </w:rPr>
        <w:t xml:space="preserve"> 2009;41(3):687-708. doi:10.1249/MSS.0b013e3181915670.</w:t>
      </w:r>
    </w:p>
    <w:p w:rsidR="009C5736" w:rsidRDefault="009C5736" w:rsidP="009C5736">
      <w:pPr>
        <w:ind w:left="560" w:hanging="560"/>
        <w:rPr>
          <w:rFonts w:ascii="Arial" w:hAnsi="Arial" w:cs="Arial"/>
          <w:sz w:val="24"/>
          <w:szCs w:val="24"/>
        </w:rPr>
      </w:pPr>
      <w:r>
        <w:rPr>
          <w:rFonts w:ascii="Arial" w:hAnsi="Arial" w:cs="Arial"/>
          <w:sz w:val="24"/>
          <w:szCs w:val="24"/>
        </w:rPr>
        <w:t xml:space="preserve">15. </w:t>
      </w:r>
      <w:r>
        <w:rPr>
          <w:rFonts w:ascii="Arial" w:hAnsi="Arial" w:cs="Arial"/>
          <w:sz w:val="24"/>
          <w:szCs w:val="24"/>
        </w:rPr>
        <w:tab/>
        <w:t xml:space="preserve">Moseley GL. A pain neuromatrix approach to patients with chronic pain. </w:t>
      </w:r>
      <w:r w:rsidRPr="009C5736">
        <w:rPr>
          <w:rFonts w:ascii="Arial" w:hAnsi="Arial" w:cs="Arial"/>
          <w:i/>
          <w:sz w:val="24"/>
          <w:szCs w:val="24"/>
        </w:rPr>
        <w:t xml:space="preserve">Man </w:t>
      </w:r>
      <w:proofErr w:type="spellStart"/>
      <w:r w:rsidRPr="009C5736">
        <w:rPr>
          <w:rFonts w:ascii="Arial" w:hAnsi="Arial" w:cs="Arial"/>
          <w:i/>
          <w:sz w:val="24"/>
          <w:szCs w:val="24"/>
        </w:rPr>
        <w:t>Ther</w:t>
      </w:r>
      <w:proofErr w:type="spellEnd"/>
      <w:r>
        <w:rPr>
          <w:rFonts w:ascii="Arial" w:hAnsi="Arial" w:cs="Arial"/>
          <w:sz w:val="24"/>
          <w:szCs w:val="24"/>
        </w:rPr>
        <w:t xml:space="preserve"> 2003;8(3):130-140. doi:10.1016/S1356-689X(03)00051-1.</w:t>
      </w:r>
    </w:p>
    <w:p w:rsidR="009C5736" w:rsidRDefault="009C5736" w:rsidP="009C5736">
      <w:pPr>
        <w:ind w:left="560" w:hanging="560"/>
        <w:rPr>
          <w:rFonts w:ascii="Arial" w:hAnsi="Arial" w:cs="Arial"/>
          <w:sz w:val="24"/>
          <w:szCs w:val="24"/>
        </w:rPr>
      </w:pPr>
      <w:r>
        <w:rPr>
          <w:rFonts w:ascii="Arial" w:hAnsi="Arial" w:cs="Arial"/>
          <w:sz w:val="24"/>
          <w:szCs w:val="24"/>
        </w:rPr>
        <w:t xml:space="preserve">16. </w:t>
      </w:r>
      <w:r>
        <w:rPr>
          <w:rFonts w:ascii="Arial" w:hAnsi="Arial" w:cs="Arial"/>
          <w:sz w:val="24"/>
          <w:szCs w:val="24"/>
        </w:rPr>
        <w:tab/>
        <w:t>Our Services — University Physical &amp; Occupational Therapy. Available at: http://www.med.unc.edu/ahs/physical/university-pt/our-services. Accessed March 28, 2018.</w:t>
      </w:r>
    </w:p>
    <w:p w:rsidR="009C5736" w:rsidRDefault="009C5736" w:rsidP="009C5736">
      <w:pPr>
        <w:ind w:left="560" w:hanging="560"/>
        <w:rPr>
          <w:rFonts w:ascii="Arial" w:hAnsi="Arial" w:cs="Arial"/>
          <w:sz w:val="24"/>
          <w:szCs w:val="24"/>
        </w:rPr>
      </w:pPr>
      <w:r>
        <w:rPr>
          <w:rFonts w:ascii="Arial" w:hAnsi="Arial" w:cs="Arial"/>
          <w:sz w:val="24"/>
          <w:szCs w:val="24"/>
        </w:rPr>
        <w:t xml:space="preserve">17. </w:t>
      </w:r>
      <w:r>
        <w:rPr>
          <w:rFonts w:ascii="Arial" w:hAnsi="Arial" w:cs="Arial"/>
          <w:sz w:val="24"/>
          <w:szCs w:val="24"/>
        </w:rPr>
        <w:tab/>
        <w:t xml:space="preserve">The Best and Worst Exercises for Back Pain - </w:t>
      </w:r>
      <w:proofErr w:type="spellStart"/>
      <w:r>
        <w:rPr>
          <w:rFonts w:ascii="Arial" w:hAnsi="Arial" w:cs="Arial"/>
          <w:sz w:val="24"/>
          <w:szCs w:val="24"/>
        </w:rPr>
        <w:t>SilverSneakers</w:t>
      </w:r>
      <w:proofErr w:type="spellEnd"/>
      <w:r>
        <w:rPr>
          <w:rFonts w:ascii="Arial" w:hAnsi="Arial" w:cs="Arial"/>
          <w:sz w:val="24"/>
          <w:szCs w:val="24"/>
        </w:rPr>
        <w:t>. Available at: https://www.silversneakers.com/blog/exercises-back/. Accessed April 23, 2018.</w:t>
      </w:r>
    </w:p>
    <w:p w:rsidR="001C21BE" w:rsidRPr="001C21BE" w:rsidRDefault="00CF2A30" w:rsidP="009C5736">
      <w:pPr>
        <w:ind w:left="560" w:hanging="560"/>
        <w:rPr>
          <w:rFonts w:ascii="Arial" w:hAnsi="Arial" w:cs="Arial"/>
          <w:sz w:val="24"/>
          <w:szCs w:val="24"/>
        </w:rPr>
      </w:pPr>
      <w:r>
        <w:rPr>
          <w:rFonts w:ascii="Arial" w:hAnsi="Arial" w:cs="Arial"/>
          <w:sz w:val="24"/>
          <w:szCs w:val="24"/>
        </w:rPr>
        <w:fldChar w:fldCharType="end"/>
      </w:r>
    </w:p>
    <w:sectPr w:rsidR="001C21BE" w:rsidRPr="001C21BE" w:rsidSect="003642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E2B" w:rsidRDefault="00921E2B" w:rsidP="00364299">
      <w:pPr>
        <w:spacing w:after="0" w:line="240" w:lineRule="auto"/>
      </w:pPr>
      <w:r>
        <w:separator/>
      </w:r>
    </w:p>
  </w:endnote>
  <w:endnote w:type="continuationSeparator" w:id="0">
    <w:p w:rsidR="00921E2B" w:rsidRDefault="00921E2B" w:rsidP="00364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25" w:rsidRDefault="00504B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25" w:rsidRDefault="00504B2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25" w:rsidRDefault="00504B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E2B" w:rsidRDefault="00921E2B" w:rsidP="00364299">
      <w:pPr>
        <w:spacing w:after="0" w:line="240" w:lineRule="auto"/>
      </w:pPr>
      <w:r>
        <w:separator/>
      </w:r>
    </w:p>
  </w:footnote>
  <w:footnote w:type="continuationSeparator" w:id="0">
    <w:p w:rsidR="00921E2B" w:rsidRDefault="00921E2B" w:rsidP="00364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25" w:rsidRDefault="00504B2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220455"/>
      <w:docPartObj>
        <w:docPartGallery w:val="Page Numbers (Top of Page)"/>
        <w:docPartUnique/>
      </w:docPartObj>
    </w:sdtPr>
    <w:sdtEndPr>
      <w:rPr>
        <w:noProof/>
      </w:rPr>
    </w:sdtEndPr>
    <w:sdtContent>
      <w:p w:rsidR="00504B25" w:rsidRDefault="00504B25">
        <w:pPr>
          <w:pStyle w:val="Header"/>
          <w:jc w:val="right"/>
        </w:pPr>
        <w:r>
          <w:fldChar w:fldCharType="begin"/>
        </w:r>
        <w:r>
          <w:instrText xml:space="preserve"> PAGE   \* MERGEFORMAT </w:instrText>
        </w:r>
        <w:r>
          <w:fldChar w:fldCharType="separate"/>
        </w:r>
        <w:r w:rsidR="00E5128E">
          <w:rPr>
            <w:noProof/>
          </w:rPr>
          <w:t>2</w:t>
        </w:r>
        <w:r>
          <w:rPr>
            <w:noProof/>
          </w:rPr>
          <w:fldChar w:fldCharType="end"/>
        </w:r>
      </w:p>
    </w:sdtContent>
  </w:sdt>
  <w:p w:rsidR="00504B25" w:rsidRDefault="00504B2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25" w:rsidRDefault="00504B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46E05"/>
    <w:multiLevelType w:val="hybridMultilevel"/>
    <w:tmpl w:val="BB1004AA"/>
    <w:lvl w:ilvl="0" w:tplc="049C298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CA0224"/>
    <w:multiLevelType w:val="hybridMultilevel"/>
    <w:tmpl w:val="5900B728"/>
    <w:lvl w:ilvl="0" w:tplc="D5F6C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BE"/>
    <w:rsid w:val="0000314D"/>
    <w:rsid w:val="0000600A"/>
    <w:rsid w:val="00040399"/>
    <w:rsid w:val="0005134F"/>
    <w:rsid w:val="00054AD3"/>
    <w:rsid w:val="000560DF"/>
    <w:rsid w:val="00071274"/>
    <w:rsid w:val="00076ACE"/>
    <w:rsid w:val="00082AB9"/>
    <w:rsid w:val="000B5325"/>
    <w:rsid w:val="000C4686"/>
    <w:rsid w:val="000D4195"/>
    <w:rsid w:val="000E7CAB"/>
    <w:rsid w:val="000F0C08"/>
    <w:rsid w:val="000F1FC1"/>
    <w:rsid w:val="000F4505"/>
    <w:rsid w:val="0011564B"/>
    <w:rsid w:val="00134DFD"/>
    <w:rsid w:val="00146EFB"/>
    <w:rsid w:val="00157522"/>
    <w:rsid w:val="00195626"/>
    <w:rsid w:val="0019731F"/>
    <w:rsid w:val="001C21BE"/>
    <w:rsid w:val="001D5A2F"/>
    <w:rsid w:val="002002BF"/>
    <w:rsid w:val="0020532B"/>
    <w:rsid w:val="00205EC2"/>
    <w:rsid w:val="0021262E"/>
    <w:rsid w:val="00232530"/>
    <w:rsid w:val="0024705D"/>
    <w:rsid w:val="00250AFF"/>
    <w:rsid w:val="00280C4F"/>
    <w:rsid w:val="002B39CE"/>
    <w:rsid w:val="002B796D"/>
    <w:rsid w:val="002C26BE"/>
    <w:rsid w:val="002C4643"/>
    <w:rsid w:val="002C653F"/>
    <w:rsid w:val="002D7F49"/>
    <w:rsid w:val="002F3592"/>
    <w:rsid w:val="002F56F7"/>
    <w:rsid w:val="002F5B33"/>
    <w:rsid w:val="003025E9"/>
    <w:rsid w:val="00331556"/>
    <w:rsid w:val="00331ED1"/>
    <w:rsid w:val="00336C75"/>
    <w:rsid w:val="003534D6"/>
    <w:rsid w:val="00354BF2"/>
    <w:rsid w:val="00364299"/>
    <w:rsid w:val="003825FF"/>
    <w:rsid w:val="00391C7B"/>
    <w:rsid w:val="003951D0"/>
    <w:rsid w:val="003978B7"/>
    <w:rsid w:val="003A351D"/>
    <w:rsid w:val="003A6BEE"/>
    <w:rsid w:val="003C1F2F"/>
    <w:rsid w:val="003F5C05"/>
    <w:rsid w:val="00407119"/>
    <w:rsid w:val="00407DBA"/>
    <w:rsid w:val="00417867"/>
    <w:rsid w:val="00440EB3"/>
    <w:rsid w:val="004463BF"/>
    <w:rsid w:val="00467121"/>
    <w:rsid w:val="004B0470"/>
    <w:rsid w:val="004B1337"/>
    <w:rsid w:val="004C6CDC"/>
    <w:rsid w:val="004D7CF4"/>
    <w:rsid w:val="004D7FEC"/>
    <w:rsid w:val="00504B25"/>
    <w:rsid w:val="00504C71"/>
    <w:rsid w:val="0051249F"/>
    <w:rsid w:val="00514957"/>
    <w:rsid w:val="00514CFD"/>
    <w:rsid w:val="00525A0C"/>
    <w:rsid w:val="00526BE6"/>
    <w:rsid w:val="00533EEC"/>
    <w:rsid w:val="00543D69"/>
    <w:rsid w:val="00566887"/>
    <w:rsid w:val="005803E3"/>
    <w:rsid w:val="005817B9"/>
    <w:rsid w:val="00586B54"/>
    <w:rsid w:val="005978B7"/>
    <w:rsid w:val="005B61EB"/>
    <w:rsid w:val="006114F4"/>
    <w:rsid w:val="00612E4D"/>
    <w:rsid w:val="00653633"/>
    <w:rsid w:val="00654429"/>
    <w:rsid w:val="00654BA5"/>
    <w:rsid w:val="006778D0"/>
    <w:rsid w:val="00690207"/>
    <w:rsid w:val="006A2018"/>
    <w:rsid w:val="006A5847"/>
    <w:rsid w:val="006C7651"/>
    <w:rsid w:val="006D3C5D"/>
    <w:rsid w:val="006E5177"/>
    <w:rsid w:val="0070233D"/>
    <w:rsid w:val="007049EA"/>
    <w:rsid w:val="00707CBC"/>
    <w:rsid w:val="00724AF1"/>
    <w:rsid w:val="00737ADF"/>
    <w:rsid w:val="00747CBC"/>
    <w:rsid w:val="00753DCD"/>
    <w:rsid w:val="00757506"/>
    <w:rsid w:val="0077620E"/>
    <w:rsid w:val="007822BF"/>
    <w:rsid w:val="007871E7"/>
    <w:rsid w:val="007E62E5"/>
    <w:rsid w:val="00810CDD"/>
    <w:rsid w:val="008136E4"/>
    <w:rsid w:val="00826353"/>
    <w:rsid w:val="00893325"/>
    <w:rsid w:val="008A15DD"/>
    <w:rsid w:val="008D5E7B"/>
    <w:rsid w:val="008F572E"/>
    <w:rsid w:val="008F7DBF"/>
    <w:rsid w:val="00921E2B"/>
    <w:rsid w:val="009555C8"/>
    <w:rsid w:val="00982A97"/>
    <w:rsid w:val="009A2526"/>
    <w:rsid w:val="009B7FB6"/>
    <w:rsid w:val="009C5736"/>
    <w:rsid w:val="009D0A17"/>
    <w:rsid w:val="00A12CE9"/>
    <w:rsid w:val="00A2481E"/>
    <w:rsid w:val="00A31468"/>
    <w:rsid w:val="00A50B58"/>
    <w:rsid w:val="00A51C7B"/>
    <w:rsid w:val="00A63F15"/>
    <w:rsid w:val="00A95FE5"/>
    <w:rsid w:val="00AA0576"/>
    <w:rsid w:val="00AB0F2C"/>
    <w:rsid w:val="00AC10D7"/>
    <w:rsid w:val="00AE6490"/>
    <w:rsid w:val="00B46320"/>
    <w:rsid w:val="00B539E3"/>
    <w:rsid w:val="00B55651"/>
    <w:rsid w:val="00B575B3"/>
    <w:rsid w:val="00B61682"/>
    <w:rsid w:val="00B82E6D"/>
    <w:rsid w:val="00B83F17"/>
    <w:rsid w:val="00BA0EA2"/>
    <w:rsid w:val="00BC35FD"/>
    <w:rsid w:val="00BC3C9C"/>
    <w:rsid w:val="00BD72A4"/>
    <w:rsid w:val="00BE7214"/>
    <w:rsid w:val="00C0023C"/>
    <w:rsid w:val="00C03814"/>
    <w:rsid w:val="00C16899"/>
    <w:rsid w:val="00C17AAF"/>
    <w:rsid w:val="00C30841"/>
    <w:rsid w:val="00C34628"/>
    <w:rsid w:val="00C545E4"/>
    <w:rsid w:val="00C727F3"/>
    <w:rsid w:val="00C9017B"/>
    <w:rsid w:val="00CC7F7F"/>
    <w:rsid w:val="00CF2A30"/>
    <w:rsid w:val="00D2206C"/>
    <w:rsid w:val="00D330E9"/>
    <w:rsid w:val="00D41EB2"/>
    <w:rsid w:val="00D9022D"/>
    <w:rsid w:val="00D9798E"/>
    <w:rsid w:val="00DB46C0"/>
    <w:rsid w:val="00DE323D"/>
    <w:rsid w:val="00DF20E9"/>
    <w:rsid w:val="00E02053"/>
    <w:rsid w:val="00E02389"/>
    <w:rsid w:val="00E10E42"/>
    <w:rsid w:val="00E14B81"/>
    <w:rsid w:val="00E27C8D"/>
    <w:rsid w:val="00E44CAB"/>
    <w:rsid w:val="00E44ED3"/>
    <w:rsid w:val="00E45E17"/>
    <w:rsid w:val="00E5128E"/>
    <w:rsid w:val="00E5499C"/>
    <w:rsid w:val="00E564BB"/>
    <w:rsid w:val="00E56A35"/>
    <w:rsid w:val="00E6591B"/>
    <w:rsid w:val="00E80A28"/>
    <w:rsid w:val="00E8209A"/>
    <w:rsid w:val="00E9062A"/>
    <w:rsid w:val="00EB1DB1"/>
    <w:rsid w:val="00EF0AA2"/>
    <w:rsid w:val="00EF6564"/>
    <w:rsid w:val="00F1115D"/>
    <w:rsid w:val="00F5209B"/>
    <w:rsid w:val="00F56E1C"/>
    <w:rsid w:val="00F63C09"/>
    <w:rsid w:val="00F75F37"/>
    <w:rsid w:val="00F76990"/>
    <w:rsid w:val="00FD6997"/>
    <w:rsid w:val="00FE1A98"/>
    <w:rsid w:val="00FE3A84"/>
    <w:rsid w:val="00FF1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256E"/>
  <w15:chartTrackingRefBased/>
  <w15:docId w15:val="{D65B273E-1039-4D1C-B243-C653BC2E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DF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4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299"/>
  </w:style>
  <w:style w:type="paragraph" w:styleId="Footer">
    <w:name w:val="footer"/>
    <w:basedOn w:val="Normal"/>
    <w:link w:val="FooterChar"/>
    <w:uiPriority w:val="99"/>
    <w:unhideWhenUsed/>
    <w:rsid w:val="00364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299"/>
  </w:style>
  <w:style w:type="paragraph" w:styleId="ListParagraph">
    <w:name w:val="List Paragraph"/>
    <w:basedOn w:val="Normal"/>
    <w:uiPriority w:val="34"/>
    <w:qFormat/>
    <w:rsid w:val="003A3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5145D-2948-4273-9705-BAA6C48C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13590</Words>
  <Characters>77464</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90873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Levinson</dc:creator>
  <cp:keywords/>
  <dc:description/>
  <cp:lastModifiedBy>Alan Levinson</cp:lastModifiedBy>
  <cp:revision>3</cp:revision>
  <dcterms:created xsi:type="dcterms:W3CDTF">2018-04-23T03:14:00Z</dcterms:created>
  <dcterms:modified xsi:type="dcterms:W3CDTF">2018-04-23T03:16:00Z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379142</vt:lpwstr>
  </property>
  <property fmtid="{D5CDD505-2E9C-101B-9397-08002B2CF9AE}" pid="3" name="InsertAsFootnote">
    <vt:lpwstr>False</vt:lpwstr>
  </property>
  <property fmtid="{D5CDD505-2E9C-101B-9397-08002B2CF9AE}" pid="4" name="ProjectId">
    <vt:lpwstr>0</vt:lpwstr>
  </property>
  <property fmtid="{D5CDD505-2E9C-101B-9397-08002B2CF9AE}" pid="5" name="StyleId">
    <vt:lpwstr>http://www.zotero.org/styles/american-medical-association</vt:lpwstr>
  </property>
</Properties>
</file>