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CB239D" w14:paraId="56F5ACEC" w14:textId="77777777" w:rsidTr="002F16E1">
        <w:tc>
          <w:tcPr>
            <w:tcW w:w="10421" w:type="dxa"/>
            <w:shd w:val="clear" w:color="auto" w:fill="auto"/>
          </w:tcPr>
          <w:p w14:paraId="4B4CA8D4" w14:textId="77777777" w:rsidR="005263ED" w:rsidRPr="00CB239D" w:rsidRDefault="00196026" w:rsidP="002F16E1">
            <w:pPr>
              <w:jc w:val="center"/>
              <w:rPr>
                <w:b/>
                <w:sz w:val="18"/>
                <w:szCs w:val="18"/>
              </w:rPr>
            </w:pPr>
            <w:r w:rsidRPr="00CB239D">
              <w:rPr>
                <w:b/>
                <w:sz w:val="18"/>
                <w:szCs w:val="18"/>
              </w:rPr>
              <w:t>CRITICALLY APPRAISED TOPIC</w:t>
            </w:r>
          </w:p>
        </w:tc>
      </w:tr>
    </w:tbl>
    <w:p w14:paraId="29F7C6C2" w14:textId="77777777" w:rsidR="008B5180" w:rsidRPr="00CB239D" w:rsidRDefault="00E45289" w:rsidP="00196026">
      <w:pPr>
        <w:spacing w:before="120" w:after="120"/>
        <w:rPr>
          <w:b/>
          <w:sz w:val="18"/>
          <w:szCs w:val="18"/>
        </w:rPr>
      </w:pPr>
      <w:r w:rsidRPr="00CB239D">
        <w:rPr>
          <w:b/>
          <w:sz w:val="18"/>
          <w:szCs w:val="18"/>
        </w:rPr>
        <w:t xml:space="preserve">FOCUSED </w:t>
      </w:r>
      <w:r w:rsidR="00554FFC" w:rsidRPr="00CB239D">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CB239D" w14:paraId="48FAF64D" w14:textId="77777777" w:rsidTr="002F16E1">
        <w:tc>
          <w:tcPr>
            <w:tcW w:w="10421" w:type="dxa"/>
            <w:shd w:val="clear" w:color="auto" w:fill="auto"/>
          </w:tcPr>
          <w:p w14:paraId="2190BEF8" w14:textId="1F6D3F90" w:rsidR="008B5180" w:rsidRPr="00CB239D" w:rsidRDefault="007B0B55" w:rsidP="002F16E1">
            <w:pPr>
              <w:spacing w:before="120" w:after="120"/>
              <w:rPr>
                <w:sz w:val="18"/>
                <w:szCs w:val="18"/>
              </w:rPr>
            </w:pPr>
            <w:r w:rsidRPr="00CB239D">
              <w:rPr>
                <w:rFonts w:eastAsiaTheme="minorHAnsi" w:cs="Arial"/>
                <w:sz w:val="18"/>
                <w:szCs w:val="18"/>
              </w:rPr>
              <w:t xml:space="preserve">For a </w:t>
            </w:r>
            <w:proofErr w:type="gramStart"/>
            <w:r w:rsidRPr="00CB239D">
              <w:rPr>
                <w:rFonts w:eastAsiaTheme="minorHAnsi" w:cs="Arial"/>
                <w:sz w:val="18"/>
                <w:szCs w:val="18"/>
              </w:rPr>
              <w:t>35</w:t>
            </w:r>
            <w:r w:rsidR="001068A4" w:rsidRPr="00CB239D">
              <w:rPr>
                <w:rFonts w:eastAsiaTheme="minorHAnsi" w:cs="Arial"/>
                <w:sz w:val="18"/>
                <w:szCs w:val="18"/>
              </w:rPr>
              <w:t xml:space="preserve"> year old</w:t>
            </w:r>
            <w:proofErr w:type="gramEnd"/>
            <w:r w:rsidR="001068A4" w:rsidRPr="00CB239D">
              <w:rPr>
                <w:rFonts w:eastAsiaTheme="minorHAnsi" w:cs="Arial"/>
                <w:sz w:val="18"/>
                <w:szCs w:val="18"/>
              </w:rPr>
              <w:t xml:space="preserve"> </w:t>
            </w:r>
            <w:r w:rsidR="00C93708" w:rsidRPr="00CB239D">
              <w:rPr>
                <w:rFonts w:eastAsiaTheme="minorHAnsi" w:cs="Arial"/>
                <w:sz w:val="18"/>
                <w:szCs w:val="18"/>
              </w:rPr>
              <w:t xml:space="preserve">obese </w:t>
            </w:r>
            <w:r w:rsidR="007E655B" w:rsidRPr="00CB239D">
              <w:rPr>
                <w:rFonts w:eastAsiaTheme="minorHAnsi" w:cs="Arial"/>
                <w:sz w:val="18"/>
                <w:szCs w:val="18"/>
              </w:rPr>
              <w:t xml:space="preserve">female </w:t>
            </w:r>
            <w:r w:rsidR="001068A4" w:rsidRPr="00CB239D">
              <w:rPr>
                <w:rFonts w:eastAsiaTheme="minorHAnsi" w:cs="Arial"/>
                <w:sz w:val="18"/>
                <w:szCs w:val="18"/>
              </w:rPr>
              <w:t>with chronic plantar fasciitis</w:t>
            </w:r>
            <w:r w:rsidR="007E655B" w:rsidRPr="00CB239D">
              <w:rPr>
                <w:rFonts w:eastAsiaTheme="minorHAnsi" w:cs="Arial"/>
                <w:sz w:val="18"/>
                <w:szCs w:val="18"/>
              </w:rPr>
              <w:t>,</w:t>
            </w:r>
            <w:r w:rsidR="001068A4" w:rsidRPr="00CB239D">
              <w:rPr>
                <w:rFonts w:eastAsiaTheme="minorHAnsi" w:cs="Arial"/>
                <w:sz w:val="18"/>
                <w:szCs w:val="18"/>
              </w:rPr>
              <w:t xml:space="preserve"> would platele</w:t>
            </w:r>
            <w:r w:rsidR="007E655B" w:rsidRPr="00CB239D">
              <w:rPr>
                <w:rFonts w:eastAsiaTheme="minorHAnsi" w:cs="Arial"/>
                <w:sz w:val="18"/>
                <w:szCs w:val="18"/>
              </w:rPr>
              <w:t>t rich plasma or corticosteroid</w:t>
            </w:r>
            <w:r w:rsidR="001068A4" w:rsidRPr="00CB239D">
              <w:rPr>
                <w:rFonts w:eastAsiaTheme="minorHAnsi" w:cs="Arial"/>
                <w:sz w:val="18"/>
                <w:szCs w:val="18"/>
              </w:rPr>
              <w:t xml:space="preserve"> injections produce better short/long term pain relief?</w:t>
            </w:r>
          </w:p>
        </w:tc>
      </w:tr>
    </w:tbl>
    <w:p w14:paraId="5EC7C961" w14:textId="77777777" w:rsidR="00554FFC" w:rsidRPr="00CB239D" w:rsidRDefault="00554FFC" w:rsidP="00077862">
      <w:pPr>
        <w:spacing w:before="120" w:after="120"/>
        <w:rPr>
          <w:b/>
          <w:sz w:val="18"/>
          <w:szCs w:val="18"/>
        </w:rPr>
      </w:pPr>
    </w:p>
    <w:p w14:paraId="31856D2C" w14:textId="77777777" w:rsidR="000F3690" w:rsidRPr="00CB239D" w:rsidRDefault="00A66A42" w:rsidP="00077862">
      <w:pPr>
        <w:spacing w:before="120" w:after="120"/>
        <w:rPr>
          <w:b/>
          <w:sz w:val="18"/>
          <w:szCs w:val="18"/>
        </w:rPr>
      </w:pPr>
      <w:r w:rsidRPr="00CB239D">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CB239D" w14:paraId="3B0DC529" w14:textId="77777777" w:rsidTr="002F16E1">
        <w:tc>
          <w:tcPr>
            <w:tcW w:w="1908" w:type="dxa"/>
            <w:shd w:val="clear" w:color="auto" w:fill="auto"/>
          </w:tcPr>
          <w:p w14:paraId="66BA1024" w14:textId="77777777" w:rsidR="003A6741" w:rsidRPr="00CB239D" w:rsidRDefault="008B5180" w:rsidP="002F16E1">
            <w:pPr>
              <w:spacing w:before="120" w:after="120"/>
              <w:rPr>
                <w:b/>
                <w:sz w:val="18"/>
                <w:szCs w:val="18"/>
              </w:rPr>
            </w:pPr>
            <w:r w:rsidRPr="00CB239D">
              <w:rPr>
                <w:b/>
                <w:sz w:val="18"/>
                <w:szCs w:val="18"/>
              </w:rPr>
              <w:t>Prepared by</w:t>
            </w:r>
          </w:p>
        </w:tc>
        <w:tc>
          <w:tcPr>
            <w:tcW w:w="4800" w:type="dxa"/>
            <w:shd w:val="clear" w:color="auto" w:fill="auto"/>
          </w:tcPr>
          <w:p w14:paraId="0B0A2925" w14:textId="77777777" w:rsidR="003A6741" w:rsidRPr="00CB239D" w:rsidRDefault="001068A4" w:rsidP="002F16E1">
            <w:pPr>
              <w:spacing w:before="120" w:after="120"/>
              <w:rPr>
                <w:sz w:val="18"/>
                <w:szCs w:val="18"/>
              </w:rPr>
            </w:pPr>
            <w:r w:rsidRPr="00CB239D">
              <w:rPr>
                <w:sz w:val="18"/>
                <w:szCs w:val="18"/>
              </w:rPr>
              <w:t>Bart Satterfield</w:t>
            </w:r>
          </w:p>
        </w:tc>
        <w:tc>
          <w:tcPr>
            <w:tcW w:w="1107" w:type="dxa"/>
            <w:shd w:val="clear" w:color="auto" w:fill="auto"/>
          </w:tcPr>
          <w:p w14:paraId="1FD931C8" w14:textId="77777777" w:rsidR="003A6741" w:rsidRPr="00CB239D" w:rsidRDefault="003A6741" w:rsidP="002F16E1">
            <w:pPr>
              <w:spacing w:before="120" w:after="120"/>
              <w:rPr>
                <w:b/>
                <w:sz w:val="18"/>
                <w:szCs w:val="18"/>
              </w:rPr>
            </w:pPr>
            <w:r w:rsidRPr="00CB239D">
              <w:rPr>
                <w:b/>
                <w:sz w:val="18"/>
                <w:szCs w:val="18"/>
              </w:rPr>
              <w:t>Date</w:t>
            </w:r>
          </w:p>
        </w:tc>
        <w:tc>
          <w:tcPr>
            <w:tcW w:w="2606" w:type="dxa"/>
            <w:shd w:val="clear" w:color="auto" w:fill="auto"/>
          </w:tcPr>
          <w:p w14:paraId="6A57881E" w14:textId="03DA1820" w:rsidR="003A6741" w:rsidRPr="00CB239D" w:rsidRDefault="00F94E44" w:rsidP="002F16E1">
            <w:pPr>
              <w:spacing w:before="120" w:after="120"/>
              <w:rPr>
                <w:sz w:val="18"/>
                <w:szCs w:val="18"/>
              </w:rPr>
            </w:pPr>
            <w:r w:rsidRPr="00CB239D">
              <w:rPr>
                <w:sz w:val="18"/>
                <w:szCs w:val="18"/>
              </w:rPr>
              <w:t xml:space="preserve">November 2017 </w:t>
            </w:r>
          </w:p>
        </w:tc>
      </w:tr>
      <w:tr w:rsidR="008B031E" w:rsidRPr="00CB239D" w14:paraId="36632341" w14:textId="77777777" w:rsidTr="002F16E1">
        <w:tc>
          <w:tcPr>
            <w:tcW w:w="1908" w:type="dxa"/>
            <w:shd w:val="clear" w:color="auto" w:fill="auto"/>
          </w:tcPr>
          <w:p w14:paraId="1A517CB4" w14:textId="77777777" w:rsidR="008B031E" w:rsidRPr="00CB239D" w:rsidRDefault="008B031E" w:rsidP="002F16E1">
            <w:pPr>
              <w:spacing w:before="120" w:after="120"/>
              <w:rPr>
                <w:b/>
                <w:sz w:val="18"/>
                <w:szCs w:val="18"/>
              </w:rPr>
            </w:pPr>
            <w:r w:rsidRPr="00CB239D">
              <w:rPr>
                <w:b/>
                <w:sz w:val="18"/>
                <w:szCs w:val="18"/>
              </w:rPr>
              <w:t>Email address</w:t>
            </w:r>
          </w:p>
        </w:tc>
        <w:tc>
          <w:tcPr>
            <w:tcW w:w="8513" w:type="dxa"/>
            <w:gridSpan w:val="3"/>
            <w:shd w:val="clear" w:color="auto" w:fill="auto"/>
          </w:tcPr>
          <w:p w14:paraId="4329D1D1" w14:textId="77777777" w:rsidR="008B031E" w:rsidRPr="00CB239D" w:rsidRDefault="001068A4" w:rsidP="002F16E1">
            <w:pPr>
              <w:spacing w:before="120" w:after="120"/>
              <w:rPr>
                <w:sz w:val="18"/>
                <w:szCs w:val="18"/>
              </w:rPr>
            </w:pPr>
            <w:r w:rsidRPr="00CB239D">
              <w:rPr>
                <w:sz w:val="18"/>
                <w:szCs w:val="18"/>
              </w:rPr>
              <w:t>barts@med.unc.edu</w:t>
            </w:r>
          </w:p>
        </w:tc>
      </w:tr>
    </w:tbl>
    <w:p w14:paraId="144C56C6" w14:textId="77777777" w:rsidR="00554FFC" w:rsidRPr="00CB239D" w:rsidRDefault="00554FFC" w:rsidP="00A66A42">
      <w:pPr>
        <w:spacing w:before="120" w:after="120"/>
        <w:rPr>
          <w:b/>
          <w:sz w:val="18"/>
          <w:szCs w:val="18"/>
        </w:rPr>
      </w:pPr>
    </w:p>
    <w:p w14:paraId="4FA99B75" w14:textId="77777777" w:rsidR="00FE7D95" w:rsidRPr="00CB239D" w:rsidRDefault="00A66A42" w:rsidP="00A66A42">
      <w:pPr>
        <w:spacing w:before="120" w:after="120"/>
        <w:rPr>
          <w:b/>
          <w:sz w:val="18"/>
          <w:szCs w:val="18"/>
        </w:rPr>
      </w:pPr>
      <w:r w:rsidRPr="00CB239D">
        <w:rPr>
          <w:b/>
          <w:sz w:val="18"/>
          <w:szCs w:val="18"/>
        </w:rPr>
        <w:t>CLINI</w:t>
      </w:r>
      <w:r w:rsidR="00E45289" w:rsidRPr="00CB239D">
        <w:rPr>
          <w:b/>
          <w:sz w:val="18"/>
          <w:szCs w:val="18"/>
        </w:rPr>
        <w:t>C</w:t>
      </w:r>
      <w:r w:rsidRPr="00CB239D">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CB239D" w14:paraId="2E6E695C" w14:textId="77777777" w:rsidTr="002F16E1">
        <w:tc>
          <w:tcPr>
            <w:tcW w:w="10421" w:type="dxa"/>
            <w:shd w:val="clear" w:color="auto" w:fill="auto"/>
          </w:tcPr>
          <w:p w14:paraId="60A82A5F" w14:textId="17988B65" w:rsidR="00A66A42" w:rsidRPr="00CB239D" w:rsidRDefault="00F94E44" w:rsidP="00CB239D">
            <w:pPr>
              <w:spacing w:before="120" w:after="120"/>
              <w:rPr>
                <w:sz w:val="18"/>
                <w:szCs w:val="18"/>
              </w:rPr>
            </w:pPr>
            <w:r w:rsidRPr="00CB239D">
              <w:rPr>
                <w:sz w:val="18"/>
                <w:szCs w:val="18"/>
              </w:rPr>
              <w:t>The patient was a 35</w:t>
            </w:r>
            <w:r w:rsidR="001068A4" w:rsidRPr="00CB239D">
              <w:rPr>
                <w:sz w:val="18"/>
                <w:szCs w:val="18"/>
              </w:rPr>
              <w:t xml:space="preserve"> year old female that had been dealing with plantar fasc</w:t>
            </w:r>
            <w:r w:rsidRPr="00CB239D">
              <w:rPr>
                <w:sz w:val="18"/>
                <w:szCs w:val="18"/>
              </w:rPr>
              <w:t>iitis for ~5 months which caused her to have constant 5-7</w:t>
            </w:r>
            <w:r w:rsidR="001068A4" w:rsidRPr="00CB239D">
              <w:rPr>
                <w:sz w:val="18"/>
                <w:szCs w:val="18"/>
              </w:rPr>
              <w:t xml:space="preserve">/10 pain (9/10 at its worst). She was previously treated with standard therapy (RICE, NSAIDs, stretching, mobilizations, and strengthening) with little to no pain relief. She </w:t>
            </w:r>
            <w:r w:rsidRPr="00CB239D">
              <w:rPr>
                <w:sz w:val="18"/>
                <w:szCs w:val="18"/>
              </w:rPr>
              <w:t>was</w:t>
            </w:r>
            <w:r w:rsidR="001068A4" w:rsidRPr="00CB239D">
              <w:rPr>
                <w:sz w:val="18"/>
                <w:szCs w:val="18"/>
              </w:rPr>
              <w:t xml:space="preserve"> f</w:t>
            </w:r>
            <w:r w:rsidRPr="00CB239D">
              <w:rPr>
                <w:sz w:val="18"/>
                <w:szCs w:val="18"/>
              </w:rPr>
              <w:t>rustrated with therapy and wanted</w:t>
            </w:r>
            <w:r w:rsidR="001068A4" w:rsidRPr="00CB239D">
              <w:rPr>
                <w:sz w:val="18"/>
                <w:szCs w:val="18"/>
              </w:rPr>
              <w:t xml:space="preserve"> to speak with a podiatrist in regards to undergoing a plantar release procedure.</w:t>
            </w:r>
            <w:r w:rsidR="008C1600" w:rsidRPr="00CB239D">
              <w:rPr>
                <w:sz w:val="18"/>
                <w:szCs w:val="18"/>
              </w:rPr>
              <w:t xml:space="preserve"> This procedure may not be the best option due to its association with a number of risks.</w:t>
            </w:r>
            <w:r w:rsidRPr="00CB239D">
              <w:rPr>
                <w:sz w:val="18"/>
                <w:szCs w:val="18"/>
              </w:rPr>
              <w:t xml:space="preserve"> </w:t>
            </w:r>
            <w:r w:rsidR="004F60A2" w:rsidRPr="00CB239D">
              <w:rPr>
                <w:sz w:val="18"/>
                <w:szCs w:val="18"/>
              </w:rPr>
              <w:t xml:space="preserve">Cadaveric studies have shown that this procedure reduces arch stiffness by 25%, alters forefoot loading, increases load on the second metatarsal, significantly changes joint position that can lead to further deterioration, and increases </w:t>
            </w:r>
            <w:r w:rsidR="00D004C9" w:rsidRPr="00CB239D">
              <w:rPr>
                <w:sz w:val="18"/>
                <w:szCs w:val="18"/>
              </w:rPr>
              <w:t>the</w:t>
            </w:r>
            <w:r w:rsidR="004F60A2" w:rsidRPr="00CB239D">
              <w:rPr>
                <w:sz w:val="18"/>
                <w:szCs w:val="18"/>
              </w:rPr>
              <w:t xml:space="preserve"> strain exerted on the calcaneocuboid ligament and joint capsule</w:t>
            </w:r>
            <w:r w:rsidR="00E9152D" w:rsidRPr="00CB239D">
              <w:rPr>
                <w:sz w:val="18"/>
                <w:szCs w:val="18"/>
              </w:rPr>
              <w:fldChar w:fldCharType="begin"/>
            </w:r>
            <w:r w:rsidR="00CB239D">
              <w:rPr>
                <w:sz w:val="18"/>
                <w:szCs w:val="18"/>
              </w:rPr>
              <w:instrText>ADDIN F1000_CSL_CITATION&lt;~#@#~&gt;[{"DOI":"10.1177/107110079902000204","First":false,"Last":false,"PMID":"10063976","abstract":"With a model using feet from cadavers, we tested the hypothesis that plantar fascial release or rupture alters the loading environment of the forefoot during the latter half of the stance phase of gait. The model simulated the position and loading environment of the foot at two instants: early in terminal stance immediately after heel-off and late in terminal stance just preceding contralateral heel strike. Eight feet were loaded at both positions by simulated plantar flexor contraction, and the distribution of plantar pressure was measured before and after progressive release of the plantar fascia. Strain in the diaphysis of the second metatarsal was also measured, from which the bending moments and axial force imposed on the metatarsal were calculated. Cutting the medial half of the central plantar fascial band significantly increased peak pressure under the metatarsal heads but had little effect on pressures in other regions of the forefoot or on second metatarsal strain and loading. Dividing the entire central band or completely releasing the plantar fascia from the calcaneus had a much greater effect and caused significant shifts in plantar pressure and force from the toes to beneath the metatarsal heads. These shifts were accompanied by significantly increased strain and bending in the second metatarsal. Complete fasciotomy increased the magnitude of strain in the dorsal aspect of the second metatarsal by more than 80%, suggesting that plantar fascial release or rupture accelerates the accumulation of fatigue damage in these bones. Altered forefoot loading may be a potential complication of plantar fasciotomy.","author":[{"family":"Sharkey","given":"N A"},{"family":"Donahue","given":"S W"},{"family":"Ferris","given":"L"}],"authorYearDisplayFormat":false,"citation-label":"4452975","container-title":"Foot &amp; Ankle International","container-title-short":"Foot Ankle Int","id":"4452975","invisible":false,"issue":"2","issued":{"date-parts":[["1999","2"]]},"journalAbbreviation":"Foot Ankle Int","page":"86-96","suppress-author":false,"title":"Biomechanical consequences of plantar fascial release or rupture during gait. Part II: alterations in forefoot loading.","type":"article-journal","volume":"20"},{"DOI":"10.1177/107110079801900306","First":false,"Last":false,"PMID":"9542985","abstract":"Plantar fascia release has long been a mainstay in the surgical treatment of persistent heel pain, although its effects on the biomechanics of the foot are not well understood. With the use of cadaver specimens and digitized computer programs, the changes in the medial and lateral columns of the foot and in the transverse arch were evaluated after sequential sectioning of the plantar fascia. Complete release of the plantar fascia caused a severe drop in the medial and lateral columns of the foot, compared with release of only the medial third. Equinus rotation of the calcaneus and a drop in the cuboid indicate that strain of the plantar calcaneocuboid joint capsule and ligament is a likely cause of lateral midfoot pain after complete plantar fascia release.","author":[{"family":"Murphy","given":"G A"},{"family":"Pneumaticos","given":"S G"},{"family":"Kamaric","given":"E"},{"family":"Noble","given":"P C"},{"family":"Trevino","given":"S G"},{"family":"Baxter","given":"D E"}],"authorYearDisplayFormat":false,"citation-label":"4452973","container-title":"Foot &amp; Ankle International","container-title-short":"Foot Ankle Int","id":"4452973","invisible":false,"issue":"3","issued":{"date-parts":[["1998","3"]]},"journalAbbreviation":"Foot Ankle Int","page":"149-152","suppress-author":false,"title":"Biomechanical consequences of sequential plantar fascia release.","type":"article-journal","volume":"19"},{"DOI":"10.1177/107110079701800103","First":false,"Last":false,"PMID":"9013108","abstract":"The change in position of the bones of the foot was studied in three dimensions after plantar fascia release in intact and destabilized feet. Fifteen fresh-frozen human foot specimens were used. Physiologic loads of 445 newtons were applied axially to simulate standing at ease, and the three-dimensional position of tarsal bones was determined with a magnetic tracking device. The positions were presented in the form of screw axis displacements, quantitating rotation, and axis of rotation orientation. After fasciotomy in the six intact feet, significant differences in rotation were observed at the talotibial and calcaneotalar levels. After fasciotomy in the four unstable feet with three supporting elements sectioned, significant differences in position were observed at the talotibial joint and a significant decrease in arch height was observed. After fasciotomy in the five unstable feet with five supporting elements sectioned, significant differences in rotation were observed at the talotibial joint (mean, 5.5 +/- 1.6 degrees; P = 0.001), calcaneotalar joint (mean, 6.1 +/- 2.1 degrees; P = 0.003), and metatarsotalar level (mean, 9.3 +/- 4.1 degrees; P = 0.007). The average decrease in arch height was 7.4 +/- 4.1 mm (P = 0.015). Displacement of all joints tested occurred after fasciotomy, with rotation about all three axes. These changes in displacement were more pronounced in unstable or destabilized feet. The data suggest that operations involving fasciotomy affect arch stability and should not be performed in patients with evidence of concomitant pes planus deformity, because of the likelihood of further deformation.","author":[{"family":"Kitaoka","given":"H B"},{"family":"Luo","given":"Z P"},{"family":"An","given":"K N"}],"authorYearDisplayFormat":false,"citation-label":"4452969","container-title":"Foot &amp; Ankle International","container-title-short":"Foot Ankle Int","id":"4452969","invisible":false,"issue":"1","issued":{"date-parts":[["1997","1"]]},"journalAbbreviation":"Foot Ankle Int","page":"8-15","suppress-author":false,"title":"Mechanical behavior of the foot and ankle after plantar fascia release in the unstable foot.","type":"article-journal","volume":"18"},{"DOI":"10.1177/107110079301400609","First":false,"Last":false,"author":[{"family":"Huang","given":"Ching-Kuei"},{"family":"Kitaoka","given":"Harold B."},{"family":"An","given":"Kai-Nan"},{"family":"Chao","given":"Edmund Y. S."}],"authorYearDisplayFormat":false,"citation-label":"4452966","container-title":"Foot &amp; ankle","container-title-short":"Foot Ankle","id":"4452966","invisible":false,"issue":"6","issued":{"date-parts":[["1993","7"]]},"journalAbbreviation":"Foot Ankle","page":"353-357","suppress-author":false,"title":"Biomechanical evaluation of longitudinal arch stability","type":"article-journal","volume":"14"}]</w:instrText>
            </w:r>
            <w:r w:rsidR="00E9152D" w:rsidRPr="00CB239D">
              <w:rPr>
                <w:sz w:val="18"/>
                <w:szCs w:val="18"/>
              </w:rPr>
              <w:fldChar w:fldCharType="separate"/>
            </w:r>
            <w:r w:rsidR="00CB239D" w:rsidRPr="00CB239D">
              <w:rPr>
                <w:noProof/>
                <w:sz w:val="18"/>
                <w:szCs w:val="18"/>
                <w:vertAlign w:val="superscript"/>
              </w:rPr>
              <w:t>1–4</w:t>
            </w:r>
            <w:r w:rsidR="00E9152D" w:rsidRPr="00CB239D">
              <w:rPr>
                <w:sz w:val="18"/>
                <w:szCs w:val="18"/>
              </w:rPr>
              <w:fldChar w:fldCharType="end"/>
            </w:r>
            <w:r w:rsidR="004F60A2" w:rsidRPr="00CB239D">
              <w:rPr>
                <w:sz w:val="18"/>
                <w:szCs w:val="18"/>
              </w:rPr>
              <w:t>.</w:t>
            </w:r>
            <w:r w:rsidR="00E9152D" w:rsidRPr="00CB239D">
              <w:rPr>
                <w:sz w:val="18"/>
                <w:szCs w:val="18"/>
              </w:rPr>
              <w:t xml:space="preserve"> </w:t>
            </w:r>
            <w:r w:rsidR="00D004C9" w:rsidRPr="00CB239D">
              <w:rPr>
                <w:sz w:val="18"/>
                <w:szCs w:val="18"/>
              </w:rPr>
              <w:t>This procedure usually leaves 10</w:t>
            </w:r>
            <w:r w:rsidR="00A74412" w:rsidRPr="00CB239D">
              <w:rPr>
                <w:sz w:val="18"/>
                <w:szCs w:val="18"/>
              </w:rPr>
              <w:t>-</w:t>
            </w:r>
            <w:r w:rsidR="00D004C9" w:rsidRPr="00CB239D">
              <w:rPr>
                <w:sz w:val="18"/>
                <w:szCs w:val="18"/>
              </w:rPr>
              <w:t>50% of patients unsatisfied and can result in more severe symptoms and persisting pain</w:t>
            </w:r>
            <w:r w:rsidR="00D004C9" w:rsidRPr="00CB239D">
              <w:rPr>
                <w:sz w:val="18"/>
                <w:szCs w:val="18"/>
              </w:rPr>
              <w:fldChar w:fldCharType="begin"/>
            </w:r>
            <w:r w:rsidR="00CB239D">
              <w:rPr>
                <w:sz w:val="18"/>
                <w:szCs w:val="18"/>
              </w:rPr>
              <w:instrText>ADDIN F1000_CSL_CITATION&lt;~#@#~&gt;[{"DOI":"10.1177/2325967114527901","First":false,"Last":false,"PMCID":"PMC4555569","PMID":"26535314","abstract":"&lt;strong&gt;BACKGROUND:&lt;/strong&gt; 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outcomes.&lt;br&gt;&lt;br&gt;&lt;strong&gt;PURPOSE:&lt;/strong&gt; To assess the outcome following surgical intervention for patients with plantar fasciitis.&lt;br&gt;&lt;br&gt;&lt;strong&gt;STUDY DESIGN:&lt;/strong&gt; Case series; Level of evidence, 4.&lt;br&gt;&lt;br&gt;&lt;strong&gt;METHODS:&lt;/strong&gt; Seventy-nine patients were identified from operative diaries undergoing plantar fasciotomy surgery between 1993 and 2009. They were contacted to investigate long-term results using self-reported outcome measures.&lt;br&gt;&lt;br&gt;&lt;strong&gt;RESULTS:&lt;/strong&gt; 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time.&lt;br&gt;&lt;br&gt;&lt;strong&gt;CONCLUSION:&lt;/strong&gt; 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strategies.","author":[{"family":"Wheeler","given":"Patrick"},{"family":"Boyd","given":"Kevin"},{"family":"Shipton","given":"Mary"}],"authorYearDisplayFormat":false,"citation-label":"4452940","container-title":"Orthopaedic journal of sports medicine","container-title-short":"Orthop J Sports Med","id":"4452940","invisible":false,"issue":"3","issued":{"date-parts":[["2014","3","20"]]},"journalAbbreviation":"Orthop J Sports Med","page":"2325967114527901","suppress-author":false,"title":"Surgery for Patients With Recalcitrant Plantar Fasciitis: Good Results at Short-, Medium-, and Long-term Follow-up.","type":"article-journal","volume":"2"}]</w:instrText>
            </w:r>
            <w:r w:rsidR="00D004C9" w:rsidRPr="00CB239D">
              <w:rPr>
                <w:sz w:val="18"/>
                <w:szCs w:val="18"/>
              </w:rPr>
              <w:fldChar w:fldCharType="separate"/>
            </w:r>
            <w:r w:rsidR="00CB239D" w:rsidRPr="00CB239D">
              <w:rPr>
                <w:noProof/>
                <w:sz w:val="18"/>
                <w:szCs w:val="18"/>
                <w:vertAlign w:val="superscript"/>
              </w:rPr>
              <w:t>5</w:t>
            </w:r>
            <w:r w:rsidR="00D004C9" w:rsidRPr="00CB239D">
              <w:rPr>
                <w:sz w:val="18"/>
                <w:szCs w:val="18"/>
              </w:rPr>
              <w:fldChar w:fldCharType="end"/>
            </w:r>
            <w:r w:rsidR="00BE150C" w:rsidRPr="00CB239D">
              <w:rPr>
                <w:sz w:val="18"/>
                <w:szCs w:val="18"/>
              </w:rPr>
              <w:t xml:space="preserve">. </w:t>
            </w:r>
            <w:r w:rsidR="008C1600" w:rsidRPr="00CB239D">
              <w:rPr>
                <w:sz w:val="18"/>
                <w:szCs w:val="18"/>
              </w:rPr>
              <w:t xml:space="preserve">With this being known, this </w:t>
            </w:r>
            <w:r w:rsidR="00BE150C" w:rsidRPr="00CB239D">
              <w:rPr>
                <w:sz w:val="18"/>
                <w:szCs w:val="18"/>
              </w:rPr>
              <w:t>procedure should only be used as a last resort. The use of platele</w:t>
            </w:r>
            <w:r w:rsidR="007E655B" w:rsidRPr="00CB239D">
              <w:rPr>
                <w:sz w:val="18"/>
                <w:szCs w:val="18"/>
              </w:rPr>
              <w:t>t rich plasma or corticosteroid injections</w:t>
            </w:r>
            <w:r w:rsidR="00BE150C" w:rsidRPr="00CB239D">
              <w:rPr>
                <w:sz w:val="18"/>
                <w:szCs w:val="18"/>
              </w:rPr>
              <w:t xml:space="preserve"> may provide effective pain relief in patients with recalcitrant plantar fasciitis</w:t>
            </w:r>
            <w:r w:rsidR="00730A7E" w:rsidRPr="00CB239D">
              <w:rPr>
                <w:sz w:val="18"/>
                <w:szCs w:val="18"/>
              </w:rPr>
              <w:t xml:space="preserve"> to avoid the need for this procedure</w:t>
            </w:r>
            <w:r w:rsidR="00BE150C" w:rsidRPr="00CB239D">
              <w:rPr>
                <w:sz w:val="18"/>
                <w:szCs w:val="18"/>
              </w:rPr>
              <w:t xml:space="preserve">. These injections are also minimally invasive. </w:t>
            </w:r>
          </w:p>
        </w:tc>
      </w:tr>
    </w:tbl>
    <w:p w14:paraId="5CCCC902" w14:textId="77777777" w:rsidR="00554FFC" w:rsidRPr="00CB239D" w:rsidRDefault="00554FFC" w:rsidP="00A66A42">
      <w:pPr>
        <w:spacing w:before="120"/>
        <w:rPr>
          <w:b/>
          <w:sz w:val="18"/>
          <w:szCs w:val="18"/>
        </w:rPr>
      </w:pPr>
    </w:p>
    <w:p w14:paraId="374842B8" w14:textId="77777777" w:rsidR="00A66A42" w:rsidRPr="00CB239D" w:rsidRDefault="00A66A42" w:rsidP="00A66A42">
      <w:pPr>
        <w:spacing w:before="120"/>
        <w:rPr>
          <w:b/>
          <w:sz w:val="18"/>
          <w:szCs w:val="18"/>
        </w:rPr>
      </w:pPr>
      <w:r w:rsidRPr="00CB239D">
        <w:rPr>
          <w:b/>
          <w:sz w:val="18"/>
          <w:szCs w:val="18"/>
        </w:rPr>
        <w:t>SUMMARY OF SEARCH</w:t>
      </w:r>
    </w:p>
    <w:p w14:paraId="6A346362" w14:textId="77777777" w:rsidR="00A66A42" w:rsidRPr="00CB239D" w:rsidRDefault="00A66A42" w:rsidP="00A66A42">
      <w:pPr>
        <w:spacing w:after="120"/>
        <w:rPr>
          <w:sz w:val="18"/>
          <w:szCs w:val="18"/>
        </w:rPr>
      </w:pPr>
      <w:r w:rsidRPr="00CB239D">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CB239D" w14:paraId="7C3F2C15" w14:textId="77777777" w:rsidTr="002F16E1">
        <w:tc>
          <w:tcPr>
            <w:tcW w:w="10421" w:type="dxa"/>
            <w:shd w:val="clear" w:color="auto" w:fill="auto"/>
          </w:tcPr>
          <w:p w14:paraId="76D59EEF" w14:textId="77777777" w:rsidR="00A66A42" w:rsidRPr="00CB239D" w:rsidRDefault="001068A4" w:rsidP="002F16E1">
            <w:pPr>
              <w:spacing w:before="120" w:after="120"/>
              <w:rPr>
                <w:sz w:val="18"/>
                <w:szCs w:val="18"/>
              </w:rPr>
            </w:pPr>
            <w:r w:rsidRPr="00CB239D">
              <w:rPr>
                <w:sz w:val="18"/>
                <w:szCs w:val="18"/>
              </w:rPr>
              <w:t>The majority of the evidence on this subject consists of prospective clinical studies that compare the outcomes of platelet rich plasma (PRP) versus corticosteroid directly. Since corticosteroids are typically utilized when patients have not responded to conservative treatment, these comparative studies are effective at demonstrating that PRP is another alternative that improves function and pain. From this search, only one randomized controlled trial was found. To further validate these findings, more RCTs are needed to prove that the improvement was caused by the treatment and not by the patient spontaneously recovering with time. More longitudinal studies are also needed to determine if there are any adverse effects associated with the use of PRP. Corticosteroids already have a documented history of disrupting collagen structure, which can result in a rupture. A systematic review was performed, using the included studies, and found PRP to be a good alternative but most of these studies were not randomized or blinded. The studies used different methods of preparing the PRP such as: varying centrifuge time and rounds per minute, the use of activation agents and buffers, altering leukocyte amount, and varying the volume injected into the plantar fascia. Studies also varied in their administration technique: peppering technique versus medical approach. Future studies should work to standardize the preparation method for PRP. The results are promising, however the overall quality of evidence is low to moderate at this time, for reasons previously mentioned.</w:t>
            </w:r>
          </w:p>
        </w:tc>
      </w:tr>
    </w:tbl>
    <w:p w14:paraId="1E8B2C2C" w14:textId="77777777" w:rsidR="00A66A42" w:rsidRPr="00CB239D" w:rsidRDefault="00637684" w:rsidP="00637684">
      <w:pPr>
        <w:spacing w:before="120" w:after="120"/>
        <w:rPr>
          <w:b/>
          <w:sz w:val="18"/>
          <w:szCs w:val="18"/>
        </w:rPr>
      </w:pPr>
      <w:r w:rsidRPr="00CB239D">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CB239D" w14:paraId="72899BA7" w14:textId="77777777" w:rsidTr="002F16E1">
        <w:tc>
          <w:tcPr>
            <w:tcW w:w="10421" w:type="dxa"/>
            <w:shd w:val="clear" w:color="auto" w:fill="auto"/>
          </w:tcPr>
          <w:p w14:paraId="3DA809B8" w14:textId="2FDD4043" w:rsidR="00637684" w:rsidRPr="00CB239D" w:rsidRDefault="00E97FD9" w:rsidP="00CB239D">
            <w:pPr>
              <w:spacing w:before="120" w:after="120"/>
              <w:rPr>
                <w:sz w:val="18"/>
                <w:szCs w:val="18"/>
              </w:rPr>
            </w:pPr>
            <w:r w:rsidRPr="00CB239D">
              <w:rPr>
                <w:sz w:val="18"/>
                <w:szCs w:val="18"/>
              </w:rPr>
              <w:t xml:space="preserve">Both </w:t>
            </w:r>
            <w:r w:rsidR="001F48F0" w:rsidRPr="00CB239D">
              <w:rPr>
                <w:sz w:val="18"/>
                <w:szCs w:val="18"/>
              </w:rPr>
              <w:t>PRP</w:t>
            </w:r>
            <w:r w:rsidRPr="00CB239D">
              <w:rPr>
                <w:sz w:val="18"/>
                <w:szCs w:val="18"/>
              </w:rPr>
              <w:t xml:space="preserve"> and corticosteroid injectio</w:t>
            </w:r>
            <w:r w:rsidR="001F48F0" w:rsidRPr="00CB239D">
              <w:rPr>
                <w:sz w:val="18"/>
                <w:szCs w:val="18"/>
              </w:rPr>
              <w:t>ns improve function and pain in patients with recalcitrant plantar fasciitis. PRP seem to be mo</w:t>
            </w:r>
            <w:r w:rsidR="00B62B19" w:rsidRPr="00CB239D">
              <w:rPr>
                <w:sz w:val="18"/>
                <w:szCs w:val="18"/>
              </w:rPr>
              <w:t xml:space="preserve">re effective at improving </w:t>
            </w:r>
            <w:r w:rsidR="00BD0F1C" w:rsidRPr="00CB239D">
              <w:rPr>
                <w:sz w:val="18"/>
                <w:szCs w:val="18"/>
              </w:rPr>
              <w:t xml:space="preserve">short-term </w:t>
            </w:r>
            <w:r w:rsidR="00B62B19" w:rsidRPr="00CB239D">
              <w:rPr>
                <w:sz w:val="18"/>
                <w:szCs w:val="18"/>
              </w:rPr>
              <w:t>pain but</w:t>
            </w:r>
            <w:r w:rsidR="001F48F0" w:rsidRPr="00CB239D">
              <w:rPr>
                <w:sz w:val="18"/>
                <w:szCs w:val="18"/>
              </w:rPr>
              <w:t xml:space="preserve"> there is not a significant difference between the two in regards to function. More </w:t>
            </w:r>
            <w:r w:rsidR="00BD0F1C" w:rsidRPr="00CB239D">
              <w:rPr>
                <w:sz w:val="18"/>
                <w:szCs w:val="18"/>
              </w:rPr>
              <w:t xml:space="preserve">high quality </w:t>
            </w:r>
            <w:r w:rsidR="001F48F0" w:rsidRPr="00CB239D">
              <w:rPr>
                <w:sz w:val="18"/>
                <w:szCs w:val="18"/>
              </w:rPr>
              <w:t xml:space="preserve">studies are needed to demonstrate the </w:t>
            </w:r>
            <w:r w:rsidR="00B62B19" w:rsidRPr="00CB239D">
              <w:rPr>
                <w:sz w:val="18"/>
                <w:szCs w:val="18"/>
              </w:rPr>
              <w:t>long-term</w:t>
            </w:r>
            <w:r w:rsidR="001F48F0" w:rsidRPr="00CB239D">
              <w:rPr>
                <w:sz w:val="18"/>
                <w:szCs w:val="18"/>
              </w:rPr>
              <w:t xml:space="preserve"> effects </w:t>
            </w:r>
            <w:r w:rsidR="00BD0F1C" w:rsidRPr="00CB239D">
              <w:rPr>
                <w:sz w:val="18"/>
                <w:szCs w:val="18"/>
              </w:rPr>
              <w:t>of these injections.</w:t>
            </w:r>
            <w:r w:rsidR="001F48F0" w:rsidRPr="00CB239D">
              <w:rPr>
                <w:sz w:val="18"/>
                <w:szCs w:val="18"/>
              </w:rPr>
              <w:t xml:space="preserve"> </w:t>
            </w:r>
            <w:r w:rsidR="004A1437" w:rsidRPr="00CB239D">
              <w:rPr>
                <w:sz w:val="18"/>
                <w:szCs w:val="18"/>
              </w:rPr>
              <w:t xml:space="preserve">Since PRP injections are comprised of plates and growth factors from the patient’s blood, it may be safer long term. </w:t>
            </w:r>
            <w:r w:rsidR="00B62B19" w:rsidRPr="00CB239D">
              <w:rPr>
                <w:sz w:val="18"/>
                <w:szCs w:val="18"/>
              </w:rPr>
              <w:t xml:space="preserve">Corticosteroids </w:t>
            </w:r>
            <w:r w:rsidR="00393BE0" w:rsidRPr="00CB239D">
              <w:rPr>
                <w:sz w:val="18"/>
                <w:szCs w:val="18"/>
              </w:rPr>
              <w:t>destroys</w:t>
            </w:r>
            <w:r w:rsidR="003D5077" w:rsidRPr="00CB239D">
              <w:rPr>
                <w:sz w:val="18"/>
                <w:szCs w:val="18"/>
              </w:rPr>
              <w:t xml:space="preserve"> collagen, w</w:t>
            </w:r>
            <w:r w:rsidR="004A1437" w:rsidRPr="00CB239D">
              <w:rPr>
                <w:sz w:val="18"/>
                <w:szCs w:val="18"/>
              </w:rPr>
              <w:t xml:space="preserve">hich increases risk for further </w:t>
            </w:r>
            <w:r w:rsidR="003D5077" w:rsidRPr="00CB239D">
              <w:rPr>
                <w:sz w:val="18"/>
                <w:szCs w:val="18"/>
              </w:rPr>
              <w:t>damages</w:t>
            </w:r>
            <w:r w:rsidR="003D5077" w:rsidRPr="00CB239D">
              <w:rPr>
                <w:sz w:val="18"/>
                <w:szCs w:val="18"/>
              </w:rPr>
              <w:fldChar w:fldCharType="begin"/>
            </w:r>
            <w:r w:rsidR="00CB239D">
              <w:rPr>
                <w:sz w:val="18"/>
                <w:szCs w:val="18"/>
              </w:rPr>
              <w:instrText>ADDIN F1000_CSL_CITATION&lt;~#@#~&gt;[{"First":false,"Last":false,"PMID":"16162982","abstract":"&lt;strong&gt;BACKGROUND:&lt;/strong&gt; The potent anti-inflammatory pharmacologic effects of the corticosteroids (cortisone and synthetic derivatives) has led to their extensive usage in the management of rheumatologic diseases and athletic musculoskeletal injuries. The efficacy and risks of locally injected or systemically administered corticosteroids in the treatment of athletic injuries are unclear.&lt;br&gt;&lt;br&gt;&lt;strong&gt;OBJECTIVE:&lt;/strong&gt; To review critically the medical literature and determine complications and risks associated with corticosteroid treatment of athletic injuries.&lt;br&gt;&lt;br&gt;&lt;strong&gt;DATA SOURCES:&lt;/strong&gt; A search of 3 databases-MEDLINE, CINAHL, and Cochrane Clinical Trial Register-was performed using the OVID interface for all years between 1966 and 2003. The search first combined all references under the medical subject headings adrenal cortex hormones, glucocorticoids, and glucocorticoids, synthetic. A second search combined all references under the medical subject headings athletic injuries, sprains and strains, tendon injuries, shoulder injuries, rotator cuff disease, tennis elbow, and lateral epicondylitis. The references identified by these 2 searches were intersected and limited to human only to produce 130 articles. Relevant review articles were scanned, references reviewed, and additional articles retrieved for consideration of inclusion.&lt;br&gt;&lt;br&gt;&lt;strong&gt;STUDY SELECTION:&lt;/strong&gt; For inclusion in this critical review, articles must meet the following criteria: (1) subjects were human, (2) subjects had athletic-related injuries, and (3) subjects received corticosteroid treatment. Ultimately, 43 studies met inclusion criteria.&lt;br&gt;&lt;br&gt;&lt;strong&gt;DATA EXTRACTION AND SYNTHESIS:&lt;/strong&gt; Selected articles were then categorized as to whether the primary focus was usage/efficacy of corticosteroid injection therapy, occurrence of complications of corticosteroid injection therapy, or usage or complications of systemic corticosteroid therapy.&lt;br&gt;&lt;br&gt;&lt;strong&gt;MAIN RESULTS:&lt;/strong&gt; Twenty-five selected studies primarily examined the usage/efficacy of corticosteroid injections in the treatment of various athletic injuries. Of the 983 total subjects who received corticosteroid injections among these studies, only minor complications of treatment were reported. Eighteen selected studies primarily described complications of corticosteroid injections in the treatment of athletic injuries. Of these, tendon and fascial ruptures were the predominant complications reported. The search identified no articles that addressed the usage of or complications of systemic corticosteroids in the treatment of athletic injuries, although tibial stress fracture and multifocal osteonecrosis occurred in individuals being treated for nonathletic injury conditions.&lt;br&gt;&lt;br&gt;&lt;strong&gt;CONCLUSIONS:&lt;/strong&gt; This critical review reveals that the existing medical literature does not provide precise estimates for complication rates following the therapeutic use of injected or systemic corticosteroids in the treatment of athletic injuries. Tendon and fascial ruptures are often reported complications of injected corticosteroids, whereas tibial stress fractures and multifocal osteonecrosis were described with systemic corticosteroids.","author":[{"family":"Nichols","given":"Andrew W"}],"authorYearDisplayFormat":false,"citation-label":"3205122","container-title":"Clinical journal of sport medicine : official journal of the Canadian Academy of Sport Medicine","container-title-short":"Clin J Sport Med","id":"3205122","invisible":false,"issue":"5","issued":{"date-parts":[["2005","9"]]},"journalAbbreviation":"Clin J Sport Med","page":"370-375","suppress-author":false,"title":"Complications associated with the use of corticosteroids in the treatment of athletic injuries.","type":"article-journal","volume":"15"}]</w:instrText>
            </w:r>
            <w:r w:rsidR="003D5077" w:rsidRPr="00CB239D">
              <w:rPr>
                <w:sz w:val="18"/>
                <w:szCs w:val="18"/>
              </w:rPr>
              <w:fldChar w:fldCharType="separate"/>
            </w:r>
            <w:r w:rsidR="00CB239D" w:rsidRPr="00CB239D">
              <w:rPr>
                <w:noProof/>
                <w:sz w:val="18"/>
                <w:szCs w:val="18"/>
                <w:vertAlign w:val="superscript"/>
              </w:rPr>
              <w:t>6</w:t>
            </w:r>
            <w:r w:rsidR="003D5077" w:rsidRPr="00CB239D">
              <w:rPr>
                <w:sz w:val="18"/>
                <w:szCs w:val="18"/>
              </w:rPr>
              <w:fldChar w:fldCharType="end"/>
            </w:r>
            <w:r w:rsidR="003D5077" w:rsidRPr="00CB239D">
              <w:rPr>
                <w:sz w:val="18"/>
                <w:szCs w:val="18"/>
              </w:rPr>
              <w:t>.</w:t>
            </w:r>
            <w:r w:rsidR="005C2426" w:rsidRPr="00CB239D">
              <w:rPr>
                <w:sz w:val="18"/>
                <w:szCs w:val="18"/>
              </w:rPr>
              <w:t xml:space="preserve"> </w:t>
            </w:r>
          </w:p>
        </w:tc>
      </w:tr>
    </w:tbl>
    <w:p w14:paraId="24253E45" w14:textId="77777777" w:rsidR="00637684" w:rsidRPr="00CB239D"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CB239D" w14:paraId="03475069" w14:textId="77777777" w:rsidTr="002F16E1">
        <w:tc>
          <w:tcPr>
            <w:tcW w:w="10421" w:type="dxa"/>
            <w:shd w:val="clear" w:color="auto" w:fill="E6E6E6"/>
          </w:tcPr>
          <w:p w14:paraId="43D2A66C" w14:textId="77777777" w:rsidR="00637684" w:rsidRPr="00CB239D" w:rsidRDefault="00637684" w:rsidP="00554FFC">
            <w:pPr>
              <w:spacing w:before="120" w:after="120"/>
              <w:jc w:val="center"/>
              <w:rPr>
                <w:b/>
                <w:i/>
                <w:sz w:val="18"/>
                <w:szCs w:val="18"/>
              </w:rPr>
            </w:pPr>
            <w:r w:rsidRPr="00CB239D">
              <w:rPr>
                <w:b/>
                <w:i/>
                <w:sz w:val="18"/>
                <w:szCs w:val="18"/>
              </w:rPr>
              <w:t xml:space="preserve">This critically appraised </w:t>
            </w:r>
            <w:r w:rsidR="00554FFC" w:rsidRPr="00CB239D">
              <w:rPr>
                <w:b/>
                <w:i/>
                <w:sz w:val="18"/>
                <w:szCs w:val="18"/>
              </w:rPr>
              <w:t>topic</w:t>
            </w:r>
            <w:r w:rsidRPr="00CB239D">
              <w:rPr>
                <w:b/>
                <w:i/>
                <w:sz w:val="18"/>
                <w:szCs w:val="18"/>
              </w:rPr>
              <w:t xml:space="preserve"> has </w:t>
            </w:r>
            <w:r w:rsidR="00554FFC" w:rsidRPr="00CB239D">
              <w:rPr>
                <w:b/>
                <w:i/>
                <w:sz w:val="18"/>
                <w:szCs w:val="18"/>
              </w:rPr>
              <w:t>been individually prepared as part of a course requirement and has been peer-reviewed by one other independent course instructor</w:t>
            </w:r>
          </w:p>
        </w:tc>
      </w:tr>
    </w:tbl>
    <w:p w14:paraId="13D32187" w14:textId="77777777" w:rsidR="00554FFC" w:rsidRPr="00CB239D" w:rsidRDefault="00554FFC" w:rsidP="00554FFC">
      <w:pPr>
        <w:spacing w:before="120" w:after="120"/>
        <w:rPr>
          <w:b/>
          <w:sz w:val="18"/>
          <w:szCs w:val="18"/>
        </w:rPr>
      </w:pPr>
      <w:r w:rsidRPr="00CB239D">
        <w:rPr>
          <w:b/>
          <w:sz w:val="18"/>
          <w:szCs w:val="18"/>
        </w:rPr>
        <w:br w:type="page"/>
      </w:r>
      <w:r w:rsidRPr="00CB239D">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902"/>
        <w:gridCol w:w="2408"/>
        <w:gridCol w:w="2593"/>
      </w:tblGrid>
      <w:tr w:rsidR="00554FFC" w:rsidRPr="00CB239D" w14:paraId="6B02A2AA" w14:textId="77777777" w:rsidTr="009E380F">
        <w:tc>
          <w:tcPr>
            <w:tcW w:w="10908" w:type="dxa"/>
            <w:gridSpan w:val="4"/>
            <w:shd w:val="clear" w:color="auto" w:fill="E6E6E6"/>
          </w:tcPr>
          <w:p w14:paraId="25B9FBEE" w14:textId="77777777" w:rsidR="00554FFC" w:rsidRPr="00CB239D" w:rsidRDefault="00554FFC" w:rsidP="009E380F">
            <w:pPr>
              <w:spacing w:before="120" w:after="120"/>
              <w:rPr>
                <w:b/>
                <w:sz w:val="18"/>
                <w:szCs w:val="18"/>
              </w:rPr>
            </w:pPr>
            <w:r w:rsidRPr="00CB239D">
              <w:rPr>
                <w:b/>
                <w:sz w:val="18"/>
                <w:szCs w:val="18"/>
              </w:rPr>
              <w:t>Terms used to guide the search strategy</w:t>
            </w:r>
          </w:p>
        </w:tc>
      </w:tr>
      <w:tr w:rsidR="00554FFC" w:rsidRPr="00CB239D" w14:paraId="0D3639CE" w14:textId="77777777" w:rsidTr="009E380F">
        <w:tc>
          <w:tcPr>
            <w:tcW w:w="2628" w:type="dxa"/>
            <w:tcBorders>
              <w:right w:val="single" w:sz="8" w:space="0" w:color="auto"/>
            </w:tcBorders>
            <w:shd w:val="clear" w:color="auto" w:fill="auto"/>
          </w:tcPr>
          <w:p w14:paraId="5F273F5A" w14:textId="77777777" w:rsidR="00554FFC" w:rsidRPr="00CB239D" w:rsidRDefault="00554FFC" w:rsidP="009E380F">
            <w:pPr>
              <w:spacing w:before="120" w:after="120"/>
              <w:rPr>
                <w:sz w:val="18"/>
                <w:szCs w:val="18"/>
              </w:rPr>
            </w:pPr>
            <w:r w:rsidRPr="00CB239D">
              <w:rPr>
                <w:b/>
                <w:sz w:val="18"/>
                <w:szCs w:val="18"/>
                <w:u w:val="single"/>
              </w:rPr>
              <w:t>P</w:t>
            </w:r>
            <w:r w:rsidRPr="00CB239D">
              <w:rPr>
                <w:sz w:val="18"/>
                <w:szCs w:val="18"/>
              </w:rPr>
              <w:t>atient/Client Group</w:t>
            </w:r>
          </w:p>
        </w:tc>
        <w:tc>
          <w:tcPr>
            <w:tcW w:w="3060" w:type="dxa"/>
            <w:tcBorders>
              <w:left w:val="single" w:sz="8" w:space="0" w:color="auto"/>
            </w:tcBorders>
            <w:shd w:val="clear" w:color="auto" w:fill="auto"/>
          </w:tcPr>
          <w:p w14:paraId="7FB6599A" w14:textId="77777777" w:rsidR="00554FFC" w:rsidRPr="00CB239D" w:rsidRDefault="00554FFC" w:rsidP="009E380F">
            <w:pPr>
              <w:spacing w:before="120" w:after="120"/>
              <w:rPr>
                <w:sz w:val="18"/>
                <w:szCs w:val="18"/>
              </w:rPr>
            </w:pPr>
            <w:r w:rsidRPr="00CB239D">
              <w:rPr>
                <w:b/>
                <w:sz w:val="18"/>
                <w:szCs w:val="18"/>
                <w:u w:val="single"/>
              </w:rPr>
              <w:t>I</w:t>
            </w:r>
            <w:r w:rsidRPr="00CB239D">
              <w:rPr>
                <w:sz w:val="18"/>
                <w:szCs w:val="18"/>
              </w:rPr>
              <w:t>ntervention (or Assessment)</w:t>
            </w:r>
          </w:p>
        </w:tc>
        <w:tc>
          <w:tcPr>
            <w:tcW w:w="2493" w:type="dxa"/>
            <w:tcBorders>
              <w:left w:val="single" w:sz="8" w:space="0" w:color="auto"/>
            </w:tcBorders>
            <w:shd w:val="clear" w:color="auto" w:fill="auto"/>
          </w:tcPr>
          <w:p w14:paraId="11985718" w14:textId="77777777" w:rsidR="00554FFC" w:rsidRPr="00CB239D" w:rsidRDefault="00554FFC" w:rsidP="009E380F">
            <w:pPr>
              <w:spacing w:before="120" w:after="120"/>
              <w:rPr>
                <w:sz w:val="18"/>
                <w:szCs w:val="18"/>
              </w:rPr>
            </w:pPr>
            <w:r w:rsidRPr="00CB239D">
              <w:rPr>
                <w:b/>
                <w:sz w:val="18"/>
                <w:szCs w:val="18"/>
                <w:u w:val="single"/>
              </w:rPr>
              <w:t>C</w:t>
            </w:r>
            <w:r w:rsidRPr="00CB239D">
              <w:rPr>
                <w:sz w:val="18"/>
                <w:szCs w:val="18"/>
              </w:rPr>
              <w:t>omparison</w:t>
            </w:r>
          </w:p>
        </w:tc>
        <w:tc>
          <w:tcPr>
            <w:tcW w:w="2727" w:type="dxa"/>
            <w:tcBorders>
              <w:left w:val="single" w:sz="8" w:space="0" w:color="auto"/>
            </w:tcBorders>
            <w:shd w:val="clear" w:color="auto" w:fill="auto"/>
          </w:tcPr>
          <w:p w14:paraId="1C51E7CC" w14:textId="77777777" w:rsidR="00554FFC" w:rsidRPr="00CB239D" w:rsidRDefault="00554FFC" w:rsidP="009E380F">
            <w:pPr>
              <w:spacing w:before="120" w:after="120"/>
              <w:rPr>
                <w:sz w:val="18"/>
                <w:szCs w:val="18"/>
              </w:rPr>
            </w:pPr>
            <w:r w:rsidRPr="00CB239D">
              <w:rPr>
                <w:b/>
                <w:sz w:val="18"/>
                <w:szCs w:val="18"/>
                <w:u w:val="single"/>
              </w:rPr>
              <w:t>O</w:t>
            </w:r>
            <w:r w:rsidRPr="00CB239D">
              <w:rPr>
                <w:sz w:val="18"/>
                <w:szCs w:val="18"/>
              </w:rPr>
              <w:t>utcome(s)</w:t>
            </w:r>
          </w:p>
        </w:tc>
      </w:tr>
      <w:tr w:rsidR="00554FFC" w:rsidRPr="00CB239D" w14:paraId="20B75E1E" w14:textId="77777777" w:rsidTr="009E380F">
        <w:tc>
          <w:tcPr>
            <w:tcW w:w="2628" w:type="dxa"/>
            <w:tcBorders>
              <w:right w:val="single" w:sz="8" w:space="0" w:color="auto"/>
            </w:tcBorders>
            <w:shd w:val="clear" w:color="auto" w:fill="auto"/>
          </w:tcPr>
          <w:p w14:paraId="74544C41" w14:textId="77777777" w:rsidR="001068A4" w:rsidRPr="00CB239D" w:rsidRDefault="001068A4" w:rsidP="001068A4">
            <w:pPr>
              <w:spacing w:before="120" w:after="120"/>
              <w:rPr>
                <w:sz w:val="18"/>
                <w:szCs w:val="18"/>
              </w:rPr>
            </w:pPr>
            <w:r w:rsidRPr="00CB239D">
              <w:rPr>
                <w:sz w:val="18"/>
                <w:szCs w:val="18"/>
              </w:rPr>
              <w:t xml:space="preserve">Plantar </w:t>
            </w:r>
            <w:proofErr w:type="spellStart"/>
            <w:r w:rsidRPr="00CB239D">
              <w:rPr>
                <w:sz w:val="18"/>
                <w:szCs w:val="18"/>
              </w:rPr>
              <w:t>fasci</w:t>
            </w:r>
            <w:proofErr w:type="spellEnd"/>
            <w:r w:rsidRPr="00CB239D">
              <w:rPr>
                <w:sz w:val="18"/>
                <w:szCs w:val="18"/>
              </w:rPr>
              <w:t>*</w:t>
            </w:r>
          </w:p>
          <w:p w14:paraId="60FE5132" w14:textId="77777777" w:rsidR="001068A4" w:rsidRPr="00CB239D" w:rsidRDefault="001068A4" w:rsidP="001068A4">
            <w:pPr>
              <w:spacing w:before="120" w:after="120"/>
              <w:rPr>
                <w:sz w:val="18"/>
                <w:szCs w:val="18"/>
              </w:rPr>
            </w:pPr>
            <w:r w:rsidRPr="00CB239D">
              <w:rPr>
                <w:sz w:val="18"/>
                <w:szCs w:val="18"/>
              </w:rPr>
              <w:t>Heel pain</w:t>
            </w:r>
          </w:p>
          <w:p w14:paraId="177DE779" w14:textId="77777777" w:rsidR="00554FFC" w:rsidRPr="00CB239D" w:rsidRDefault="001068A4" w:rsidP="001068A4">
            <w:pPr>
              <w:spacing w:before="120" w:after="120"/>
              <w:rPr>
                <w:sz w:val="18"/>
                <w:szCs w:val="18"/>
              </w:rPr>
            </w:pPr>
            <w:r w:rsidRPr="00CB239D">
              <w:rPr>
                <w:sz w:val="18"/>
                <w:szCs w:val="18"/>
              </w:rPr>
              <w:t>Plantar heel</w:t>
            </w:r>
          </w:p>
        </w:tc>
        <w:tc>
          <w:tcPr>
            <w:tcW w:w="3060" w:type="dxa"/>
            <w:tcBorders>
              <w:left w:val="single" w:sz="8" w:space="0" w:color="auto"/>
            </w:tcBorders>
            <w:shd w:val="clear" w:color="auto" w:fill="auto"/>
          </w:tcPr>
          <w:p w14:paraId="5425CD8B" w14:textId="77777777" w:rsidR="00554FFC" w:rsidRPr="00CB239D" w:rsidRDefault="001068A4" w:rsidP="009E380F">
            <w:pPr>
              <w:spacing w:before="120" w:after="120"/>
              <w:rPr>
                <w:sz w:val="18"/>
                <w:szCs w:val="18"/>
              </w:rPr>
            </w:pPr>
            <w:r w:rsidRPr="00CB239D">
              <w:rPr>
                <w:sz w:val="18"/>
                <w:szCs w:val="18"/>
              </w:rPr>
              <w:t>Platelet rich plasma</w:t>
            </w:r>
          </w:p>
        </w:tc>
        <w:tc>
          <w:tcPr>
            <w:tcW w:w="2493" w:type="dxa"/>
            <w:tcBorders>
              <w:left w:val="single" w:sz="8" w:space="0" w:color="auto"/>
            </w:tcBorders>
            <w:shd w:val="clear" w:color="auto" w:fill="auto"/>
          </w:tcPr>
          <w:p w14:paraId="494B3D5D" w14:textId="77777777" w:rsidR="001068A4" w:rsidRPr="00CB239D" w:rsidRDefault="001068A4" w:rsidP="001068A4">
            <w:pPr>
              <w:spacing w:before="120" w:after="120"/>
              <w:rPr>
                <w:sz w:val="18"/>
                <w:szCs w:val="18"/>
              </w:rPr>
            </w:pPr>
            <w:proofErr w:type="spellStart"/>
            <w:r w:rsidRPr="00CB239D">
              <w:rPr>
                <w:sz w:val="18"/>
                <w:szCs w:val="18"/>
              </w:rPr>
              <w:t>Corticosteriod</w:t>
            </w:r>
            <w:proofErr w:type="spellEnd"/>
            <w:r w:rsidRPr="00CB239D">
              <w:rPr>
                <w:sz w:val="18"/>
                <w:szCs w:val="18"/>
              </w:rPr>
              <w:t>*</w:t>
            </w:r>
          </w:p>
          <w:p w14:paraId="667DF9E4" w14:textId="77777777" w:rsidR="001068A4" w:rsidRPr="00CB239D" w:rsidRDefault="001068A4" w:rsidP="001068A4">
            <w:pPr>
              <w:spacing w:before="120" w:after="120"/>
              <w:rPr>
                <w:sz w:val="18"/>
                <w:szCs w:val="18"/>
              </w:rPr>
            </w:pPr>
            <w:r w:rsidRPr="00CB239D">
              <w:rPr>
                <w:sz w:val="18"/>
                <w:szCs w:val="18"/>
              </w:rPr>
              <w:t>Steroid*</w:t>
            </w:r>
          </w:p>
          <w:p w14:paraId="09E88941" w14:textId="77777777" w:rsidR="001068A4" w:rsidRPr="00CB239D" w:rsidRDefault="001068A4" w:rsidP="001068A4">
            <w:pPr>
              <w:spacing w:before="120" w:after="120"/>
              <w:rPr>
                <w:sz w:val="18"/>
                <w:szCs w:val="18"/>
              </w:rPr>
            </w:pPr>
            <w:r w:rsidRPr="00CB239D">
              <w:rPr>
                <w:sz w:val="18"/>
                <w:szCs w:val="18"/>
              </w:rPr>
              <w:t>Adrenal cortex Hormone*</w:t>
            </w:r>
          </w:p>
          <w:p w14:paraId="38E64BE5" w14:textId="77777777" w:rsidR="00554FFC" w:rsidRPr="00CB239D" w:rsidRDefault="001068A4" w:rsidP="001068A4">
            <w:pPr>
              <w:spacing w:before="120" w:after="120"/>
              <w:rPr>
                <w:sz w:val="18"/>
                <w:szCs w:val="18"/>
              </w:rPr>
            </w:pPr>
            <w:r w:rsidRPr="00CB239D">
              <w:rPr>
                <w:sz w:val="18"/>
                <w:szCs w:val="18"/>
              </w:rPr>
              <w:t>Adrenocortical</w:t>
            </w:r>
          </w:p>
        </w:tc>
        <w:tc>
          <w:tcPr>
            <w:tcW w:w="2727" w:type="dxa"/>
            <w:tcBorders>
              <w:left w:val="single" w:sz="8" w:space="0" w:color="auto"/>
            </w:tcBorders>
            <w:shd w:val="clear" w:color="auto" w:fill="auto"/>
          </w:tcPr>
          <w:p w14:paraId="75FA5C64" w14:textId="77777777" w:rsidR="00554FFC" w:rsidRPr="00CB239D" w:rsidRDefault="001068A4" w:rsidP="009E380F">
            <w:pPr>
              <w:spacing w:before="120" w:after="120"/>
              <w:rPr>
                <w:sz w:val="18"/>
                <w:szCs w:val="18"/>
              </w:rPr>
            </w:pPr>
            <w:r w:rsidRPr="00CB239D">
              <w:rPr>
                <w:sz w:val="18"/>
                <w:szCs w:val="18"/>
              </w:rPr>
              <w:t>Pain</w:t>
            </w:r>
          </w:p>
        </w:tc>
      </w:tr>
    </w:tbl>
    <w:p w14:paraId="35A26D0E" w14:textId="77777777" w:rsidR="00554FFC" w:rsidRPr="00CB239D" w:rsidRDefault="00554FFC" w:rsidP="00554FFC">
      <w:pPr>
        <w:rPr>
          <w:sz w:val="18"/>
          <w:szCs w:val="18"/>
        </w:rPr>
      </w:pPr>
    </w:p>
    <w:p w14:paraId="1CCA6D71" w14:textId="29190BDB" w:rsidR="001068A4" w:rsidRPr="00E56D26" w:rsidRDefault="00554FFC" w:rsidP="00E56D26">
      <w:pPr>
        <w:spacing w:before="120" w:after="120"/>
        <w:rPr>
          <w:b/>
          <w:sz w:val="18"/>
          <w:szCs w:val="18"/>
        </w:rPr>
      </w:pPr>
      <w:r w:rsidRPr="00CB239D">
        <w:rPr>
          <w:b/>
          <w:sz w:val="18"/>
          <w:szCs w:val="18"/>
        </w:rPr>
        <w:t>Final search strategy</w:t>
      </w:r>
      <w:r w:rsidR="00D76272" w:rsidRPr="00CB239D">
        <w:rPr>
          <w:b/>
          <w:sz w:val="18"/>
          <w:szCs w:val="18"/>
        </w:rPr>
        <w:t xml:space="preserve"> (history)</w:t>
      </w:r>
      <w:r w:rsidRPr="00CB239D">
        <w:rPr>
          <w:b/>
          <w:sz w:val="18"/>
          <w:szCs w:val="18"/>
        </w:rPr>
        <w:t>:</w:t>
      </w:r>
    </w:p>
    <w:p w14:paraId="1C5C1027"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Plantar fascia* OR heel pain OR plantar heel</w:t>
      </w:r>
    </w:p>
    <w:p w14:paraId="12E45DAB"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Platelet rich plasma</w:t>
      </w:r>
    </w:p>
    <w:p w14:paraId="5DEA371F"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Corticosteroid* OR steroid* OR adrenal cortex hormone* OR adrenocortical</w:t>
      </w:r>
    </w:p>
    <w:p w14:paraId="7D517D78"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Pain</w:t>
      </w:r>
    </w:p>
    <w:p w14:paraId="3A47634C"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#1 AND #2 AND #3 AND #4</w:t>
      </w:r>
    </w:p>
    <w:p w14:paraId="5FB93A71"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Plantar fascia* OR heel pain OR plantar heel [</w:t>
      </w:r>
      <w:proofErr w:type="spellStart"/>
      <w:r w:rsidRPr="00CB239D">
        <w:rPr>
          <w:rFonts w:ascii="Verdana" w:hAnsi="Verdana"/>
          <w:sz w:val="18"/>
          <w:szCs w:val="18"/>
        </w:rPr>
        <w:t>MeSH</w:t>
      </w:r>
      <w:proofErr w:type="spellEnd"/>
      <w:r w:rsidRPr="00CB239D">
        <w:rPr>
          <w:rFonts w:ascii="Verdana" w:hAnsi="Verdana"/>
          <w:sz w:val="18"/>
          <w:szCs w:val="18"/>
        </w:rPr>
        <w:t xml:space="preserve"> Major Topic]</w:t>
      </w:r>
    </w:p>
    <w:p w14:paraId="6003E71A"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Platelet rich plasma [Title/Abstract]</w:t>
      </w:r>
    </w:p>
    <w:p w14:paraId="10C5B96C"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Corticosteroid* OR steroid* OR adrenal cortex hormone* OR adrenocortical [Title/Abstract]</w:t>
      </w:r>
    </w:p>
    <w:p w14:paraId="0C672A12" w14:textId="77777777" w:rsidR="007B3439" w:rsidRPr="00CB239D" w:rsidRDefault="007B3439" w:rsidP="007B3439">
      <w:pPr>
        <w:pStyle w:val="ListParagraph"/>
        <w:numPr>
          <w:ilvl w:val="0"/>
          <w:numId w:val="36"/>
        </w:numPr>
        <w:tabs>
          <w:tab w:val="left" w:pos="1080"/>
        </w:tabs>
        <w:rPr>
          <w:rFonts w:ascii="Verdana" w:hAnsi="Verdana"/>
          <w:sz w:val="18"/>
          <w:szCs w:val="18"/>
        </w:rPr>
      </w:pPr>
      <w:r w:rsidRPr="00CB239D">
        <w:rPr>
          <w:rFonts w:ascii="Verdana" w:hAnsi="Verdana"/>
          <w:sz w:val="18"/>
          <w:szCs w:val="18"/>
        </w:rPr>
        <w:t>Pain [Title/Abstract]</w:t>
      </w:r>
    </w:p>
    <w:p w14:paraId="6CC5B31A" w14:textId="77777777" w:rsidR="007B3439" w:rsidRPr="00CB239D" w:rsidRDefault="007B3439" w:rsidP="007B3439">
      <w:pPr>
        <w:pStyle w:val="ListParagraph"/>
        <w:numPr>
          <w:ilvl w:val="0"/>
          <w:numId w:val="36"/>
        </w:numPr>
        <w:ind w:left="810" w:hanging="450"/>
        <w:rPr>
          <w:rFonts w:ascii="Verdana" w:hAnsi="Verdana"/>
          <w:sz w:val="18"/>
          <w:szCs w:val="18"/>
        </w:rPr>
      </w:pPr>
      <w:r w:rsidRPr="00CB239D">
        <w:rPr>
          <w:rFonts w:ascii="Verdana" w:hAnsi="Verdana"/>
          <w:sz w:val="18"/>
          <w:szCs w:val="18"/>
        </w:rPr>
        <w:t>#6 AND #7 AND #8 AND #9</w:t>
      </w:r>
    </w:p>
    <w:p w14:paraId="7774DFFB" w14:textId="77777777" w:rsidR="007B3439" w:rsidRPr="00CB239D" w:rsidRDefault="007B3439" w:rsidP="007B3439">
      <w:pPr>
        <w:pStyle w:val="ListParagraph"/>
        <w:numPr>
          <w:ilvl w:val="0"/>
          <w:numId w:val="36"/>
        </w:numPr>
        <w:ind w:left="810" w:hanging="450"/>
        <w:rPr>
          <w:rFonts w:ascii="Verdana" w:hAnsi="Verdana"/>
          <w:sz w:val="18"/>
          <w:szCs w:val="18"/>
        </w:rPr>
      </w:pPr>
      <w:r w:rsidRPr="00CB239D">
        <w:rPr>
          <w:rFonts w:ascii="Verdana" w:hAnsi="Verdana"/>
          <w:sz w:val="18"/>
          <w:szCs w:val="18"/>
        </w:rPr>
        <w:t>#6 AND #7 AND #8 AND #9 Filters: published in the last 10 years</w:t>
      </w:r>
    </w:p>
    <w:p w14:paraId="59C1A3FB" w14:textId="77777777" w:rsidR="007B3439" w:rsidRPr="00CB239D" w:rsidRDefault="007B3439" w:rsidP="007B3439">
      <w:pPr>
        <w:pStyle w:val="ListParagraph"/>
        <w:numPr>
          <w:ilvl w:val="0"/>
          <w:numId w:val="36"/>
        </w:numPr>
        <w:ind w:left="810" w:hanging="450"/>
        <w:rPr>
          <w:rFonts w:ascii="Verdana" w:hAnsi="Verdana"/>
          <w:sz w:val="18"/>
          <w:szCs w:val="18"/>
        </w:rPr>
      </w:pPr>
      <w:r w:rsidRPr="00CB239D">
        <w:rPr>
          <w:rFonts w:ascii="Verdana" w:hAnsi="Verdana"/>
          <w:sz w:val="18"/>
          <w:szCs w:val="18"/>
        </w:rPr>
        <w:t>#6 AND #7 AND #8 AND #9 Filters: clinical trial; published in the last 10 years</w:t>
      </w:r>
    </w:p>
    <w:p w14:paraId="74BCC180" w14:textId="77777777" w:rsidR="007B3439" w:rsidRPr="00CB239D" w:rsidRDefault="007B3439" w:rsidP="007B3439">
      <w:pPr>
        <w:pStyle w:val="ListParagraph"/>
        <w:numPr>
          <w:ilvl w:val="0"/>
          <w:numId w:val="36"/>
        </w:numPr>
        <w:tabs>
          <w:tab w:val="left" w:pos="1080"/>
        </w:tabs>
        <w:ind w:left="810" w:hanging="450"/>
        <w:rPr>
          <w:rFonts w:ascii="Verdana" w:hAnsi="Verdana"/>
          <w:sz w:val="18"/>
          <w:szCs w:val="18"/>
        </w:rPr>
      </w:pPr>
      <w:r w:rsidRPr="00CB239D">
        <w:rPr>
          <w:rFonts w:ascii="Verdana" w:hAnsi="Verdana"/>
          <w:sz w:val="18"/>
          <w:szCs w:val="18"/>
        </w:rPr>
        <w:t>#6 AND #7 AND #8 AND #9 Filters: clinical trial; Review; published in the last 10 years</w:t>
      </w:r>
    </w:p>
    <w:p w14:paraId="08584C3B" w14:textId="77777777" w:rsidR="007B3439" w:rsidRPr="00CB239D" w:rsidRDefault="007B3439" w:rsidP="007B3439">
      <w:pPr>
        <w:pStyle w:val="ListParagraph"/>
        <w:numPr>
          <w:ilvl w:val="0"/>
          <w:numId w:val="36"/>
        </w:numPr>
        <w:tabs>
          <w:tab w:val="left" w:pos="1080"/>
        </w:tabs>
        <w:ind w:left="810" w:hanging="450"/>
        <w:rPr>
          <w:rFonts w:ascii="Verdana" w:hAnsi="Verdana"/>
          <w:sz w:val="18"/>
          <w:szCs w:val="18"/>
        </w:rPr>
      </w:pPr>
      <w:r w:rsidRPr="00CB239D">
        <w:rPr>
          <w:rFonts w:ascii="Verdana" w:hAnsi="Verdana"/>
          <w:sz w:val="18"/>
          <w:szCs w:val="18"/>
        </w:rPr>
        <w:t>#6 AND #7 AND #8 AND #9 Filters: clinical trial; Review; symmetric review; published in the last 10 years</w:t>
      </w:r>
    </w:p>
    <w:p w14:paraId="3E71294F" w14:textId="77777777" w:rsidR="007B3439" w:rsidRPr="00CB239D" w:rsidRDefault="007B3439" w:rsidP="007B3439">
      <w:pPr>
        <w:pStyle w:val="ListParagraph"/>
        <w:numPr>
          <w:ilvl w:val="0"/>
          <w:numId w:val="36"/>
        </w:numPr>
        <w:tabs>
          <w:tab w:val="left" w:pos="1080"/>
        </w:tabs>
        <w:ind w:left="810" w:hanging="450"/>
        <w:rPr>
          <w:rFonts w:ascii="Verdana" w:hAnsi="Verdana"/>
          <w:sz w:val="18"/>
          <w:szCs w:val="18"/>
        </w:rPr>
      </w:pPr>
      <w:r w:rsidRPr="00CB239D">
        <w:rPr>
          <w:rFonts w:ascii="Verdana" w:hAnsi="Verdana"/>
          <w:sz w:val="18"/>
          <w:szCs w:val="18"/>
        </w:rPr>
        <w:t>#6 AND #7 AND #8 AND #9 Filters: clinical trial; Review; symmetric review; meta-analysis; published in the last 10 years</w:t>
      </w:r>
    </w:p>
    <w:p w14:paraId="0C553E6B" w14:textId="77777777" w:rsidR="001068A4" w:rsidRPr="00CB239D" w:rsidRDefault="001068A4" w:rsidP="001068A4">
      <w:pPr>
        <w:rPr>
          <w:bCs/>
          <w:color w:val="000000"/>
          <w:sz w:val="18"/>
          <w:szCs w:val="18"/>
        </w:rPr>
      </w:pPr>
    </w:p>
    <w:p w14:paraId="3D485395" w14:textId="77777777" w:rsidR="001068A4" w:rsidRPr="00CB239D" w:rsidRDefault="001068A4" w:rsidP="001068A4">
      <w:pPr>
        <w:rPr>
          <w:sz w:val="18"/>
          <w:szCs w:val="18"/>
        </w:rPr>
      </w:pPr>
      <w:r w:rsidRPr="00CB239D">
        <w:rPr>
          <w:bCs/>
          <w:color w:val="000000"/>
          <w:sz w:val="18"/>
          <w:szCs w:val="18"/>
        </w:rPr>
        <w:t xml:space="preserve">Final </w:t>
      </w:r>
      <w:proofErr w:type="spellStart"/>
      <w:r w:rsidRPr="00CB239D">
        <w:rPr>
          <w:bCs/>
          <w:color w:val="000000"/>
          <w:sz w:val="18"/>
          <w:szCs w:val="18"/>
        </w:rPr>
        <w:t>pubmed</w:t>
      </w:r>
      <w:proofErr w:type="spellEnd"/>
      <w:r w:rsidRPr="00CB239D">
        <w:rPr>
          <w:bCs/>
          <w:color w:val="000000"/>
          <w:sz w:val="18"/>
          <w:szCs w:val="18"/>
        </w:rPr>
        <w:t xml:space="preserve"> search:</w:t>
      </w:r>
      <w:r w:rsidRPr="00CB239D" w:rsidDel="004042E8">
        <w:rPr>
          <w:bCs/>
          <w:color w:val="000000"/>
          <w:sz w:val="18"/>
          <w:szCs w:val="18"/>
        </w:rPr>
        <w:t xml:space="preserve">((((Plantar </w:t>
      </w:r>
      <w:proofErr w:type="spellStart"/>
      <w:r w:rsidRPr="00CB239D" w:rsidDel="004042E8">
        <w:rPr>
          <w:bCs/>
          <w:color w:val="000000"/>
          <w:sz w:val="18"/>
          <w:szCs w:val="18"/>
        </w:rPr>
        <w:t>fasci</w:t>
      </w:r>
      <w:proofErr w:type="spellEnd"/>
      <w:r w:rsidRPr="00CB239D" w:rsidDel="004042E8">
        <w:rPr>
          <w:bCs/>
          <w:color w:val="000000"/>
          <w:sz w:val="18"/>
          <w:szCs w:val="18"/>
        </w:rPr>
        <w:t xml:space="preserve">* OR heel pain OR plantar </w:t>
      </w:r>
      <w:proofErr w:type="gramStart"/>
      <w:r w:rsidRPr="00CB239D" w:rsidDel="004042E8">
        <w:rPr>
          <w:bCs/>
          <w:color w:val="000000"/>
          <w:sz w:val="18"/>
          <w:szCs w:val="18"/>
        </w:rPr>
        <w:t>heel[</w:t>
      </w:r>
      <w:proofErr w:type="spellStart"/>
      <w:proofErr w:type="gramEnd"/>
      <w:r w:rsidRPr="00CB239D" w:rsidDel="004042E8">
        <w:rPr>
          <w:bCs/>
          <w:color w:val="000000"/>
          <w:sz w:val="18"/>
          <w:szCs w:val="18"/>
        </w:rPr>
        <w:t>MeSH</w:t>
      </w:r>
      <w:proofErr w:type="spellEnd"/>
      <w:r w:rsidRPr="00CB239D" w:rsidDel="004042E8">
        <w:rPr>
          <w:bCs/>
          <w:color w:val="000000"/>
          <w:sz w:val="18"/>
          <w:szCs w:val="18"/>
        </w:rPr>
        <w:t xml:space="preserve"> Major Topic])) AND Platelet rich plasma[Title/Abstract]) AND (Corticosteroid*[Title/Abstract] OR steroid*[Title/Abstract] OR adrenal cortex hormone*[Title/Abstract] OR adrenocortical[Title/Abstract])) AND pain[Title/Abstract]</w:t>
      </w:r>
    </w:p>
    <w:p w14:paraId="7F25C739" w14:textId="488ECB46" w:rsidR="00554FFC" w:rsidRPr="00CB239D"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1829"/>
        <w:gridCol w:w="3799"/>
      </w:tblGrid>
      <w:tr w:rsidR="00554FFC" w:rsidRPr="00CB239D" w14:paraId="2BDF0BE6" w14:textId="77777777" w:rsidTr="009E380F">
        <w:tc>
          <w:tcPr>
            <w:tcW w:w="5058" w:type="dxa"/>
            <w:shd w:val="clear" w:color="auto" w:fill="E6E6E6"/>
          </w:tcPr>
          <w:p w14:paraId="6758D9E1" w14:textId="77777777" w:rsidR="00554FFC" w:rsidRPr="00CB239D" w:rsidRDefault="00554FFC" w:rsidP="009E380F">
            <w:pPr>
              <w:spacing w:before="120" w:after="120"/>
              <w:jc w:val="center"/>
              <w:rPr>
                <w:b/>
                <w:sz w:val="18"/>
                <w:szCs w:val="18"/>
              </w:rPr>
            </w:pPr>
            <w:r w:rsidRPr="00CB239D">
              <w:rPr>
                <w:b/>
                <w:sz w:val="18"/>
                <w:szCs w:val="18"/>
              </w:rPr>
              <w:t>Databases and Sites Searched</w:t>
            </w:r>
          </w:p>
        </w:tc>
        <w:tc>
          <w:tcPr>
            <w:tcW w:w="1889" w:type="dxa"/>
            <w:shd w:val="clear" w:color="auto" w:fill="E6E6E6"/>
          </w:tcPr>
          <w:p w14:paraId="56AB7676" w14:textId="77777777" w:rsidR="00554FFC" w:rsidRPr="00CB239D" w:rsidRDefault="00554FFC" w:rsidP="009E380F">
            <w:pPr>
              <w:spacing w:before="120" w:after="120"/>
              <w:jc w:val="center"/>
              <w:rPr>
                <w:b/>
                <w:sz w:val="18"/>
                <w:szCs w:val="18"/>
              </w:rPr>
            </w:pPr>
            <w:r w:rsidRPr="00CB239D">
              <w:rPr>
                <w:b/>
                <w:sz w:val="18"/>
                <w:szCs w:val="18"/>
              </w:rPr>
              <w:t>Number of results</w:t>
            </w:r>
          </w:p>
        </w:tc>
        <w:tc>
          <w:tcPr>
            <w:tcW w:w="3961" w:type="dxa"/>
            <w:shd w:val="clear" w:color="auto" w:fill="E6E6E6"/>
          </w:tcPr>
          <w:p w14:paraId="0AEC7206" w14:textId="77777777" w:rsidR="00554FFC" w:rsidRPr="00CB239D" w:rsidRDefault="00554FFC" w:rsidP="009E380F">
            <w:pPr>
              <w:spacing w:before="120" w:after="120"/>
              <w:rPr>
                <w:b/>
                <w:sz w:val="18"/>
                <w:szCs w:val="18"/>
              </w:rPr>
            </w:pPr>
            <w:r w:rsidRPr="00CB239D">
              <w:rPr>
                <w:b/>
                <w:sz w:val="18"/>
                <w:szCs w:val="18"/>
              </w:rPr>
              <w:t>Limits applied, revised number of results (if applicable)</w:t>
            </w:r>
          </w:p>
        </w:tc>
      </w:tr>
      <w:tr w:rsidR="00554FFC" w:rsidRPr="00CB239D" w14:paraId="3436FFC7" w14:textId="77777777" w:rsidTr="009E380F">
        <w:tc>
          <w:tcPr>
            <w:tcW w:w="5058" w:type="dxa"/>
            <w:shd w:val="clear" w:color="auto" w:fill="auto"/>
          </w:tcPr>
          <w:p w14:paraId="26D8477B" w14:textId="77777777" w:rsidR="001068A4" w:rsidRPr="00CB239D" w:rsidRDefault="001068A4" w:rsidP="001068A4">
            <w:pPr>
              <w:spacing w:before="120" w:after="120"/>
              <w:rPr>
                <w:b/>
                <w:sz w:val="18"/>
                <w:szCs w:val="18"/>
              </w:rPr>
            </w:pPr>
            <w:r w:rsidRPr="00CB239D">
              <w:rPr>
                <w:b/>
                <w:sz w:val="18"/>
                <w:szCs w:val="18"/>
              </w:rPr>
              <w:t>PubMed</w:t>
            </w:r>
          </w:p>
          <w:p w14:paraId="523AF3C1" w14:textId="77777777" w:rsidR="001068A4" w:rsidRPr="00CB239D" w:rsidRDefault="001068A4" w:rsidP="001068A4">
            <w:pPr>
              <w:spacing w:before="120" w:after="120"/>
              <w:rPr>
                <w:b/>
                <w:sz w:val="18"/>
                <w:szCs w:val="18"/>
              </w:rPr>
            </w:pPr>
          </w:p>
          <w:p w14:paraId="3AA60430" w14:textId="77777777" w:rsidR="001068A4" w:rsidRPr="00CB239D" w:rsidRDefault="001068A4" w:rsidP="001068A4">
            <w:pPr>
              <w:spacing w:before="120" w:after="120"/>
              <w:rPr>
                <w:b/>
                <w:sz w:val="18"/>
                <w:szCs w:val="18"/>
              </w:rPr>
            </w:pPr>
            <w:r w:rsidRPr="00CB239D">
              <w:rPr>
                <w:b/>
                <w:sz w:val="18"/>
                <w:szCs w:val="18"/>
              </w:rPr>
              <w:t>Web Of Science</w:t>
            </w:r>
          </w:p>
          <w:p w14:paraId="0DFB6D72" w14:textId="77777777" w:rsidR="001068A4" w:rsidRPr="00CB239D" w:rsidRDefault="001068A4" w:rsidP="001068A4">
            <w:pPr>
              <w:spacing w:before="120" w:after="120"/>
              <w:rPr>
                <w:b/>
                <w:sz w:val="18"/>
                <w:szCs w:val="18"/>
              </w:rPr>
            </w:pPr>
          </w:p>
          <w:p w14:paraId="01A27740" w14:textId="77777777" w:rsidR="001068A4" w:rsidRPr="00CB239D" w:rsidRDefault="001068A4" w:rsidP="001068A4">
            <w:pPr>
              <w:spacing w:before="120" w:after="120"/>
              <w:rPr>
                <w:b/>
                <w:sz w:val="18"/>
                <w:szCs w:val="18"/>
              </w:rPr>
            </w:pPr>
            <w:r w:rsidRPr="00CB239D">
              <w:rPr>
                <w:b/>
                <w:sz w:val="18"/>
                <w:szCs w:val="18"/>
              </w:rPr>
              <w:t>CINAHL</w:t>
            </w:r>
          </w:p>
          <w:p w14:paraId="50C574A4" w14:textId="77777777" w:rsidR="001068A4" w:rsidRPr="00CB239D" w:rsidRDefault="001068A4" w:rsidP="001068A4">
            <w:pPr>
              <w:spacing w:before="120" w:after="120"/>
              <w:rPr>
                <w:b/>
                <w:sz w:val="18"/>
                <w:szCs w:val="18"/>
              </w:rPr>
            </w:pPr>
          </w:p>
          <w:p w14:paraId="42189FBB" w14:textId="77777777" w:rsidR="001068A4" w:rsidRPr="00CB239D" w:rsidRDefault="001068A4" w:rsidP="001068A4">
            <w:pPr>
              <w:spacing w:before="120" w:after="120"/>
              <w:rPr>
                <w:b/>
                <w:sz w:val="18"/>
                <w:szCs w:val="18"/>
              </w:rPr>
            </w:pPr>
            <w:r w:rsidRPr="00CB239D">
              <w:rPr>
                <w:b/>
                <w:sz w:val="18"/>
                <w:szCs w:val="18"/>
              </w:rPr>
              <w:t>Cochrane</w:t>
            </w:r>
          </w:p>
          <w:p w14:paraId="45B49A4E" w14:textId="77777777" w:rsidR="00554FFC" w:rsidRPr="00CB239D" w:rsidRDefault="00554FFC" w:rsidP="009E380F">
            <w:pPr>
              <w:spacing w:before="120" w:after="120"/>
              <w:rPr>
                <w:b/>
                <w:sz w:val="18"/>
                <w:szCs w:val="18"/>
              </w:rPr>
            </w:pPr>
          </w:p>
        </w:tc>
        <w:tc>
          <w:tcPr>
            <w:tcW w:w="1889" w:type="dxa"/>
            <w:shd w:val="clear" w:color="auto" w:fill="auto"/>
          </w:tcPr>
          <w:p w14:paraId="3C908637" w14:textId="77777777" w:rsidR="001068A4" w:rsidRPr="00CB239D" w:rsidRDefault="001068A4" w:rsidP="001068A4">
            <w:pPr>
              <w:spacing w:before="120" w:after="120"/>
              <w:rPr>
                <w:b/>
                <w:sz w:val="18"/>
                <w:szCs w:val="18"/>
              </w:rPr>
            </w:pPr>
            <w:r w:rsidRPr="00CB239D">
              <w:rPr>
                <w:b/>
                <w:sz w:val="18"/>
                <w:szCs w:val="18"/>
              </w:rPr>
              <w:t>19</w:t>
            </w:r>
          </w:p>
          <w:p w14:paraId="0F79CAB1" w14:textId="77777777" w:rsidR="001068A4" w:rsidRPr="00CB239D" w:rsidRDefault="001068A4" w:rsidP="001068A4">
            <w:pPr>
              <w:spacing w:before="120" w:after="120"/>
              <w:rPr>
                <w:b/>
                <w:sz w:val="18"/>
                <w:szCs w:val="18"/>
              </w:rPr>
            </w:pPr>
          </w:p>
          <w:p w14:paraId="4E61B28E" w14:textId="77777777" w:rsidR="001068A4" w:rsidRPr="00CB239D" w:rsidRDefault="001068A4" w:rsidP="001068A4">
            <w:pPr>
              <w:spacing w:before="120" w:after="120"/>
              <w:rPr>
                <w:b/>
                <w:sz w:val="18"/>
                <w:szCs w:val="18"/>
              </w:rPr>
            </w:pPr>
            <w:r w:rsidRPr="00CB239D">
              <w:rPr>
                <w:b/>
                <w:sz w:val="18"/>
                <w:szCs w:val="18"/>
              </w:rPr>
              <w:t>27</w:t>
            </w:r>
          </w:p>
          <w:p w14:paraId="150BCBA7" w14:textId="77777777" w:rsidR="001068A4" w:rsidRPr="00CB239D" w:rsidRDefault="001068A4" w:rsidP="001068A4">
            <w:pPr>
              <w:spacing w:before="120" w:after="120"/>
              <w:rPr>
                <w:b/>
                <w:sz w:val="18"/>
                <w:szCs w:val="18"/>
              </w:rPr>
            </w:pPr>
          </w:p>
          <w:p w14:paraId="009085E3" w14:textId="77777777" w:rsidR="001068A4" w:rsidRPr="00CB239D" w:rsidRDefault="001068A4" w:rsidP="001068A4">
            <w:pPr>
              <w:spacing w:before="120" w:after="120"/>
              <w:rPr>
                <w:b/>
                <w:sz w:val="18"/>
                <w:szCs w:val="18"/>
              </w:rPr>
            </w:pPr>
            <w:r w:rsidRPr="00CB239D">
              <w:rPr>
                <w:b/>
                <w:sz w:val="18"/>
                <w:szCs w:val="18"/>
              </w:rPr>
              <w:t>9</w:t>
            </w:r>
          </w:p>
          <w:p w14:paraId="436CFC21" w14:textId="77777777" w:rsidR="001068A4" w:rsidRPr="00CB239D" w:rsidRDefault="001068A4" w:rsidP="001068A4">
            <w:pPr>
              <w:spacing w:before="120" w:after="120"/>
              <w:rPr>
                <w:b/>
                <w:sz w:val="18"/>
                <w:szCs w:val="18"/>
              </w:rPr>
            </w:pPr>
          </w:p>
          <w:p w14:paraId="47114D57" w14:textId="77777777" w:rsidR="00554FFC" w:rsidRPr="00CB239D" w:rsidRDefault="001068A4" w:rsidP="001068A4">
            <w:pPr>
              <w:spacing w:before="120" w:after="120"/>
              <w:rPr>
                <w:b/>
                <w:sz w:val="18"/>
                <w:szCs w:val="18"/>
              </w:rPr>
            </w:pPr>
            <w:r w:rsidRPr="00CB239D">
              <w:rPr>
                <w:b/>
                <w:sz w:val="18"/>
                <w:szCs w:val="18"/>
              </w:rPr>
              <w:t>10</w:t>
            </w:r>
          </w:p>
        </w:tc>
        <w:tc>
          <w:tcPr>
            <w:tcW w:w="3961" w:type="dxa"/>
            <w:shd w:val="clear" w:color="auto" w:fill="auto"/>
          </w:tcPr>
          <w:p w14:paraId="7DD0CF41" w14:textId="77777777" w:rsidR="001068A4" w:rsidRPr="00CB239D" w:rsidRDefault="001068A4" w:rsidP="001068A4">
            <w:pPr>
              <w:spacing w:before="120" w:after="120"/>
              <w:rPr>
                <w:b/>
                <w:sz w:val="18"/>
                <w:szCs w:val="18"/>
              </w:rPr>
            </w:pPr>
            <w:r w:rsidRPr="00CB239D">
              <w:rPr>
                <w:b/>
                <w:sz w:val="18"/>
                <w:szCs w:val="18"/>
              </w:rPr>
              <w:t>-Clinical trials, metal-analysis, RCTs, Systematic reviews (14 articles)</w:t>
            </w:r>
          </w:p>
          <w:p w14:paraId="4EABE9D9" w14:textId="77777777" w:rsidR="00554FFC" w:rsidRPr="00CB239D" w:rsidRDefault="001068A4" w:rsidP="001068A4">
            <w:pPr>
              <w:spacing w:before="120" w:after="120"/>
              <w:rPr>
                <w:b/>
                <w:sz w:val="18"/>
                <w:szCs w:val="18"/>
              </w:rPr>
            </w:pPr>
            <w:r w:rsidRPr="00CB239D">
              <w:rPr>
                <w:b/>
                <w:sz w:val="18"/>
                <w:szCs w:val="18"/>
              </w:rPr>
              <w:t>-Articles with corticosteroid (or variations) and platelet rich plasma in the title (6 articles)</w:t>
            </w:r>
          </w:p>
        </w:tc>
      </w:tr>
    </w:tbl>
    <w:p w14:paraId="3CFF35E2" w14:textId="77777777" w:rsidR="00554FFC" w:rsidRPr="00CB239D" w:rsidRDefault="00554FFC" w:rsidP="00554FFC">
      <w:pPr>
        <w:spacing w:before="120" w:after="120"/>
        <w:rPr>
          <w:b/>
          <w:sz w:val="18"/>
          <w:szCs w:val="18"/>
        </w:rPr>
      </w:pPr>
    </w:p>
    <w:p w14:paraId="25C2E89C" w14:textId="77777777" w:rsidR="00554FFC" w:rsidRPr="00CB239D" w:rsidRDefault="00554FFC" w:rsidP="00554FFC">
      <w:pPr>
        <w:pStyle w:val="Heading2"/>
        <w:spacing w:before="120" w:after="120" w:line="240" w:lineRule="auto"/>
        <w:rPr>
          <w:rFonts w:ascii="Verdana" w:hAnsi="Verdana"/>
          <w:sz w:val="18"/>
          <w:szCs w:val="18"/>
        </w:rPr>
      </w:pPr>
      <w:r w:rsidRPr="00CB239D">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CB239D" w14:paraId="768CC2EE" w14:textId="77777777" w:rsidTr="009E380F">
        <w:tc>
          <w:tcPr>
            <w:tcW w:w="10421" w:type="dxa"/>
            <w:shd w:val="clear" w:color="auto" w:fill="E6E6E6"/>
          </w:tcPr>
          <w:p w14:paraId="4162636A" w14:textId="77777777" w:rsidR="00554FFC" w:rsidRPr="00CB239D" w:rsidRDefault="00554FFC" w:rsidP="009E380F">
            <w:pPr>
              <w:spacing w:before="120" w:after="120"/>
              <w:rPr>
                <w:b/>
                <w:sz w:val="18"/>
                <w:szCs w:val="18"/>
              </w:rPr>
            </w:pPr>
            <w:r w:rsidRPr="00CB239D">
              <w:rPr>
                <w:b/>
                <w:sz w:val="18"/>
                <w:szCs w:val="18"/>
              </w:rPr>
              <w:t>Inclusion Criteria</w:t>
            </w:r>
          </w:p>
        </w:tc>
      </w:tr>
      <w:tr w:rsidR="00554FFC" w:rsidRPr="00CB239D" w14:paraId="2709FE07" w14:textId="77777777" w:rsidTr="009E380F">
        <w:tc>
          <w:tcPr>
            <w:tcW w:w="10421" w:type="dxa"/>
            <w:tcBorders>
              <w:bottom w:val="single" w:sz="4" w:space="0" w:color="auto"/>
            </w:tcBorders>
            <w:shd w:val="clear" w:color="auto" w:fill="auto"/>
          </w:tcPr>
          <w:p w14:paraId="111F141B" w14:textId="77777777" w:rsidR="001068A4" w:rsidRPr="00CB239D" w:rsidRDefault="001068A4" w:rsidP="001068A4">
            <w:pPr>
              <w:pStyle w:val="ListParagraph"/>
              <w:numPr>
                <w:ilvl w:val="0"/>
                <w:numId w:val="14"/>
              </w:numPr>
              <w:spacing w:before="120" w:after="120"/>
              <w:rPr>
                <w:rFonts w:ascii="Verdana" w:hAnsi="Verdana"/>
                <w:sz w:val="18"/>
                <w:szCs w:val="18"/>
              </w:rPr>
            </w:pPr>
            <w:r w:rsidRPr="00CB239D">
              <w:rPr>
                <w:rFonts w:ascii="Verdana" w:hAnsi="Verdana"/>
                <w:sz w:val="18"/>
                <w:szCs w:val="18"/>
              </w:rPr>
              <w:t>Chronic symptoms (&gt;3 months or failed conservative treatment)</w:t>
            </w:r>
          </w:p>
          <w:p w14:paraId="70531C28" w14:textId="77777777" w:rsidR="001068A4" w:rsidRPr="00CB239D" w:rsidRDefault="001068A4" w:rsidP="001068A4">
            <w:pPr>
              <w:pStyle w:val="ListParagraph"/>
              <w:numPr>
                <w:ilvl w:val="0"/>
                <w:numId w:val="14"/>
              </w:numPr>
              <w:spacing w:before="120" w:after="120"/>
              <w:rPr>
                <w:rFonts w:ascii="Verdana" w:hAnsi="Verdana"/>
                <w:sz w:val="18"/>
                <w:szCs w:val="18"/>
              </w:rPr>
            </w:pPr>
            <w:r w:rsidRPr="00CB239D">
              <w:rPr>
                <w:rFonts w:ascii="Verdana" w:hAnsi="Verdana"/>
                <w:sz w:val="18"/>
                <w:szCs w:val="18"/>
              </w:rPr>
              <w:t>Randomized control trials</w:t>
            </w:r>
          </w:p>
          <w:p w14:paraId="3F6C2E41" w14:textId="73CBCDA7" w:rsidR="001068A4" w:rsidRPr="00CB239D" w:rsidRDefault="00D57A21" w:rsidP="001068A4">
            <w:pPr>
              <w:pStyle w:val="ListParagraph"/>
              <w:numPr>
                <w:ilvl w:val="0"/>
                <w:numId w:val="14"/>
              </w:numPr>
              <w:spacing w:before="120" w:after="120"/>
              <w:rPr>
                <w:rFonts w:ascii="Verdana" w:hAnsi="Verdana"/>
                <w:sz w:val="18"/>
                <w:szCs w:val="18"/>
              </w:rPr>
            </w:pPr>
            <w:r w:rsidRPr="00CB239D">
              <w:rPr>
                <w:rFonts w:ascii="Verdana" w:hAnsi="Verdana"/>
                <w:sz w:val="18"/>
                <w:szCs w:val="18"/>
              </w:rPr>
              <w:t>Clinical trials</w:t>
            </w:r>
          </w:p>
          <w:p w14:paraId="34375A0B" w14:textId="77777777" w:rsidR="001068A4" w:rsidRPr="00CB239D" w:rsidRDefault="001068A4" w:rsidP="001068A4">
            <w:pPr>
              <w:pStyle w:val="ListParagraph"/>
              <w:numPr>
                <w:ilvl w:val="0"/>
                <w:numId w:val="14"/>
              </w:numPr>
              <w:spacing w:before="120" w:after="120"/>
              <w:rPr>
                <w:rFonts w:ascii="Verdana" w:hAnsi="Verdana"/>
                <w:sz w:val="18"/>
                <w:szCs w:val="18"/>
              </w:rPr>
            </w:pPr>
            <w:r w:rsidRPr="00CB239D">
              <w:rPr>
                <w:rFonts w:ascii="Verdana" w:hAnsi="Verdana"/>
                <w:sz w:val="18"/>
                <w:szCs w:val="18"/>
              </w:rPr>
              <w:t>Systematic reviews</w:t>
            </w:r>
          </w:p>
          <w:p w14:paraId="4A861716" w14:textId="77777777" w:rsidR="001068A4" w:rsidRPr="00CB239D" w:rsidRDefault="001068A4" w:rsidP="001068A4">
            <w:pPr>
              <w:pStyle w:val="ListParagraph"/>
              <w:numPr>
                <w:ilvl w:val="0"/>
                <w:numId w:val="14"/>
              </w:numPr>
              <w:spacing w:before="120" w:after="120"/>
              <w:rPr>
                <w:rFonts w:ascii="Verdana" w:hAnsi="Verdana"/>
                <w:sz w:val="18"/>
                <w:szCs w:val="18"/>
              </w:rPr>
            </w:pPr>
            <w:r w:rsidRPr="00CB239D">
              <w:rPr>
                <w:rFonts w:ascii="Verdana" w:hAnsi="Verdana"/>
                <w:sz w:val="18"/>
                <w:szCs w:val="18"/>
              </w:rPr>
              <w:t>Meta-analysis</w:t>
            </w:r>
          </w:p>
          <w:p w14:paraId="15307E96" w14:textId="77777777" w:rsidR="00554FFC" w:rsidRPr="00CB239D" w:rsidRDefault="001068A4" w:rsidP="009E380F">
            <w:pPr>
              <w:pStyle w:val="ListParagraph"/>
              <w:numPr>
                <w:ilvl w:val="0"/>
                <w:numId w:val="14"/>
              </w:numPr>
              <w:spacing w:before="120" w:after="120"/>
              <w:rPr>
                <w:rFonts w:ascii="Verdana" w:hAnsi="Verdana"/>
                <w:sz w:val="18"/>
                <w:szCs w:val="18"/>
              </w:rPr>
            </w:pPr>
            <w:r w:rsidRPr="00CB239D">
              <w:rPr>
                <w:rFonts w:ascii="Verdana" w:hAnsi="Verdana"/>
                <w:sz w:val="18"/>
                <w:szCs w:val="18"/>
              </w:rPr>
              <w:t>Published in English</w:t>
            </w:r>
          </w:p>
          <w:p w14:paraId="6D63C1AD" w14:textId="77777777" w:rsidR="00554FFC" w:rsidRPr="00CB239D" w:rsidRDefault="00554FFC" w:rsidP="009E380F">
            <w:pPr>
              <w:spacing w:before="120" w:after="120"/>
              <w:rPr>
                <w:sz w:val="18"/>
                <w:szCs w:val="18"/>
              </w:rPr>
            </w:pPr>
          </w:p>
        </w:tc>
      </w:tr>
      <w:tr w:rsidR="00554FFC" w:rsidRPr="00CB239D" w14:paraId="03B3F670" w14:textId="77777777" w:rsidTr="009E380F">
        <w:tc>
          <w:tcPr>
            <w:tcW w:w="10421" w:type="dxa"/>
            <w:shd w:val="clear" w:color="auto" w:fill="E6E6E6"/>
          </w:tcPr>
          <w:p w14:paraId="45630B44" w14:textId="77777777" w:rsidR="00554FFC" w:rsidRPr="00CB239D" w:rsidRDefault="00554FFC" w:rsidP="009E380F">
            <w:pPr>
              <w:spacing w:before="120" w:after="120"/>
              <w:rPr>
                <w:b/>
                <w:sz w:val="18"/>
                <w:szCs w:val="18"/>
              </w:rPr>
            </w:pPr>
            <w:r w:rsidRPr="00CB239D">
              <w:rPr>
                <w:b/>
                <w:sz w:val="18"/>
                <w:szCs w:val="18"/>
              </w:rPr>
              <w:lastRenderedPageBreak/>
              <w:t>Exclusion Criteria</w:t>
            </w:r>
          </w:p>
        </w:tc>
      </w:tr>
      <w:tr w:rsidR="00554FFC" w:rsidRPr="00CB239D" w14:paraId="324BE856" w14:textId="77777777" w:rsidTr="009E380F">
        <w:tc>
          <w:tcPr>
            <w:tcW w:w="10421" w:type="dxa"/>
            <w:shd w:val="clear" w:color="auto" w:fill="auto"/>
          </w:tcPr>
          <w:p w14:paraId="2A01EC26" w14:textId="77777777" w:rsidR="001068A4" w:rsidRPr="00CB239D" w:rsidRDefault="001068A4" w:rsidP="001068A4">
            <w:pPr>
              <w:pStyle w:val="ListParagraph"/>
              <w:numPr>
                <w:ilvl w:val="0"/>
                <w:numId w:val="15"/>
              </w:numPr>
              <w:spacing w:before="120" w:after="120"/>
              <w:rPr>
                <w:rFonts w:ascii="Verdana" w:hAnsi="Verdana"/>
                <w:sz w:val="18"/>
                <w:szCs w:val="18"/>
              </w:rPr>
            </w:pPr>
            <w:r w:rsidRPr="00CB239D">
              <w:rPr>
                <w:rFonts w:ascii="Verdana" w:hAnsi="Verdana"/>
                <w:sz w:val="18"/>
                <w:szCs w:val="18"/>
              </w:rPr>
              <w:t>Case reports</w:t>
            </w:r>
          </w:p>
          <w:p w14:paraId="26CD2FE5" w14:textId="77777777" w:rsidR="001068A4" w:rsidRPr="00CB239D" w:rsidRDefault="001068A4" w:rsidP="001068A4">
            <w:pPr>
              <w:pStyle w:val="ListParagraph"/>
              <w:numPr>
                <w:ilvl w:val="0"/>
                <w:numId w:val="15"/>
              </w:numPr>
              <w:spacing w:before="120" w:after="120"/>
              <w:rPr>
                <w:rFonts w:ascii="Verdana" w:hAnsi="Verdana"/>
                <w:sz w:val="18"/>
                <w:szCs w:val="18"/>
              </w:rPr>
            </w:pPr>
            <w:r w:rsidRPr="00CB239D">
              <w:rPr>
                <w:rFonts w:ascii="Verdana" w:hAnsi="Verdana"/>
                <w:sz w:val="18"/>
                <w:szCs w:val="18"/>
              </w:rPr>
              <w:t>Articles prior to 2007</w:t>
            </w:r>
          </w:p>
          <w:p w14:paraId="28B31F9C" w14:textId="77777777" w:rsidR="001068A4" w:rsidRPr="00CB239D" w:rsidRDefault="001068A4" w:rsidP="001068A4">
            <w:pPr>
              <w:pStyle w:val="ListParagraph"/>
              <w:numPr>
                <w:ilvl w:val="0"/>
                <w:numId w:val="15"/>
              </w:numPr>
              <w:spacing w:before="120" w:after="120"/>
              <w:rPr>
                <w:rFonts w:ascii="Verdana" w:hAnsi="Verdana"/>
                <w:sz w:val="18"/>
                <w:szCs w:val="18"/>
              </w:rPr>
            </w:pPr>
            <w:r w:rsidRPr="00CB239D">
              <w:rPr>
                <w:rFonts w:ascii="Verdana" w:hAnsi="Verdana"/>
                <w:sz w:val="18"/>
                <w:szCs w:val="18"/>
              </w:rPr>
              <w:t xml:space="preserve">Subject size &lt;30 </w:t>
            </w:r>
          </w:p>
          <w:p w14:paraId="7AD07F15" w14:textId="77777777" w:rsidR="001068A4" w:rsidRPr="00CB239D" w:rsidRDefault="001068A4" w:rsidP="001068A4">
            <w:pPr>
              <w:pStyle w:val="ListParagraph"/>
              <w:numPr>
                <w:ilvl w:val="0"/>
                <w:numId w:val="15"/>
              </w:numPr>
              <w:spacing w:before="120" w:after="120"/>
              <w:rPr>
                <w:rFonts w:ascii="Verdana" w:hAnsi="Verdana"/>
                <w:sz w:val="18"/>
                <w:szCs w:val="18"/>
              </w:rPr>
            </w:pPr>
            <w:r w:rsidRPr="00CB239D">
              <w:rPr>
                <w:rFonts w:ascii="Verdana" w:hAnsi="Verdana"/>
                <w:sz w:val="18"/>
                <w:szCs w:val="18"/>
              </w:rPr>
              <w:t>Abstracts</w:t>
            </w:r>
          </w:p>
          <w:p w14:paraId="2BA8398C" w14:textId="77777777" w:rsidR="00554FFC" w:rsidRPr="00CB239D" w:rsidRDefault="00554FFC" w:rsidP="009E380F">
            <w:pPr>
              <w:spacing w:before="120" w:after="120"/>
              <w:rPr>
                <w:sz w:val="18"/>
                <w:szCs w:val="18"/>
                <w:lang w:val="en-US"/>
              </w:rPr>
            </w:pPr>
          </w:p>
          <w:p w14:paraId="7A62906F" w14:textId="77777777" w:rsidR="001068A4" w:rsidRPr="00CB239D" w:rsidRDefault="001068A4" w:rsidP="009E380F">
            <w:pPr>
              <w:spacing w:before="120" w:after="120"/>
              <w:rPr>
                <w:sz w:val="18"/>
                <w:szCs w:val="18"/>
              </w:rPr>
            </w:pPr>
          </w:p>
        </w:tc>
      </w:tr>
    </w:tbl>
    <w:p w14:paraId="251D0861" w14:textId="77777777" w:rsidR="00554FFC" w:rsidRPr="00CB239D" w:rsidRDefault="00554FFC" w:rsidP="00554FFC">
      <w:pPr>
        <w:spacing w:before="120" w:after="120"/>
        <w:rPr>
          <w:b/>
          <w:sz w:val="18"/>
          <w:szCs w:val="18"/>
        </w:rPr>
      </w:pPr>
    </w:p>
    <w:p w14:paraId="65D7429C" w14:textId="77777777" w:rsidR="00554FFC" w:rsidRPr="00CB239D" w:rsidRDefault="00554FFC" w:rsidP="00554FFC">
      <w:pPr>
        <w:spacing w:before="120" w:after="120"/>
        <w:rPr>
          <w:b/>
          <w:sz w:val="18"/>
          <w:szCs w:val="18"/>
        </w:rPr>
      </w:pPr>
      <w:r w:rsidRPr="00CB239D">
        <w:rPr>
          <w:b/>
          <w:sz w:val="18"/>
          <w:szCs w:val="18"/>
        </w:rPr>
        <w:br w:type="page"/>
      </w:r>
      <w:r w:rsidRPr="00CB239D">
        <w:rPr>
          <w:b/>
          <w:sz w:val="18"/>
          <w:szCs w:val="18"/>
        </w:rPr>
        <w:lastRenderedPageBreak/>
        <w:t>RESULTS OF SEARCH</w:t>
      </w:r>
    </w:p>
    <w:p w14:paraId="792385EE" w14:textId="4B6DA63A" w:rsidR="00D76272" w:rsidRPr="00E56D26" w:rsidRDefault="00554FFC" w:rsidP="00D76272">
      <w:pPr>
        <w:spacing w:before="120" w:after="120"/>
        <w:rPr>
          <w:b/>
          <w:sz w:val="18"/>
          <w:szCs w:val="18"/>
        </w:rPr>
      </w:pPr>
      <w:r w:rsidRPr="00CB239D">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97"/>
        <w:gridCol w:w="1755"/>
        <w:gridCol w:w="1636"/>
        <w:gridCol w:w="2549"/>
      </w:tblGrid>
      <w:tr w:rsidR="00D76272" w:rsidRPr="00CB239D" w14:paraId="6D5D4437" w14:textId="77777777" w:rsidTr="001068A4">
        <w:tc>
          <w:tcPr>
            <w:tcW w:w="2686" w:type="dxa"/>
            <w:tcBorders>
              <w:right w:val="single" w:sz="8" w:space="0" w:color="auto"/>
            </w:tcBorders>
            <w:shd w:val="clear" w:color="auto" w:fill="E6E6E6"/>
          </w:tcPr>
          <w:p w14:paraId="62D5EC14" w14:textId="77777777" w:rsidR="00D76272" w:rsidRPr="00CB239D" w:rsidRDefault="00D76272" w:rsidP="004F60A2">
            <w:pPr>
              <w:spacing w:before="120" w:after="120"/>
              <w:jc w:val="center"/>
              <w:rPr>
                <w:b/>
                <w:sz w:val="18"/>
                <w:szCs w:val="18"/>
              </w:rPr>
            </w:pPr>
            <w:r w:rsidRPr="00CB239D">
              <w:rPr>
                <w:b/>
                <w:sz w:val="18"/>
                <w:szCs w:val="18"/>
              </w:rPr>
              <w:t>Author (Year)</w:t>
            </w:r>
          </w:p>
        </w:tc>
        <w:tc>
          <w:tcPr>
            <w:tcW w:w="1797" w:type="dxa"/>
            <w:tcBorders>
              <w:left w:val="single" w:sz="8" w:space="0" w:color="auto"/>
            </w:tcBorders>
            <w:shd w:val="clear" w:color="auto" w:fill="E6E6E6"/>
          </w:tcPr>
          <w:p w14:paraId="43CE9568" w14:textId="77777777" w:rsidR="00D76272" w:rsidRPr="00CB239D" w:rsidRDefault="00D76272" w:rsidP="004F60A2">
            <w:pPr>
              <w:spacing w:before="120" w:after="120"/>
              <w:jc w:val="center"/>
              <w:rPr>
                <w:b/>
                <w:sz w:val="18"/>
                <w:szCs w:val="18"/>
              </w:rPr>
            </w:pPr>
            <w:r w:rsidRPr="00CB239D">
              <w:rPr>
                <w:b/>
                <w:sz w:val="18"/>
                <w:szCs w:val="18"/>
              </w:rPr>
              <w:t>Risk of bias (quality score)*</w:t>
            </w:r>
          </w:p>
        </w:tc>
        <w:tc>
          <w:tcPr>
            <w:tcW w:w="1755" w:type="dxa"/>
            <w:shd w:val="clear" w:color="auto" w:fill="E6E6E6"/>
          </w:tcPr>
          <w:p w14:paraId="67467DF6" w14:textId="77777777" w:rsidR="00D76272" w:rsidRPr="00CB239D" w:rsidRDefault="00D76272" w:rsidP="004F60A2">
            <w:pPr>
              <w:spacing w:before="120" w:after="120"/>
              <w:jc w:val="center"/>
              <w:rPr>
                <w:b/>
                <w:sz w:val="18"/>
                <w:szCs w:val="18"/>
              </w:rPr>
            </w:pPr>
            <w:r w:rsidRPr="00CB239D">
              <w:rPr>
                <w:b/>
                <w:sz w:val="18"/>
                <w:szCs w:val="18"/>
              </w:rPr>
              <w:t>Level of Evidence**</w:t>
            </w:r>
          </w:p>
        </w:tc>
        <w:tc>
          <w:tcPr>
            <w:tcW w:w="1636" w:type="dxa"/>
            <w:shd w:val="clear" w:color="auto" w:fill="E6E6E6"/>
          </w:tcPr>
          <w:p w14:paraId="165B35A3" w14:textId="77777777" w:rsidR="00D76272" w:rsidRPr="00CB239D" w:rsidRDefault="00D76272" w:rsidP="004F60A2">
            <w:pPr>
              <w:spacing w:before="120" w:after="120"/>
              <w:jc w:val="center"/>
              <w:rPr>
                <w:b/>
                <w:sz w:val="18"/>
                <w:szCs w:val="18"/>
              </w:rPr>
            </w:pPr>
            <w:r w:rsidRPr="00CB239D">
              <w:rPr>
                <w:b/>
                <w:sz w:val="18"/>
                <w:szCs w:val="18"/>
              </w:rPr>
              <w:t>Relevance</w:t>
            </w:r>
          </w:p>
        </w:tc>
        <w:tc>
          <w:tcPr>
            <w:tcW w:w="2549" w:type="dxa"/>
            <w:shd w:val="clear" w:color="auto" w:fill="E6E6E6"/>
          </w:tcPr>
          <w:p w14:paraId="44257DF0" w14:textId="77777777" w:rsidR="00D76272" w:rsidRPr="00CB239D" w:rsidRDefault="00D76272" w:rsidP="004F60A2">
            <w:pPr>
              <w:spacing w:before="120" w:after="120"/>
              <w:jc w:val="center"/>
              <w:rPr>
                <w:b/>
                <w:sz w:val="18"/>
                <w:szCs w:val="18"/>
              </w:rPr>
            </w:pPr>
            <w:r w:rsidRPr="00CB239D">
              <w:rPr>
                <w:b/>
                <w:sz w:val="18"/>
                <w:szCs w:val="18"/>
              </w:rPr>
              <w:t>Study design</w:t>
            </w:r>
          </w:p>
        </w:tc>
      </w:tr>
      <w:tr w:rsidR="001068A4" w:rsidRPr="00CB239D" w14:paraId="42FE26AC" w14:textId="77777777" w:rsidTr="001068A4">
        <w:tc>
          <w:tcPr>
            <w:tcW w:w="2686" w:type="dxa"/>
            <w:tcBorders>
              <w:right w:val="single" w:sz="8" w:space="0" w:color="auto"/>
            </w:tcBorders>
            <w:shd w:val="clear" w:color="auto" w:fill="auto"/>
          </w:tcPr>
          <w:p w14:paraId="2E0EDEA1" w14:textId="1739F2BE" w:rsidR="001068A4" w:rsidRPr="00CB239D" w:rsidRDefault="001068A4" w:rsidP="00CB239D">
            <w:pPr>
              <w:spacing w:before="120" w:after="120"/>
              <w:rPr>
                <w:b/>
                <w:sz w:val="18"/>
                <w:szCs w:val="18"/>
              </w:rPr>
            </w:pPr>
            <w:r w:rsidRPr="00CB239D">
              <w:rPr>
                <w:b/>
                <w:sz w:val="18"/>
                <w:szCs w:val="18"/>
              </w:rPr>
              <w:t>Singh (2007)</w:t>
            </w:r>
            <w:r w:rsidR="00CB5481" w:rsidRPr="00CB239D">
              <w:rPr>
                <w:b/>
                <w:sz w:val="18"/>
                <w:szCs w:val="18"/>
              </w:rPr>
              <w:fldChar w:fldCharType="begin"/>
            </w:r>
            <w:r w:rsidR="00CB239D">
              <w:rPr>
                <w:b/>
                <w:sz w:val="18"/>
                <w:szCs w:val="18"/>
              </w:rPr>
              <w:instrText>ADDIN F1000_CSL_CITATION&lt;~#@#~&gt;[{"DOI":"10.1007/s00264-017-3470-x","First":false,"Last":false,"PMID":"28396927","abstract":"&lt;strong&gt;PURPOSE:&lt;/strong&gt; To determine whether platelet-rich plasma (PRP) injections are associated with improved pain and function scores when compared with corticosteroid injections for plantar fasciopathy.&lt;br&gt;&lt;br&gt;&lt;strong&gt;METHODS:&lt;/strong&gt; A systematic review of published literature was performed for studies comparing PRP injections and corticosteroid injections for plantar fasciopathy. Studies were assessed using the Cochrane Risk of Bias Tool and the Newcastle Ottawa Scale (NOS). The primary endpoint was pain and function score at three and six month follow-up. Sensitivity analysis was performed for high quality studies and randomised studies.&lt;br&gt;&lt;br&gt;&lt;strong&gt;RESULTS:&lt;/strong&gt; Ten studies totalling 517 patients were included. Seven studies were randomised. All studies included patients who had failed conservative measures and excluded patients with systemic illness and other causes of foot pain. Studies reported outcomes using the visual analogue score (VAS) and American Orthopaedic Foot and Ankle Score (AOFAS). At 3-month follow-up, PRP injections were associated with improved VAS scores (standard mean difference [SMD], -0.66; 95% CI, -1.3 to -0.02; p = 0.04) and AOFAS scores (SMD, 1.87; 95% CI, 0.16-3.58; p = 0.03). At 6-month follow-up, there was no difference in VAS score (SMD, -0.66; 95% CI, -1.65 to 0.3; p = 0.17) or AOFAS scores (SMD, 1.69; 95% CI, -1.06 to 4.45; p = 0.23). No studies reported adverse event rates or cost analysis. There was no difference in pain or function score at one, six- or 12-month follow-up. Sensitivity analyses of high-quality studies showed no differences between the PRP and steroid group at any of the follow-up points.&lt;br&gt;&lt;br&gt;&lt;strong&gt;CONCLUSIONS:&lt;/strong&gt; PRP injections are associated with improved pain and function scores at three month follow-up when compared with corticosteroid injections. Information regarding relative adverse event rates and cost implications is lacking. Further, large-scale, high-quality, randomised controlled trials with blinding of outcome assessment and longer follow-up are required.","author":[{"family":"Singh","given":"Prashant"},{"family":"Madanipour","given":"Suroosh"},{"family":"Bhamra","given":"Jagmeet S"},{"family":"Gill","given":"Ian"}],"authorYearDisplayFormat":false,"citation-label":"4180604","container-title":"International Orthopaedics","container-title-short":"Int Orthop","id":"4180604","invisible":false,"issue":"6","issued":{"date-parts":[["2017","6"]]},"journalAbbreviation":"Int Orthop","page":"1169-1181","suppress-author":false,"title":"A systematic review and meta-analysis of platelet-rich plasma versus corticosteroid injections for plantar fasciopathy.","type":"article-journal","volume":"41"}]</w:instrText>
            </w:r>
            <w:r w:rsidR="00CB5481" w:rsidRPr="00CB239D">
              <w:rPr>
                <w:b/>
                <w:sz w:val="18"/>
                <w:szCs w:val="18"/>
              </w:rPr>
              <w:fldChar w:fldCharType="separate"/>
            </w:r>
            <w:r w:rsidR="00CB239D" w:rsidRPr="00CB239D">
              <w:rPr>
                <w:noProof/>
                <w:sz w:val="18"/>
                <w:szCs w:val="18"/>
                <w:vertAlign w:val="superscript"/>
              </w:rPr>
              <w:t>7</w:t>
            </w:r>
            <w:r w:rsidR="00CB5481" w:rsidRPr="00CB239D">
              <w:rPr>
                <w:b/>
                <w:sz w:val="18"/>
                <w:szCs w:val="18"/>
              </w:rPr>
              <w:fldChar w:fldCharType="end"/>
            </w:r>
          </w:p>
        </w:tc>
        <w:tc>
          <w:tcPr>
            <w:tcW w:w="1797" w:type="dxa"/>
            <w:tcBorders>
              <w:left w:val="single" w:sz="8" w:space="0" w:color="auto"/>
            </w:tcBorders>
            <w:shd w:val="clear" w:color="auto" w:fill="auto"/>
          </w:tcPr>
          <w:p w14:paraId="0B7F88A7" w14:textId="77777777" w:rsidR="001068A4" w:rsidRPr="00CB239D" w:rsidRDefault="001068A4" w:rsidP="004F60A2">
            <w:pPr>
              <w:spacing w:before="120" w:after="120"/>
              <w:rPr>
                <w:b/>
                <w:sz w:val="18"/>
                <w:szCs w:val="18"/>
              </w:rPr>
            </w:pPr>
            <w:r w:rsidRPr="00CB239D">
              <w:rPr>
                <w:b/>
                <w:sz w:val="18"/>
                <w:szCs w:val="18"/>
              </w:rPr>
              <w:t>AMSTAR: 9/11</w:t>
            </w:r>
          </w:p>
        </w:tc>
        <w:tc>
          <w:tcPr>
            <w:tcW w:w="1755" w:type="dxa"/>
            <w:shd w:val="clear" w:color="auto" w:fill="auto"/>
          </w:tcPr>
          <w:p w14:paraId="36AA310E" w14:textId="77777777" w:rsidR="001068A4" w:rsidRPr="00CB239D" w:rsidRDefault="001068A4" w:rsidP="004F60A2">
            <w:pPr>
              <w:spacing w:before="120" w:after="120"/>
              <w:rPr>
                <w:b/>
                <w:sz w:val="18"/>
                <w:szCs w:val="18"/>
              </w:rPr>
            </w:pPr>
            <w:r w:rsidRPr="00CB239D">
              <w:rPr>
                <w:b/>
                <w:sz w:val="18"/>
                <w:szCs w:val="18"/>
              </w:rPr>
              <w:t>Level 1b</w:t>
            </w:r>
          </w:p>
        </w:tc>
        <w:tc>
          <w:tcPr>
            <w:tcW w:w="1636" w:type="dxa"/>
            <w:shd w:val="clear" w:color="auto" w:fill="auto"/>
          </w:tcPr>
          <w:p w14:paraId="3A28BD61"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47F5FD2B" w14:textId="77777777" w:rsidR="001068A4" w:rsidRPr="00CB239D" w:rsidRDefault="001068A4" w:rsidP="004F60A2">
            <w:pPr>
              <w:spacing w:before="120" w:after="120"/>
              <w:rPr>
                <w:b/>
                <w:sz w:val="18"/>
                <w:szCs w:val="18"/>
              </w:rPr>
            </w:pPr>
            <w:r w:rsidRPr="00CB239D">
              <w:rPr>
                <w:b/>
                <w:sz w:val="18"/>
                <w:szCs w:val="18"/>
              </w:rPr>
              <w:t>Systematic Review</w:t>
            </w:r>
          </w:p>
        </w:tc>
      </w:tr>
      <w:tr w:rsidR="001068A4" w:rsidRPr="00CB239D" w14:paraId="13A9EB5A" w14:textId="77777777" w:rsidTr="001068A4">
        <w:tc>
          <w:tcPr>
            <w:tcW w:w="2686" w:type="dxa"/>
            <w:tcBorders>
              <w:right w:val="single" w:sz="8" w:space="0" w:color="auto"/>
            </w:tcBorders>
            <w:shd w:val="clear" w:color="auto" w:fill="auto"/>
          </w:tcPr>
          <w:p w14:paraId="2B1E7C56" w14:textId="21B4732D" w:rsidR="001068A4" w:rsidRPr="00CB239D" w:rsidRDefault="001068A4" w:rsidP="00CB239D">
            <w:pPr>
              <w:spacing w:before="120" w:after="120"/>
              <w:rPr>
                <w:b/>
                <w:sz w:val="18"/>
                <w:szCs w:val="18"/>
              </w:rPr>
            </w:pPr>
            <w:r w:rsidRPr="00CB239D">
              <w:rPr>
                <w:b/>
                <w:sz w:val="18"/>
                <w:szCs w:val="18"/>
              </w:rPr>
              <w:t>Mahindra (2016)</w:t>
            </w:r>
            <w:r w:rsidR="00CB5481" w:rsidRPr="00CB239D">
              <w:rPr>
                <w:b/>
                <w:sz w:val="18"/>
                <w:szCs w:val="18"/>
              </w:rPr>
              <w:fldChar w:fldCharType="begin"/>
            </w:r>
            <w:r w:rsidR="00CB239D">
              <w:rPr>
                <w:b/>
                <w:sz w:val="18"/>
                <w:szCs w:val="18"/>
              </w:rPr>
              <w:instrText>ADDIN F1000_CSL_CITATION&lt;~#@#~&gt;[{"DOI":"10.3928/01477447-20160222-01","First":false,"Last":false,"PMID":"26913766","abstract":"Plantar fasciitis is a common cause of heel pain. It is a disabling disease in its chronic form. It is a degenerative tissue condition of the plantar fascia rather than an inflammation. Various treatment options are available, including nonsteroidal anti-inflammatory drugs, corticosteroid injections, orthosis, and physiotherapy. This study compared the effects of local platelet-rich plasma, corticosteroid, and placebo injections in the treatment of chronic plantar fasciitis. In this double-blind study, patients were divided randomly into 3 groups. Local injections of platelet-rich plasma, corticosteroid, or normal saline were given. Patients were assessed with the visual analog scale for pain and with the American Orthopaedic Foot and Ankle Society (AOFAS) Ankle and Hindfoot score before injection, at 3 weeks, and at 3-month follow-up. Mean visual analog scale score in the platelet-rich plasma and corticosteroid groups decreased from 7.44 and 7.72 preinjection to 2.52 and 3.64 at final follow-up, respectively. Mean AOFAS score in the platelet-rich plasma and corticosteroid groups improved from 51.56 and 55.72 preinjection to 88.24 and 81.32 at final follow-up, respectively. There was a significant improvement in visual analog scale score and AOFAS score in the platelet-rich plasma and corticosteroid groups at 3 weeks and at 3-month follow-up. There was no significant improvement in visual analog scale score or AOFAS score in the placebo group at any stage of the study. The authors concluded that local injection of platelet-rich plasma or corticosteroid is an effective treatment option for chronic plantar fasciitis. Platelet-rich plasma injection is as effective as or more effective than corticosteroid injection in treating chronic plantar fasciitis.&lt;br&gt;&lt;br&gt;Copyright 2016, SLACK Incorporated.","author":[{"family":"Mahindra","given":"Pankaj"},{"family":"Yamin","given":"Mohammad"},{"family":"Selhi","given":"Harpal S"},{"family":"Singla","given":"Sonia"},{"family":"Soni","given":"Ashwani"}],"authorYearDisplayFormat":false,"citation-label":"4082339","container-title":"Orthopedics","container-title-short":"Orthopedics","id":"4082339","invisible":false,"issue":"2","issued":{"date-parts":[["2016","4"]]},"journalAbbreviation":"Orthopedics","page":"e285-9","suppress-author":false,"title":"Chronic Plantar Fasciitis: Effect of Platelet-Rich Plasma, Corticosteroid, and Placebo.","type":"article-journal","volume":"39"}]</w:instrText>
            </w:r>
            <w:r w:rsidR="00CB5481" w:rsidRPr="00CB239D">
              <w:rPr>
                <w:b/>
                <w:sz w:val="18"/>
                <w:szCs w:val="18"/>
              </w:rPr>
              <w:fldChar w:fldCharType="separate"/>
            </w:r>
            <w:r w:rsidR="00CB239D" w:rsidRPr="00CB239D">
              <w:rPr>
                <w:noProof/>
                <w:sz w:val="18"/>
                <w:szCs w:val="18"/>
                <w:vertAlign w:val="superscript"/>
              </w:rPr>
              <w:t>8</w:t>
            </w:r>
            <w:r w:rsidR="00CB5481" w:rsidRPr="00CB239D">
              <w:rPr>
                <w:b/>
                <w:sz w:val="18"/>
                <w:szCs w:val="18"/>
              </w:rPr>
              <w:fldChar w:fldCharType="end"/>
            </w:r>
          </w:p>
        </w:tc>
        <w:tc>
          <w:tcPr>
            <w:tcW w:w="1797" w:type="dxa"/>
            <w:tcBorders>
              <w:left w:val="single" w:sz="8" w:space="0" w:color="auto"/>
            </w:tcBorders>
            <w:shd w:val="clear" w:color="auto" w:fill="auto"/>
          </w:tcPr>
          <w:p w14:paraId="4B94BFA4" w14:textId="77777777" w:rsidR="001068A4" w:rsidRPr="00CB239D" w:rsidRDefault="001068A4" w:rsidP="004F60A2">
            <w:pPr>
              <w:spacing w:before="120" w:after="120"/>
              <w:rPr>
                <w:b/>
                <w:sz w:val="18"/>
                <w:szCs w:val="18"/>
              </w:rPr>
            </w:pPr>
            <w:proofErr w:type="spellStart"/>
            <w:r w:rsidRPr="00CB239D">
              <w:rPr>
                <w:b/>
                <w:sz w:val="18"/>
                <w:szCs w:val="18"/>
              </w:rPr>
              <w:t>PEDro</w:t>
            </w:r>
            <w:proofErr w:type="spellEnd"/>
            <w:r w:rsidRPr="00CB239D">
              <w:rPr>
                <w:b/>
                <w:sz w:val="18"/>
                <w:szCs w:val="18"/>
              </w:rPr>
              <w:t xml:space="preserve"> Score: 10/10^</w:t>
            </w:r>
          </w:p>
        </w:tc>
        <w:tc>
          <w:tcPr>
            <w:tcW w:w="1755" w:type="dxa"/>
            <w:shd w:val="clear" w:color="auto" w:fill="auto"/>
          </w:tcPr>
          <w:p w14:paraId="2488CC99" w14:textId="77777777" w:rsidR="001068A4" w:rsidRPr="00CB239D" w:rsidRDefault="001068A4" w:rsidP="004F60A2">
            <w:pPr>
              <w:spacing w:before="120" w:after="120"/>
              <w:rPr>
                <w:b/>
                <w:sz w:val="18"/>
                <w:szCs w:val="18"/>
              </w:rPr>
            </w:pPr>
            <w:r w:rsidRPr="00CB239D">
              <w:rPr>
                <w:b/>
                <w:sz w:val="18"/>
                <w:szCs w:val="18"/>
              </w:rPr>
              <w:t>Level 1b</w:t>
            </w:r>
          </w:p>
        </w:tc>
        <w:tc>
          <w:tcPr>
            <w:tcW w:w="1636" w:type="dxa"/>
            <w:shd w:val="clear" w:color="auto" w:fill="auto"/>
          </w:tcPr>
          <w:p w14:paraId="2F1DD124"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25ED1777" w14:textId="77777777" w:rsidR="001068A4" w:rsidRPr="00CB239D" w:rsidRDefault="001068A4" w:rsidP="004F60A2">
            <w:pPr>
              <w:spacing w:before="120" w:after="120"/>
              <w:rPr>
                <w:b/>
                <w:sz w:val="18"/>
                <w:szCs w:val="18"/>
              </w:rPr>
            </w:pPr>
            <w:r w:rsidRPr="00CB239D">
              <w:rPr>
                <w:b/>
                <w:sz w:val="18"/>
                <w:szCs w:val="18"/>
              </w:rPr>
              <w:t>Prospective, Randomized Controlled Trial</w:t>
            </w:r>
          </w:p>
        </w:tc>
      </w:tr>
      <w:tr w:rsidR="001068A4" w:rsidRPr="00CB239D" w14:paraId="370CF4B2" w14:textId="77777777" w:rsidTr="001068A4">
        <w:tc>
          <w:tcPr>
            <w:tcW w:w="2686" w:type="dxa"/>
            <w:tcBorders>
              <w:right w:val="single" w:sz="8" w:space="0" w:color="auto"/>
            </w:tcBorders>
            <w:shd w:val="clear" w:color="auto" w:fill="auto"/>
          </w:tcPr>
          <w:p w14:paraId="78B69B3B" w14:textId="6162949B" w:rsidR="001068A4" w:rsidRPr="00CB239D" w:rsidRDefault="001068A4" w:rsidP="00CB239D">
            <w:pPr>
              <w:spacing w:before="120" w:after="120"/>
              <w:rPr>
                <w:b/>
                <w:sz w:val="18"/>
                <w:szCs w:val="18"/>
              </w:rPr>
            </w:pPr>
            <w:r w:rsidRPr="00CB239D">
              <w:rPr>
                <w:b/>
                <w:sz w:val="18"/>
                <w:szCs w:val="18"/>
              </w:rPr>
              <w:t>Jain (2015)</w:t>
            </w:r>
            <w:r w:rsidR="00CB5481" w:rsidRPr="00CB239D">
              <w:rPr>
                <w:b/>
                <w:sz w:val="18"/>
                <w:szCs w:val="18"/>
              </w:rPr>
              <w:fldChar w:fldCharType="begin"/>
            </w:r>
            <w:r w:rsidR="00CB239D">
              <w:rPr>
                <w:b/>
                <w:sz w:val="18"/>
                <w:szCs w:val="18"/>
              </w:rPr>
              <w:instrText>ADDIN F1000_CSL_CITATION&lt;~#@#~&gt;[{"DOI":"10.1016/j.foot.2015.08.006","First":false,"Last":false,"PMID":"26362235","abstract":"&lt;strong&gt;INTRODUCTION:&lt;/strong&gt; Intractable plantar fasciitis can be a difficult condition to treat. Early results of platelet rich plasma (PRP) injection have been promising. We compared PRP to traditional cortisone injection in the treatment of chronic cases of plantar fasciitis resistant to traditional nonoperative management. The aim of the study was to compare the efficacy of PRP to that of Steroid at 3, 6 and 12 months after injection.&lt;br&gt;&lt;br&gt;&lt;strong&gt;METHODS:&lt;/strong&gt; 60 heels with intractable plantar fasciitis who had failed conservative treatment were randomised to receive either PRP or Steroid injection. All patients were assessed with the Roles-Maudsley (RM) Score, Visual Analogue Score (VAS) for pain and the American Orthopaedic Foot and Ankle Society (AOFAS) score. Data was collected prospectively on the cohort, pre-treatment, at 3, 6 and 12 months post injection and the results were compared.&lt;br&gt;&lt;br&gt;&lt;strong&gt;RESULTS:&lt;/strong&gt; Pre-injection, the two groups were well matched with no statistically significant difference. At 3 months, all three outcome scores had significantly improved from their pretreatment level in both groups. The scores in the Steroid arm were marginally better than in the PRP arm, but this difference was not statistically significant. At 6 months, there was no statistically significant difference between the two groups, though there was a trend for the PRP scores to become better than the Steroid scores. At 12 months, the RM, VAS and AOFAS scores in the PRP arm (1.9, 3.3 and 88.5) were significantly better than the Steroid arm (2.6, 5.3 and 75) with P values of .013, .028 and .033, respectively.&lt;br&gt;&lt;br&gt;&lt;strong&gt;CONCLUSIONS:&lt;/strong&gt; PRP is as effective as Steroid injection at achieving symptom relief at 3 and 6 months after injection, for the treatment of plantar fasciitis, but unlike Steroid, its effect does not wear off with time. At 12 months, PRP is significantly more effective than Steroid, making it better and more durable than cortisone injection.&lt;br&gt;&lt;br&gt;Copyright © 2015 Elsevier Ltd. All rights reserved.","author":[{"family":"Jain","given":"Kowshik"},{"family":"Murphy","given":"Philip N"},{"family":"Clough","given":"Timothy M"}],"authorYearDisplayFormat":false,"citation-label":"4082330","container-title":"Foot (Edinburgh, Scotland)","container-title-short":"Foot (Edinb)","id":"4082330","invisible":false,"issue":"4","issued":{"date-parts":[["2015","12"]]},"journalAbbreviation":"Foot (Edinb)","page":"235-237","suppress-author":false,"title":"Platelet rich plasma versus corticosteroid injection for plantar fasciitis: A comparative study.","type":"article-journal","volume":"25"}]</w:instrText>
            </w:r>
            <w:r w:rsidR="00CB5481" w:rsidRPr="00CB239D">
              <w:rPr>
                <w:b/>
                <w:sz w:val="18"/>
                <w:szCs w:val="18"/>
              </w:rPr>
              <w:fldChar w:fldCharType="separate"/>
            </w:r>
            <w:r w:rsidR="00CB239D" w:rsidRPr="00CB239D">
              <w:rPr>
                <w:noProof/>
                <w:sz w:val="18"/>
                <w:szCs w:val="18"/>
                <w:vertAlign w:val="superscript"/>
              </w:rPr>
              <w:t>9</w:t>
            </w:r>
            <w:r w:rsidR="00CB5481" w:rsidRPr="00CB239D">
              <w:rPr>
                <w:b/>
                <w:sz w:val="18"/>
                <w:szCs w:val="18"/>
              </w:rPr>
              <w:fldChar w:fldCharType="end"/>
            </w:r>
          </w:p>
        </w:tc>
        <w:tc>
          <w:tcPr>
            <w:tcW w:w="1797" w:type="dxa"/>
            <w:tcBorders>
              <w:left w:val="single" w:sz="8" w:space="0" w:color="auto"/>
            </w:tcBorders>
            <w:shd w:val="clear" w:color="auto" w:fill="auto"/>
          </w:tcPr>
          <w:p w14:paraId="106E27D7" w14:textId="77777777" w:rsidR="001068A4" w:rsidRPr="00CB239D" w:rsidRDefault="001068A4" w:rsidP="004F60A2">
            <w:pPr>
              <w:spacing w:before="120" w:after="120"/>
              <w:rPr>
                <w:b/>
                <w:sz w:val="18"/>
                <w:szCs w:val="18"/>
              </w:rPr>
            </w:pPr>
            <w:proofErr w:type="spellStart"/>
            <w:r w:rsidRPr="00CB239D">
              <w:rPr>
                <w:b/>
                <w:sz w:val="18"/>
                <w:szCs w:val="18"/>
              </w:rPr>
              <w:t>PEDro</w:t>
            </w:r>
            <w:proofErr w:type="spellEnd"/>
            <w:r w:rsidRPr="00CB239D">
              <w:rPr>
                <w:b/>
                <w:sz w:val="18"/>
                <w:szCs w:val="18"/>
              </w:rPr>
              <w:t xml:space="preserve"> Score: 8/10^</w:t>
            </w:r>
          </w:p>
        </w:tc>
        <w:tc>
          <w:tcPr>
            <w:tcW w:w="1755" w:type="dxa"/>
            <w:shd w:val="clear" w:color="auto" w:fill="auto"/>
          </w:tcPr>
          <w:p w14:paraId="6CFB0AE4" w14:textId="77777777" w:rsidR="001068A4" w:rsidRPr="00CB239D" w:rsidRDefault="001068A4" w:rsidP="004F60A2">
            <w:pPr>
              <w:spacing w:before="120" w:after="120"/>
              <w:rPr>
                <w:b/>
                <w:sz w:val="18"/>
                <w:szCs w:val="18"/>
              </w:rPr>
            </w:pPr>
            <w:r w:rsidRPr="00CB239D">
              <w:rPr>
                <w:b/>
                <w:sz w:val="18"/>
                <w:szCs w:val="18"/>
              </w:rPr>
              <w:t>Level 1c</w:t>
            </w:r>
          </w:p>
        </w:tc>
        <w:tc>
          <w:tcPr>
            <w:tcW w:w="1636" w:type="dxa"/>
            <w:shd w:val="clear" w:color="auto" w:fill="auto"/>
          </w:tcPr>
          <w:p w14:paraId="75DDB7F9"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55E7C211" w14:textId="77777777" w:rsidR="001068A4" w:rsidRPr="00CB239D" w:rsidRDefault="001068A4" w:rsidP="004F60A2">
            <w:pPr>
              <w:spacing w:before="120" w:after="120"/>
              <w:rPr>
                <w:b/>
                <w:sz w:val="18"/>
                <w:szCs w:val="18"/>
              </w:rPr>
            </w:pPr>
            <w:r w:rsidRPr="00CB239D">
              <w:rPr>
                <w:b/>
                <w:sz w:val="18"/>
                <w:szCs w:val="18"/>
              </w:rPr>
              <w:t>Prospective, Randomized Clinical Trial</w:t>
            </w:r>
          </w:p>
        </w:tc>
      </w:tr>
      <w:tr w:rsidR="001068A4" w:rsidRPr="00CB239D" w14:paraId="468B5344" w14:textId="77777777" w:rsidTr="001068A4">
        <w:tc>
          <w:tcPr>
            <w:tcW w:w="2686" w:type="dxa"/>
            <w:tcBorders>
              <w:right w:val="single" w:sz="8" w:space="0" w:color="auto"/>
            </w:tcBorders>
            <w:shd w:val="clear" w:color="auto" w:fill="auto"/>
          </w:tcPr>
          <w:p w14:paraId="0714276F" w14:textId="7468F7BA" w:rsidR="001068A4" w:rsidRPr="00CB239D" w:rsidRDefault="001068A4" w:rsidP="00CB239D">
            <w:pPr>
              <w:spacing w:before="120" w:after="120"/>
              <w:rPr>
                <w:b/>
                <w:sz w:val="18"/>
                <w:szCs w:val="18"/>
              </w:rPr>
            </w:pPr>
            <w:r w:rsidRPr="00CB239D">
              <w:rPr>
                <w:b/>
                <w:sz w:val="18"/>
                <w:szCs w:val="18"/>
              </w:rPr>
              <w:t>Monto (2014)</w:t>
            </w:r>
            <w:r w:rsidR="00CB5481" w:rsidRPr="00CB239D">
              <w:rPr>
                <w:b/>
                <w:sz w:val="18"/>
                <w:szCs w:val="18"/>
              </w:rPr>
              <w:fldChar w:fldCharType="begin"/>
            </w:r>
            <w:r w:rsidR="00CB239D">
              <w:rPr>
                <w:b/>
                <w:sz w:val="18"/>
                <w:szCs w:val="18"/>
              </w:rPr>
              <w:instrText>ADDIN F1000_CSL_CITATION&lt;~#@#~&gt;[{"DOI":"10.1177/1071100713519778","First":false,"Last":false,"PMID":"24419823","abstract":"&lt;strong&gt;BACKGROUND:&lt;/strong&gt; Chronic plantar fasciitis is a common orthopedic condition that can prove difficult to successfully treat. In this study, autologous platelet-rich plasma (PRP), a concentrated bioactive blood component rich in cytokines and growth factors, was compared to traditional cortisone injection in the treatment of chronic cases of plantar fasciitis resistant to traditional nonoperative management.&lt;br&gt;&lt;br&gt;&lt;strong&gt;METHODS:&lt;/strong&gt; Forty patients (23 females and 17 males) with unilateral chronic plantar fasciitis that did not respond to a minimum of 4 months of standardized traditional nonoperative treatment modalities were prospectively randomized and treated with either a single ultrasound guided injection of 3 cc PRP or 40 mg DepoMedrol cortisone. American Orthopedic Foot and Ankle Society (AOFAS) hindfoot scoring was completed for all patients immediately prior to PRP or cortisone injection (pretreatment = time 0) and at 3, 6, 12, and 24 months following injection treatment. Baseline pretreatment radiographs and MRI studies were obtained in all cases to confirm the diagnosis of plantar fasciitis.&lt;br&gt;&lt;br&gt;&lt;strong&gt;RESULTS:&lt;/strong&gt; The cortisone group had a pretreatment average AOFAS score of 52, which initially improved to 81 at 3 months posttreatment but decreased to 74 at 6 months, then dropped to near baseline levels of 58 at 12 months, and continued to decline to a final score of 56 at 24 months. In contrast, the PRP group started with an average pretreatment AOFAS score of 37, which increased to 95 at 3 months, remained elevated at 94 at 6 and 12 months, and had a final score of 92 at 24 months.&lt;br&gt;&lt;br&gt;&lt;strong&gt;CONCLUSIONS:&lt;/strong&gt; PRP was more effective and durable than cortisone injection for the treatment of chronic recalcitrant cases of plantar fasciitis.&lt;br&gt;&lt;br&gt;&lt;strong&gt;LEVEL OF EVIDENCE:&lt;/strong&gt; Level I, prospective randomized comparative series.","author":[{"family":"Monto","given":"Raymond Rocco"}],"authorYearDisplayFormat":false,"citation-label":"2474694","container-title":"Foot &amp; Ankle International","container-title-short":"Foot Ankle Int","id":"2474694","invisible":false,"issue":"4","issued":{"date-parts":[["2014","4"]]},"journalAbbreviation":"Foot Ankle Int","page":"313-318","suppress-author":false,"title":"Platelet-rich plasma efficacy versus corticosteroid injection treatment for chronic severe plantar fasciitis.","type":"article-journal","volume":"35"}]</w:instrText>
            </w:r>
            <w:r w:rsidR="00CB5481" w:rsidRPr="00CB239D">
              <w:rPr>
                <w:b/>
                <w:sz w:val="18"/>
                <w:szCs w:val="18"/>
              </w:rPr>
              <w:fldChar w:fldCharType="separate"/>
            </w:r>
            <w:r w:rsidR="00CB239D" w:rsidRPr="00CB239D">
              <w:rPr>
                <w:noProof/>
                <w:sz w:val="18"/>
                <w:szCs w:val="18"/>
                <w:vertAlign w:val="superscript"/>
              </w:rPr>
              <w:t>10</w:t>
            </w:r>
            <w:r w:rsidR="00CB5481" w:rsidRPr="00CB239D">
              <w:rPr>
                <w:b/>
                <w:sz w:val="18"/>
                <w:szCs w:val="18"/>
              </w:rPr>
              <w:fldChar w:fldCharType="end"/>
            </w:r>
          </w:p>
        </w:tc>
        <w:tc>
          <w:tcPr>
            <w:tcW w:w="1797" w:type="dxa"/>
            <w:tcBorders>
              <w:left w:val="single" w:sz="8" w:space="0" w:color="auto"/>
            </w:tcBorders>
            <w:shd w:val="clear" w:color="auto" w:fill="auto"/>
          </w:tcPr>
          <w:p w14:paraId="2B398DD7" w14:textId="77777777" w:rsidR="001068A4" w:rsidRPr="00CB239D" w:rsidRDefault="001068A4" w:rsidP="004F60A2">
            <w:pPr>
              <w:spacing w:before="120" w:after="120"/>
              <w:rPr>
                <w:b/>
                <w:sz w:val="18"/>
                <w:szCs w:val="18"/>
              </w:rPr>
            </w:pPr>
            <w:proofErr w:type="spellStart"/>
            <w:r w:rsidRPr="00CB239D">
              <w:rPr>
                <w:b/>
                <w:sz w:val="18"/>
                <w:szCs w:val="18"/>
              </w:rPr>
              <w:t>PEDro</w:t>
            </w:r>
            <w:proofErr w:type="spellEnd"/>
            <w:r w:rsidRPr="00CB239D">
              <w:rPr>
                <w:b/>
                <w:sz w:val="18"/>
                <w:szCs w:val="18"/>
              </w:rPr>
              <w:t xml:space="preserve"> Score: 9/10^</w:t>
            </w:r>
          </w:p>
        </w:tc>
        <w:tc>
          <w:tcPr>
            <w:tcW w:w="1755" w:type="dxa"/>
            <w:shd w:val="clear" w:color="auto" w:fill="auto"/>
          </w:tcPr>
          <w:p w14:paraId="5A0333A4" w14:textId="77777777" w:rsidR="001068A4" w:rsidRPr="00CB239D" w:rsidRDefault="001068A4" w:rsidP="004F60A2">
            <w:pPr>
              <w:spacing w:before="120" w:after="120"/>
              <w:rPr>
                <w:b/>
                <w:sz w:val="18"/>
                <w:szCs w:val="18"/>
              </w:rPr>
            </w:pPr>
            <w:r w:rsidRPr="00CB239D">
              <w:rPr>
                <w:b/>
                <w:sz w:val="18"/>
                <w:szCs w:val="18"/>
              </w:rPr>
              <w:t>Level 1c</w:t>
            </w:r>
          </w:p>
        </w:tc>
        <w:tc>
          <w:tcPr>
            <w:tcW w:w="1636" w:type="dxa"/>
            <w:shd w:val="clear" w:color="auto" w:fill="auto"/>
          </w:tcPr>
          <w:p w14:paraId="47E0FFCE"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1DC26AE3" w14:textId="77777777" w:rsidR="001068A4" w:rsidRPr="00CB239D" w:rsidRDefault="001068A4" w:rsidP="004F60A2">
            <w:pPr>
              <w:spacing w:before="120" w:after="120"/>
              <w:rPr>
                <w:b/>
                <w:sz w:val="18"/>
                <w:szCs w:val="18"/>
              </w:rPr>
            </w:pPr>
            <w:r w:rsidRPr="00CB239D">
              <w:rPr>
                <w:b/>
                <w:sz w:val="18"/>
                <w:szCs w:val="18"/>
              </w:rPr>
              <w:t>Prospective, Randomized Clinical Trial</w:t>
            </w:r>
          </w:p>
        </w:tc>
      </w:tr>
      <w:tr w:rsidR="001068A4" w:rsidRPr="00CB239D" w14:paraId="561A34FC" w14:textId="77777777" w:rsidTr="001068A4">
        <w:tc>
          <w:tcPr>
            <w:tcW w:w="2686" w:type="dxa"/>
            <w:tcBorders>
              <w:right w:val="single" w:sz="8" w:space="0" w:color="auto"/>
            </w:tcBorders>
            <w:shd w:val="clear" w:color="auto" w:fill="auto"/>
          </w:tcPr>
          <w:p w14:paraId="6A063882" w14:textId="65488320" w:rsidR="001068A4" w:rsidRPr="00CB239D" w:rsidRDefault="001068A4" w:rsidP="00CB239D">
            <w:pPr>
              <w:spacing w:before="120" w:after="120"/>
              <w:rPr>
                <w:b/>
                <w:sz w:val="18"/>
                <w:szCs w:val="18"/>
              </w:rPr>
            </w:pPr>
            <w:proofErr w:type="spellStart"/>
            <w:r w:rsidRPr="00CB239D">
              <w:rPr>
                <w:b/>
                <w:sz w:val="18"/>
                <w:szCs w:val="18"/>
              </w:rPr>
              <w:t>Sherpy</w:t>
            </w:r>
            <w:proofErr w:type="spellEnd"/>
            <w:r w:rsidRPr="00CB239D">
              <w:rPr>
                <w:b/>
                <w:sz w:val="18"/>
                <w:szCs w:val="18"/>
              </w:rPr>
              <w:t xml:space="preserve"> (2016)</w:t>
            </w:r>
            <w:r w:rsidR="00CB5481" w:rsidRPr="00CB239D">
              <w:rPr>
                <w:b/>
                <w:sz w:val="18"/>
                <w:szCs w:val="18"/>
              </w:rPr>
              <w:fldChar w:fldCharType="begin"/>
            </w:r>
            <w:r w:rsidR="00CB239D">
              <w:rPr>
                <w:b/>
                <w:sz w:val="18"/>
                <w:szCs w:val="18"/>
              </w:rPr>
              <w:instrText>ADDIN F1000_CSL_CITATION&lt;~#@#~&gt;[{"DOI":"10.1016/j.ejr.2015.09.008","First":false,"Last":false,"abstract":"Background\r\nPlatelet-rich plasma (PRP) has been gaining popularity as a treatment for plantar fasciitis (PF).\r\nAim of the work\r\nTo compare local autologous PRP and steroid injections both clinically and sonographically within 3-months and also regarding its safety.\r\nPatients and methods\r\nThis study was carried out on 50 patients with chronic PF divided into two groups: steroid and PRP groups (n = 25 each). Patients were assessed by visual analog scale (VAS), Foot Health Status Questionnaire (FHSQ) and ultrasonography at 1.5 and 3 months post-injection.\r\nResults\r\nThe 50 patients had comparable disease duration (p &gt; 0.5). At 1.5 months post-injection, there was more improvement in the PRP than in the steroid group both clinically (as assessed by the VAS) and ultrasonographically (as regards the echogenicity) (p = 0.008 and p   0.05). No significant difference was present between the 2 groups regarding the reduction plantar fascia thickness at 1.5 (p = 0.89) and 3 months (p = 0.64) post-injection. Regarding the safety of both injections, none of our patients in either group developed any significant complications.\r\nConclusions\r\nWe suggest that the PRP injection is a new, readily available, well tolerated and safe choice of therapy for chronic PF and is not inferior to steroid injection in a short term 3 month follow up. Comparing the long-term efficacy both clinically and sonographically is necessary to confirm their sustained effect.","author":[{"family":"Sherpy","given":"Nagwa A."},{"family":"Hammad","given":"Marwa A."},{"family":"Hagrass","given":"Hoda A."},{"family":"Samir","given":"Hanan"},{"family":"Abu-ElMaaty","given":"Samar E."},{"family":"Mortada","given":"Mohammed A."}],"authorYearDisplayFormat":false,"citation-label":"4199059","container-title":"The Egyptian Rheumatologist","container-title-short":"The Egyptian Rheumatologist","id":"4199059","invisible":false,"issue":"3","issued":{"date-parts":[["2016","7"]]},"journalAbbreviation":"The Egyptian Rheumatologist","page":"247-252","suppress-author":false,"title":"Local injection of autologous platelet rich plasma compared to corticosteroid treatment of chronic plantar fasciitis patients: A clinical and ultrasonographic follow-up study","type":"article-journal","volume":"38"}]</w:instrText>
            </w:r>
            <w:r w:rsidR="00CB5481" w:rsidRPr="00CB239D">
              <w:rPr>
                <w:b/>
                <w:sz w:val="18"/>
                <w:szCs w:val="18"/>
              </w:rPr>
              <w:fldChar w:fldCharType="separate"/>
            </w:r>
            <w:r w:rsidR="00CB239D" w:rsidRPr="00CB239D">
              <w:rPr>
                <w:noProof/>
                <w:sz w:val="18"/>
                <w:szCs w:val="18"/>
                <w:vertAlign w:val="superscript"/>
              </w:rPr>
              <w:t>11</w:t>
            </w:r>
            <w:r w:rsidR="00CB5481" w:rsidRPr="00CB239D">
              <w:rPr>
                <w:b/>
                <w:sz w:val="18"/>
                <w:szCs w:val="18"/>
              </w:rPr>
              <w:fldChar w:fldCharType="end"/>
            </w:r>
          </w:p>
        </w:tc>
        <w:tc>
          <w:tcPr>
            <w:tcW w:w="1797" w:type="dxa"/>
            <w:tcBorders>
              <w:left w:val="single" w:sz="8" w:space="0" w:color="auto"/>
            </w:tcBorders>
            <w:shd w:val="clear" w:color="auto" w:fill="auto"/>
          </w:tcPr>
          <w:p w14:paraId="0BB2C725" w14:textId="77777777" w:rsidR="001068A4" w:rsidRPr="00CB239D" w:rsidRDefault="001068A4" w:rsidP="004F60A2">
            <w:pPr>
              <w:spacing w:before="120" w:after="120"/>
              <w:rPr>
                <w:b/>
                <w:sz w:val="18"/>
                <w:szCs w:val="18"/>
              </w:rPr>
            </w:pPr>
            <w:proofErr w:type="spellStart"/>
            <w:r w:rsidRPr="00CB239D">
              <w:rPr>
                <w:b/>
                <w:sz w:val="18"/>
                <w:szCs w:val="18"/>
              </w:rPr>
              <w:t>PEDro</w:t>
            </w:r>
            <w:proofErr w:type="spellEnd"/>
            <w:r w:rsidRPr="00CB239D">
              <w:rPr>
                <w:b/>
                <w:sz w:val="18"/>
                <w:szCs w:val="18"/>
              </w:rPr>
              <w:t xml:space="preserve"> Score: 9/10^</w:t>
            </w:r>
          </w:p>
        </w:tc>
        <w:tc>
          <w:tcPr>
            <w:tcW w:w="1755" w:type="dxa"/>
            <w:shd w:val="clear" w:color="auto" w:fill="auto"/>
          </w:tcPr>
          <w:p w14:paraId="648E89D7" w14:textId="77777777" w:rsidR="001068A4" w:rsidRPr="00CB239D" w:rsidRDefault="001068A4" w:rsidP="004F60A2">
            <w:pPr>
              <w:spacing w:before="120" w:after="120"/>
              <w:rPr>
                <w:b/>
                <w:sz w:val="18"/>
                <w:szCs w:val="18"/>
              </w:rPr>
            </w:pPr>
            <w:r w:rsidRPr="00CB239D">
              <w:rPr>
                <w:b/>
                <w:sz w:val="18"/>
                <w:szCs w:val="18"/>
              </w:rPr>
              <w:t>Level 1c</w:t>
            </w:r>
          </w:p>
        </w:tc>
        <w:tc>
          <w:tcPr>
            <w:tcW w:w="1636" w:type="dxa"/>
            <w:shd w:val="clear" w:color="auto" w:fill="auto"/>
          </w:tcPr>
          <w:p w14:paraId="4B4AEE2C"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149FEB7F" w14:textId="77777777" w:rsidR="001068A4" w:rsidRPr="00CB239D" w:rsidRDefault="001068A4" w:rsidP="004F60A2">
            <w:pPr>
              <w:spacing w:before="120" w:after="120"/>
              <w:rPr>
                <w:b/>
                <w:sz w:val="18"/>
                <w:szCs w:val="18"/>
              </w:rPr>
            </w:pPr>
            <w:r w:rsidRPr="00CB239D">
              <w:rPr>
                <w:b/>
                <w:sz w:val="18"/>
                <w:szCs w:val="18"/>
              </w:rPr>
              <w:t>Prospective, Randomized Clinical Trial</w:t>
            </w:r>
          </w:p>
        </w:tc>
      </w:tr>
      <w:tr w:rsidR="001068A4" w:rsidRPr="00CB239D" w14:paraId="761867F2" w14:textId="77777777" w:rsidTr="001068A4">
        <w:tc>
          <w:tcPr>
            <w:tcW w:w="2686" w:type="dxa"/>
            <w:tcBorders>
              <w:right w:val="single" w:sz="8" w:space="0" w:color="auto"/>
            </w:tcBorders>
            <w:shd w:val="clear" w:color="auto" w:fill="auto"/>
          </w:tcPr>
          <w:p w14:paraId="466F9D2F" w14:textId="4F119AB7" w:rsidR="001068A4" w:rsidRPr="00CB239D" w:rsidRDefault="001068A4" w:rsidP="00CB239D">
            <w:pPr>
              <w:spacing w:before="120" w:after="120"/>
              <w:rPr>
                <w:b/>
                <w:sz w:val="18"/>
                <w:szCs w:val="18"/>
              </w:rPr>
            </w:pPr>
            <w:r w:rsidRPr="00CB239D">
              <w:rPr>
                <w:b/>
                <w:sz w:val="18"/>
                <w:szCs w:val="18"/>
              </w:rPr>
              <w:t>Say (2014)</w:t>
            </w:r>
            <w:r w:rsidR="00CB5481" w:rsidRPr="00CB239D">
              <w:rPr>
                <w:b/>
                <w:sz w:val="18"/>
                <w:szCs w:val="18"/>
              </w:rPr>
              <w:fldChar w:fldCharType="begin"/>
            </w:r>
            <w:r w:rsidR="00CB239D">
              <w:rPr>
                <w:b/>
                <w:sz w:val="18"/>
                <w:szCs w:val="18"/>
              </w:rPr>
              <w:instrText>ADDIN F1000_CSL_CITATION&lt;~#@#~&gt;[{"DOI":"10.3944/AOTT.2014.13.0142","First":false,"Last":false,"PMID":"25637732","abstract":"&lt;strong&gt;OBJECTIVE:&lt;/strong&gt; The aim of this study was to compare the effects of platelet-rich plasma (PRP) and steroid injections in patients diagnosed with plantar fasciitis.&lt;br&gt;&lt;br&gt;&lt;strong&gt;METHODS:&lt;/strong&gt; A total of 50 patients with chronic plantar fasciitis were included in the study and divided into 2 groups. In the PRP group (n=25), PRP taken from the patients' blood was activated using calcium chloride and injected in a single dose. In the steroid group (n=25), a single dose methylprednisolone with local anesthetic injection was given. Clinical evaluation was made using the American Foot and Ankle Score (AFAS) and the visual analog scale (VAS).&lt;br&gt;&lt;br&gt;&lt;strong&gt;RESULTS:&lt;/strong&gt; No complications were seen in any patients. Mean AFAS was 85.5 ± 4.2 at 6 weeks and 90.6 ± 2.6 at 6 months in the PRP group and 75.3 ± 4.8 and 80.3 ± 4.7, respectively, in the steroid group (p&lt; 0.001). The difference in the mean VAS between the PRP group (2.4 ± 0.8 and 1 ± 0.8) and the steroid group (4 ± 1.1 and 2.6 ± 0.9) at the 6th week and 6th month was statistically significant (p&lt; 0.001). Changes in AFAS and VAS scores were significantly higher in the PRP group (p&lt; 0.001).&lt;br&gt;&lt;br&gt;&lt;strong&gt;CONCLUSION:&lt;/strong&gt; The application of PRP appears to be more effective than steroid injection in terms of pain and functional results in the treatment of chronic plantar fasciitis.","author":[{"family":"SAY","given":"Ferhat"}],"authorYearDisplayFormat":false,"citation-label":"482936","container-title":"Acta orthopaedica et traumatologica turcica","container-title-short":"Acta Orthop Traumatol Turc","id":"482936","invisible":false,"issue":"6","issued":{"date-parts":[["2014"]]},"journalAbbreviation":"Acta Orthop Traumatol Turc","page":"667-672","suppress-author":false,"title":"Comparison of platelet-rich plasma and steroid injection in the treatment of plantar fasciitis","type":"article-journal","volume":"48"}]</w:instrText>
            </w:r>
            <w:r w:rsidR="00CB5481" w:rsidRPr="00CB239D">
              <w:rPr>
                <w:b/>
                <w:sz w:val="18"/>
                <w:szCs w:val="18"/>
              </w:rPr>
              <w:fldChar w:fldCharType="separate"/>
            </w:r>
            <w:r w:rsidR="00CB239D" w:rsidRPr="00CB239D">
              <w:rPr>
                <w:noProof/>
                <w:sz w:val="18"/>
                <w:szCs w:val="18"/>
                <w:vertAlign w:val="superscript"/>
              </w:rPr>
              <w:t>12</w:t>
            </w:r>
            <w:r w:rsidR="00CB5481" w:rsidRPr="00CB239D">
              <w:rPr>
                <w:b/>
                <w:sz w:val="18"/>
                <w:szCs w:val="18"/>
              </w:rPr>
              <w:fldChar w:fldCharType="end"/>
            </w:r>
          </w:p>
        </w:tc>
        <w:tc>
          <w:tcPr>
            <w:tcW w:w="1797" w:type="dxa"/>
            <w:tcBorders>
              <w:left w:val="single" w:sz="8" w:space="0" w:color="auto"/>
            </w:tcBorders>
            <w:shd w:val="clear" w:color="auto" w:fill="auto"/>
          </w:tcPr>
          <w:p w14:paraId="42EDF4A8" w14:textId="77777777" w:rsidR="001068A4" w:rsidRPr="00CB239D" w:rsidRDefault="001068A4" w:rsidP="004F60A2">
            <w:pPr>
              <w:spacing w:before="120" w:after="120"/>
              <w:rPr>
                <w:b/>
                <w:sz w:val="18"/>
                <w:szCs w:val="18"/>
              </w:rPr>
            </w:pPr>
            <w:r w:rsidRPr="00CB239D">
              <w:rPr>
                <w:b/>
                <w:sz w:val="18"/>
                <w:szCs w:val="18"/>
              </w:rPr>
              <w:t>Downs and Black Checklist: 16/26^^</w:t>
            </w:r>
          </w:p>
        </w:tc>
        <w:tc>
          <w:tcPr>
            <w:tcW w:w="1755" w:type="dxa"/>
            <w:shd w:val="clear" w:color="auto" w:fill="auto"/>
          </w:tcPr>
          <w:p w14:paraId="3DCFB00A" w14:textId="77777777" w:rsidR="001068A4" w:rsidRPr="00CB239D" w:rsidRDefault="001068A4" w:rsidP="004F60A2">
            <w:pPr>
              <w:spacing w:before="120" w:after="120"/>
              <w:rPr>
                <w:b/>
                <w:sz w:val="18"/>
                <w:szCs w:val="18"/>
              </w:rPr>
            </w:pPr>
            <w:r w:rsidRPr="00CB239D">
              <w:rPr>
                <w:b/>
                <w:sz w:val="18"/>
                <w:szCs w:val="18"/>
              </w:rPr>
              <w:t>Level 2b</w:t>
            </w:r>
          </w:p>
        </w:tc>
        <w:tc>
          <w:tcPr>
            <w:tcW w:w="1636" w:type="dxa"/>
            <w:shd w:val="clear" w:color="auto" w:fill="auto"/>
          </w:tcPr>
          <w:p w14:paraId="63A155C2"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3F63E36B" w14:textId="77777777" w:rsidR="001068A4" w:rsidRPr="00CB239D" w:rsidRDefault="001068A4" w:rsidP="004F60A2">
            <w:pPr>
              <w:spacing w:before="120" w:after="120"/>
              <w:rPr>
                <w:b/>
                <w:sz w:val="18"/>
                <w:szCs w:val="18"/>
              </w:rPr>
            </w:pPr>
            <w:r w:rsidRPr="00CB239D">
              <w:rPr>
                <w:b/>
                <w:sz w:val="18"/>
                <w:szCs w:val="18"/>
              </w:rPr>
              <w:t>Prospective, Non-Randomized Study</w:t>
            </w:r>
          </w:p>
        </w:tc>
      </w:tr>
      <w:tr w:rsidR="001068A4" w:rsidRPr="00CB239D" w14:paraId="7A0C485D" w14:textId="77777777" w:rsidTr="001068A4">
        <w:tc>
          <w:tcPr>
            <w:tcW w:w="2686" w:type="dxa"/>
            <w:tcBorders>
              <w:right w:val="single" w:sz="8" w:space="0" w:color="auto"/>
            </w:tcBorders>
            <w:shd w:val="clear" w:color="auto" w:fill="auto"/>
          </w:tcPr>
          <w:p w14:paraId="21589438" w14:textId="15F524EE" w:rsidR="001068A4" w:rsidRPr="00CB239D" w:rsidRDefault="001068A4" w:rsidP="004F60A2">
            <w:pPr>
              <w:spacing w:before="120" w:after="120"/>
              <w:rPr>
                <w:b/>
                <w:sz w:val="18"/>
                <w:szCs w:val="18"/>
              </w:rPr>
            </w:pPr>
            <w:proofErr w:type="spellStart"/>
            <w:r w:rsidRPr="00CB239D">
              <w:rPr>
                <w:b/>
                <w:sz w:val="18"/>
                <w:szCs w:val="18"/>
              </w:rPr>
              <w:t>Shetty</w:t>
            </w:r>
            <w:proofErr w:type="spellEnd"/>
            <w:r w:rsidRPr="00CB239D">
              <w:rPr>
                <w:b/>
                <w:sz w:val="18"/>
                <w:szCs w:val="18"/>
              </w:rPr>
              <w:t xml:space="preserve"> (2014)</w:t>
            </w:r>
          </w:p>
        </w:tc>
        <w:tc>
          <w:tcPr>
            <w:tcW w:w="1797" w:type="dxa"/>
            <w:tcBorders>
              <w:left w:val="single" w:sz="8" w:space="0" w:color="auto"/>
            </w:tcBorders>
            <w:shd w:val="clear" w:color="auto" w:fill="auto"/>
          </w:tcPr>
          <w:p w14:paraId="5E3AF1FF" w14:textId="77777777" w:rsidR="001068A4" w:rsidRPr="00CB239D" w:rsidRDefault="001068A4" w:rsidP="004F60A2">
            <w:pPr>
              <w:spacing w:before="120" w:after="120"/>
              <w:rPr>
                <w:b/>
                <w:sz w:val="18"/>
                <w:szCs w:val="18"/>
              </w:rPr>
            </w:pPr>
            <w:r w:rsidRPr="00CB239D">
              <w:rPr>
                <w:b/>
                <w:sz w:val="18"/>
                <w:szCs w:val="18"/>
              </w:rPr>
              <w:t>Downs and Black Checklist: 18/26^^</w:t>
            </w:r>
          </w:p>
        </w:tc>
        <w:tc>
          <w:tcPr>
            <w:tcW w:w="1755" w:type="dxa"/>
            <w:shd w:val="clear" w:color="auto" w:fill="auto"/>
          </w:tcPr>
          <w:p w14:paraId="1662B2AF" w14:textId="77777777" w:rsidR="001068A4" w:rsidRPr="00CB239D" w:rsidRDefault="001068A4" w:rsidP="004F60A2">
            <w:pPr>
              <w:spacing w:before="120" w:after="120"/>
              <w:rPr>
                <w:b/>
                <w:sz w:val="18"/>
                <w:szCs w:val="18"/>
              </w:rPr>
            </w:pPr>
            <w:r w:rsidRPr="00CB239D">
              <w:rPr>
                <w:b/>
                <w:sz w:val="18"/>
                <w:szCs w:val="18"/>
              </w:rPr>
              <w:t>Level 2b</w:t>
            </w:r>
          </w:p>
        </w:tc>
        <w:tc>
          <w:tcPr>
            <w:tcW w:w="1636" w:type="dxa"/>
            <w:shd w:val="clear" w:color="auto" w:fill="auto"/>
          </w:tcPr>
          <w:p w14:paraId="636D9E64"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7F6252B8" w14:textId="77777777" w:rsidR="001068A4" w:rsidRPr="00CB239D" w:rsidRDefault="001068A4" w:rsidP="004F60A2">
            <w:pPr>
              <w:spacing w:before="120" w:after="120"/>
              <w:rPr>
                <w:b/>
                <w:sz w:val="18"/>
                <w:szCs w:val="18"/>
              </w:rPr>
            </w:pPr>
            <w:r w:rsidRPr="00CB239D">
              <w:rPr>
                <w:b/>
                <w:sz w:val="18"/>
                <w:szCs w:val="18"/>
              </w:rPr>
              <w:t>Prospective, Non-Randomized Study</w:t>
            </w:r>
          </w:p>
        </w:tc>
      </w:tr>
      <w:tr w:rsidR="001068A4" w:rsidRPr="00CB239D" w14:paraId="2685E511" w14:textId="77777777" w:rsidTr="001068A4">
        <w:tc>
          <w:tcPr>
            <w:tcW w:w="2686" w:type="dxa"/>
            <w:tcBorders>
              <w:right w:val="single" w:sz="8" w:space="0" w:color="auto"/>
            </w:tcBorders>
            <w:shd w:val="clear" w:color="auto" w:fill="auto"/>
          </w:tcPr>
          <w:p w14:paraId="44410ACD" w14:textId="77777777" w:rsidR="001068A4" w:rsidRPr="00CB239D" w:rsidRDefault="001068A4" w:rsidP="004F60A2">
            <w:pPr>
              <w:spacing w:before="120" w:after="120"/>
              <w:rPr>
                <w:b/>
                <w:sz w:val="18"/>
                <w:szCs w:val="18"/>
              </w:rPr>
            </w:pPr>
            <w:proofErr w:type="spellStart"/>
            <w:r w:rsidRPr="00CB239D">
              <w:rPr>
                <w:b/>
                <w:sz w:val="18"/>
                <w:szCs w:val="18"/>
              </w:rPr>
              <w:t>Aksahin</w:t>
            </w:r>
            <w:proofErr w:type="spellEnd"/>
            <w:r w:rsidRPr="00CB239D">
              <w:rPr>
                <w:b/>
                <w:sz w:val="18"/>
                <w:szCs w:val="18"/>
              </w:rPr>
              <w:t xml:space="preserve"> (2012)</w:t>
            </w:r>
          </w:p>
        </w:tc>
        <w:tc>
          <w:tcPr>
            <w:tcW w:w="1797" w:type="dxa"/>
            <w:tcBorders>
              <w:left w:val="single" w:sz="8" w:space="0" w:color="auto"/>
            </w:tcBorders>
            <w:shd w:val="clear" w:color="auto" w:fill="auto"/>
          </w:tcPr>
          <w:p w14:paraId="0E482D6C" w14:textId="77777777" w:rsidR="001068A4" w:rsidRPr="00CB239D" w:rsidRDefault="001068A4" w:rsidP="004F60A2">
            <w:pPr>
              <w:spacing w:before="120" w:after="120"/>
              <w:rPr>
                <w:b/>
                <w:sz w:val="18"/>
                <w:szCs w:val="18"/>
              </w:rPr>
            </w:pPr>
            <w:r w:rsidRPr="00CB239D">
              <w:rPr>
                <w:b/>
                <w:sz w:val="18"/>
                <w:szCs w:val="18"/>
              </w:rPr>
              <w:t>Downs and Black Checklist: 18/26^^</w:t>
            </w:r>
          </w:p>
        </w:tc>
        <w:tc>
          <w:tcPr>
            <w:tcW w:w="1755" w:type="dxa"/>
            <w:shd w:val="clear" w:color="auto" w:fill="auto"/>
          </w:tcPr>
          <w:p w14:paraId="02033EA3" w14:textId="77777777" w:rsidR="001068A4" w:rsidRPr="00CB239D" w:rsidRDefault="001068A4" w:rsidP="004F60A2">
            <w:pPr>
              <w:spacing w:before="120" w:after="120"/>
              <w:rPr>
                <w:b/>
                <w:sz w:val="18"/>
                <w:szCs w:val="18"/>
              </w:rPr>
            </w:pPr>
            <w:r w:rsidRPr="00CB239D">
              <w:rPr>
                <w:b/>
                <w:sz w:val="18"/>
                <w:szCs w:val="18"/>
              </w:rPr>
              <w:t>Level 2b</w:t>
            </w:r>
          </w:p>
        </w:tc>
        <w:tc>
          <w:tcPr>
            <w:tcW w:w="1636" w:type="dxa"/>
            <w:shd w:val="clear" w:color="auto" w:fill="auto"/>
          </w:tcPr>
          <w:p w14:paraId="5186A1BF" w14:textId="77777777" w:rsidR="001068A4" w:rsidRPr="00CB239D" w:rsidRDefault="001068A4" w:rsidP="004F60A2">
            <w:pPr>
              <w:spacing w:before="120" w:after="120"/>
              <w:rPr>
                <w:b/>
                <w:sz w:val="18"/>
                <w:szCs w:val="18"/>
              </w:rPr>
            </w:pPr>
            <w:r w:rsidRPr="00CB239D">
              <w:rPr>
                <w:b/>
                <w:sz w:val="18"/>
                <w:szCs w:val="18"/>
              </w:rPr>
              <w:t>High</w:t>
            </w:r>
          </w:p>
        </w:tc>
        <w:tc>
          <w:tcPr>
            <w:tcW w:w="2549" w:type="dxa"/>
            <w:shd w:val="clear" w:color="auto" w:fill="auto"/>
          </w:tcPr>
          <w:p w14:paraId="34F7EE83" w14:textId="77777777" w:rsidR="001068A4" w:rsidRPr="00CB239D" w:rsidRDefault="001068A4" w:rsidP="004F60A2">
            <w:pPr>
              <w:spacing w:before="120" w:after="120"/>
              <w:rPr>
                <w:b/>
                <w:sz w:val="18"/>
                <w:szCs w:val="18"/>
              </w:rPr>
            </w:pPr>
            <w:r w:rsidRPr="00CB239D">
              <w:rPr>
                <w:b/>
                <w:sz w:val="18"/>
                <w:szCs w:val="18"/>
              </w:rPr>
              <w:t>Prospective, Non-Randomized Study</w:t>
            </w:r>
          </w:p>
        </w:tc>
      </w:tr>
    </w:tbl>
    <w:p w14:paraId="0B2A4EC0" w14:textId="712B4096" w:rsidR="00FF658E" w:rsidRPr="00CB239D" w:rsidRDefault="00FF658E" w:rsidP="00FF658E">
      <w:pPr>
        <w:spacing w:before="120" w:after="120"/>
        <w:rPr>
          <w:sz w:val="18"/>
          <w:szCs w:val="18"/>
        </w:rPr>
      </w:pPr>
      <w:r w:rsidRPr="00CB239D">
        <w:rPr>
          <w:sz w:val="18"/>
          <w:szCs w:val="18"/>
        </w:rPr>
        <w:t xml:space="preserve">^Scoring does not include </w:t>
      </w:r>
      <w:r w:rsidR="00D57A21" w:rsidRPr="00CB239D">
        <w:rPr>
          <w:sz w:val="18"/>
          <w:szCs w:val="18"/>
        </w:rPr>
        <w:t>therapist-administered</w:t>
      </w:r>
      <w:r w:rsidRPr="00CB239D">
        <w:rPr>
          <w:sz w:val="18"/>
          <w:szCs w:val="18"/>
        </w:rPr>
        <w:t xml:space="preserve"> therapy</w:t>
      </w:r>
    </w:p>
    <w:p w14:paraId="711BCBA0" w14:textId="77777777" w:rsidR="00FF658E" w:rsidRPr="00CB239D" w:rsidRDefault="00FF658E" w:rsidP="00FF658E">
      <w:pPr>
        <w:spacing w:before="120" w:after="120"/>
        <w:rPr>
          <w:sz w:val="18"/>
          <w:szCs w:val="18"/>
        </w:rPr>
      </w:pPr>
      <w:r w:rsidRPr="00CB239D">
        <w:rPr>
          <w:sz w:val="18"/>
          <w:szCs w:val="18"/>
        </w:rPr>
        <w:t>^^Scoring does not include power analysis</w:t>
      </w:r>
    </w:p>
    <w:p w14:paraId="6FD9A20A" w14:textId="77777777" w:rsidR="00FF658E" w:rsidRPr="00CB239D" w:rsidRDefault="00FF658E" w:rsidP="00D76272">
      <w:pPr>
        <w:spacing w:before="120" w:after="120"/>
        <w:rPr>
          <w:sz w:val="18"/>
          <w:szCs w:val="18"/>
        </w:rPr>
      </w:pPr>
    </w:p>
    <w:p w14:paraId="79B18FF8" w14:textId="77777777" w:rsidR="00D76272" w:rsidRPr="00CB239D" w:rsidRDefault="00D76272" w:rsidP="00D76272">
      <w:pPr>
        <w:spacing w:before="120" w:after="120"/>
        <w:rPr>
          <w:sz w:val="18"/>
          <w:szCs w:val="18"/>
        </w:rPr>
      </w:pPr>
      <w:r w:rsidRPr="00CB239D">
        <w:rPr>
          <w:sz w:val="18"/>
          <w:szCs w:val="18"/>
        </w:rPr>
        <w:t>*Indicate tool name and score</w:t>
      </w:r>
    </w:p>
    <w:p w14:paraId="2BED1248" w14:textId="77777777" w:rsidR="00D76272" w:rsidRPr="00CB239D" w:rsidRDefault="00D76272" w:rsidP="00D76272">
      <w:pPr>
        <w:spacing w:before="120" w:after="120"/>
        <w:rPr>
          <w:sz w:val="18"/>
          <w:szCs w:val="18"/>
        </w:rPr>
      </w:pPr>
      <w:r w:rsidRPr="00CB239D">
        <w:rPr>
          <w:sz w:val="18"/>
          <w:szCs w:val="18"/>
        </w:rPr>
        <w:t xml:space="preserve">**Use </w:t>
      </w:r>
      <w:proofErr w:type="spellStart"/>
      <w:r w:rsidRPr="00CB239D">
        <w:rPr>
          <w:sz w:val="18"/>
          <w:szCs w:val="18"/>
        </w:rPr>
        <w:t>Portney</w:t>
      </w:r>
      <w:proofErr w:type="spellEnd"/>
      <w:r w:rsidRPr="00CB239D">
        <w:rPr>
          <w:sz w:val="18"/>
          <w:szCs w:val="18"/>
        </w:rPr>
        <w:t xml:space="preserve"> &amp; Watkins Table 16.1 (2009); if downgraded, indicate reason why</w:t>
      </w:r>
    </w:p>
    <w:p w14:paraId="40E3314B" w14:textId="77777777" w:rsidR="00D76272" w:rsidRPr="00CB239D" w:rsidRDefault="00D76272" w:rsidP="00D76272">
      <w:pPr>
        <w:spacing w:before="120" w:after="120"/>
        <w:rPr>
          <w:b/>
          <w:sz w:val="18"/>
          <w:szCs w:val="18"/>
        </w:rPr>
      </w:pPr>
    </w:p>
    <w:p w14:paraId="66E6DB9E" w14:textId="77777777" w:rsidR="001C5A94" w:rsidRPr="00CB239D" w:rsidRDefault="001403EC" w:rsidP="001C5A94">
      <w:pPr>
        <w:spacing w:before="120" w:after="120"/>
        <w:rPr>
          <w:b/>
          <w:sz w:val="18"/>
          <w:szCs w:val="18"/>
        </w:rPr>
      </w:pPr>
      <w:r w:rsidRPr="00CB239D">
        <w:rPr>
          <w:b/>
          <w:sz w:val="18"/>
          <w:szCs w:val="18"/>
        </w:rPr>
        <w:t>BEST EVIDENCE</w:t>
      </w:r>
    </w:p>
    <w:p w14:paraId="41842047" w14:textId="77777777" w:rsidR="001D4F60" w:rsidRPr="00CB239D" w:rsidRDefault="001D4F60" w:rsidP="001D4F60">
      <w:pPr>
        <w:spacing w:before="120" w:after="120"/>
        <w:rPr>
          <w:sz w:val="18"/>
          <w:szCs w:val="18"/>
        </w:rPr>
      </w:pPr>
      <w:r w:rsidRPr="00CB239D">
        <w:rPr>
          <w:sz w:val="18"/>
          <w:szCs w:val="18"/>
        </w:rPr>
        <w:t xml:space="preserve">The following </w:t>
      </w:r>
      <w:r w:rsidR="0000738B" w:rsidRPr="00CB239D">
        <w:rPr>
          <w:sz w:val="18"/>
          <w:szCs w:val="18"/>
        </w:rPr>
        <w:t>2</w:t>
      </w:r>
      <w:r w:rsidRPr="00CB239D">
        <w:rPr>
          <w:sz w:val="18"/>
          <w:szCs w:val="18"/>
        </w:rPr>
        <w:t xml:space="preserve"> studies were identified as the ‘best’ evidence and selected for critical appraisal.  </w:t>
      </w:r>
      <w:r w:rsidR="0000738B" w:rsidRPr="00CB239D">
        <w:rPr>
          <w:sz w:val="18"/>
          <w:szCs w:val="18"/>
        </w:rPr>
        <w:t>Rationale</w:t>
      </w:r>
      <w:r w:rsidRPr="00CB239D">
        <w:rPr>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CB239D" w14:paraId="586DBCF1" w14:textId="77777777" w:rsidTr="002F16E1">
        <w:tc>
          <w:tcPr>
            <w:tcW w:w="10421" w:type="dxa"/>
            <w:shd w:val="clear" w:color="auto" w:fill="auto"/>
          </w:tcPr>
          <w:p w14:paraId="04D72282" w14:textId="77777777" w:rsidR="001068A4" w:rsidRPr="00CB239D" w:rsidRDefault="001068A4" w:rsidP="001068A4">
            <w:pPr>
              <w:numPr>
                <w:ilvl w:val="0"/>
                <w:numId w:val="12"/>
              </w:numPr>
              <w:spacing w:before="120" w:after="120"/>
              <w:rPr>
                <w:b/>
                <w:sz w:val="18"/>
                <w:szCs w:val="18"/>
              </w:rPr>
            </w:pPr>
            <w:r w:rsidRPr="00CB239D">
              <w:rPr>
                <w:b/>
                <w:sz w:val="18"/>
                <w:szCs w:val="18"/>
              </w:rPr>
              <w:t>Mahindra (2016)</w:t>
            </w:r>
            <w:r w:rsidRPr="00CB239D">
              <w:rPr>
                <w:b/>
                <w:sz w:val="18"/>
                <w:szCs w:val="18"/>
                <w:vertAlign w:val="superscript"/>
              </w:rPr>
              <w:t xml:space="preserve"> </w:t>
            </w:r>
            <w:r w:rsidRPr="00CB239D">
              <w:rPr>
                <w:b/>
                <w:sz w:val="18"/>
                <w:szCs w:val="18"/>
              </w:rPr>
              <w:t xml:space="preserve">-This is the only randomized controlled trial that was found during the search. It has an extremely low risk of bias as evidenced by the </w:t>
            </w:r>
            <w:proofErr w:type="spellStart"/>
            <w:r w:rsidRPr="00CB239D">
              <w:rPr>
                <w:b/>
                <w:sz w:val="18"/>
                <w:szCs w:val="18"/>
              </w:rPr>
              <w:t>PEDro</w:t>
            </w:r>
            <w:proofErr w:type="spellEnd"/>
            <w:r w:rsidRPr="00CB239D">
              <w:rPr>
                <w:b/>
                <w:sz w:val="18"/>
                <w:szCs w:val="18"/>
              </w:rPr>
              <w:t xml:space="preserve"> scale and has a sample size that is larger than most of the other studies (25 subjects in each group). This study uses both the VAS score and the AOFAS, which effectively evaluates the entirety of the subjects’ change and presentation.</w:t>
            </w:r>
          </w:p>
          <w:p w14:paraId="4C53791E" w14:textId="77777777" w:rsidR="001068A4" w:rsidRPr="00CB239D" w:rsidRDefault="001068A4" w:rsidP="001068A4">
            <w:pPr>
              <w:numPr>
                <w:ilvl w:val="0"/>
                <w:numId w:val="12"/>
              </w:numPr>
              <w:spacing w:before="120" w:after="120"/>
              <w:rPr>
                <w:b/>
                <w:sz w:val="18"/>
                <w:szCs w:val="18"/>
              </w:rPr>
            </w:pPr>
            <w:r w:rsidRPr="00CB239D">
              <w:rPr>
                <w:b/>
                <w:sz w:val="18"/>
                <w:szCs w:val="18"/>
              </w:rPr>
              <w:t>Singh (2017)</w:t>
            </w:r>
            <w:r w:rsidRPr="00CB239D">
              <w:rPr>
                <w:b/>
                <w:sz w:val="18"/>
                <w:szCs w:val="18"/>
                <w:vertAlign w:val="superscript"/>
              </w:rPr>
              <w:t xml:space="preserve"> </w:t>
            </w:r>
            <w:r w:rsidRPr="00CB239D">
              <w:rPr>
                <w:b/>
                <w:sz w:val="18"/>
                <w:szCs w:val="18"/>
              </w:rPr>
              <w:t>-This is a systematic review and meta-analysis that includes most of the articles that were reviewed. It has a low risk of bias as determined by the AMSTAR tool.</w:t>
            </w:r>
          </w:p>
          <w:p w14:paraId="395A4DF7" w14:textId="77777777" w:rsidR="005458B8" w:rsidRPr="00CB239D" w:rsidRDefault="005458B8" w:rsidP="001068A4">
            <w:pPr>
              <w:spacing w:before="120" w:after="120"/>
              <w:rPr>
                <w:b/>
                <w:sz w:val="18"/>
                <w:szCs w:val="18"/>
              </w:rPr>
            </w:pPr>
          </w:p>
        </w:tc>
      </w:tr>
    </w:tbl>
    <w:p w14:paraId="04F65CF2" w14:textId="77777777" w:rsidR="0011199B" w:rsidRPr="00CB239D" w:rsidRDefault="001403EC" w:rsidP="0011199B">
      <w:pPr>
        <w:spacing w:before="120" w:after="120"/>
        <w:rPr>
          <w:b/>
          <w:sz w:val="18"/>
          <w:szCs w:val="18"/>
        </w:rPr>
      </w:pPr>
      <w:r w:rsidRPr="00CB239D">
        <w:rPr>
          <w:b/>
          <w:sz w:val="18"/>
          <w:szCs w:val="18"/>
        </w:rPr>
        <w:t>SUMMARY OF BEST EVIDENCE</w:t>
      </w:r>
    </w:p>
    <w:p w14:paraId="7A5858E6" w14:textId="089DA263" w:rsidR="001403EC" w:rsidRPr="00CB239D" w:rsidRDefault="001D4F60" w:rsidP="001D4F60">
      <w:pPr>
        <w:spacing w:before="240" w:after="240"/>
        <w:rPr>
          <w:b/>
          <w:sz w:val="18"/>
          <w:szCs w:val="18"/>
        </w:rPr>
      </w:pPr>
      <w:r w:rsidRPr="00CB239D">
        <w:rPr>
          <w:b/>
          <w:sz w:val="18"/>
          <w:szCs w:val="18"/>
        </w:rPr>
        <w:lastRenderedPageBreak/>
        <w:t xml:space="preserve">(1) </w:t>
      </w:r>
      <w:r w:rsidR="001403EC" w:rsidRPr="00CB239D">
        <w:rPr>
          <w:b/>
          <w:sz w:val="18"/>
          <w:szCs w:val="18"/>
        </w:rPr>
        <w:t xml:space="preserve">Description and appraisal of </w:t>
      </w:r>
      <w:r w:rsidR="00FD1BD9" w:rsidRPr="00CB239D">
        <w:rPr>
          <w:b/>
          <w:sz w:val="18"/>
          <w:szCs w:val="18"/>
        </w:rPr>
        <w:t xml:space="preserve">Chronic Plantar Fasciitis: Effect of Platelet-Rich plasma, Corticosteroid, and Placebo by Mahindra P, </w:t>
      </w:r>
      <w:proofErr w:type="spellStart"/>
      <w:r w:rsidR="00FD1BD9" w:rsidRPr="00CB239D">
        <w:rPr>
          <w:b/>
          <w:sz w:val="18"/>
          <w:szCs w:val="18"/>
        </w:rPr>
        <w:t>Yami</w:t>
      </w:r>
      <w:r w:rsidR="00B12E81" w:rsidRPr="00CB239D">
        <w:rPr>
          <w:b/>
          <w:sz w:val="18"/>
          <w:szCs w:val="18"/>
        </w:rPr>
        <w:t>n</w:t>
      </w:r>
      <w:proofErr w:type="spellEnd"/>
      <w:r w:rsidR="00B12E81" w:rsidRPr="00CB239D">
        <w:rPr>
          <w:b/>
          <w:sz w:val="18"/>
          <w:szCs w:val="18"/>
        </w:rPr>
        <w:t xml:space="preserve"> M, </w:t>
      </w:r>
      <w:proofErr w:type="spellStart"/>
      <w:r w:rsidR="00B12E81" w:rsidRPr="00CB239D">
        <w:rPr>
          <w:b/>
          <w:sz w:val="18"/>
          <w:szCs w:val="18"/>
        </w:rPr>
        <w:t>Selhi</w:t>
      </w:r>
      <w:proofErr w:type="spellEnd"/>
      <w:r w:rsidR="00B12E81" w:rsidRPr="00CB239D">
        <w:rPr>
          <w:b/>
          <w:sz w:val="18"/>
          <w:szCs w:val="18"/>
        </w:rPr>
        <w:t xml:space="preserve"> HS, </w:t>
      </w:r>
      <w:proofErr w:type="spellStart"/>
      <w:r w:rsidR="00B12E81" w:rsidRPr="00CB239D">
        <w:rPr>
          <w:b/>
          <w:sz w:val="18"/>
          <w:szCs w:val="18"/>
        </w:rPr>
        <w:t>Singla</w:t>
      </w:r>
      <w:proofErr w:type="spellEnd"/>
      <w:r w:rsidR="00B12E81" w:rsidRPr="00CB239D">
        <w:rPr>
          <w:b/>
          <w:sz w:val="18"/>
          <w:szCs w:val="18"/>
        </w:rPr>
        <w:t xml:space="preserve"> S, and </w:t>
      </w:r>
      <w:proofErr w:type="spellStart"/>
      <w:r w:rsidR="00B12E81" w:rsidRPr="00CB239D">
        <w:rPr>
          <w:b/>
          <w:sz w:val="18"/>
          <w:szCs w:val="18"/>
        </w:rPr>
        <w:t>Soni</w:t>
      </w:r>
      <w:proofErr w:type="spellEnd"/>
      <w:r w:rsidR="00B12E81" w:rsidRPr="00CB239D">
        <w:rPr>
          <w:b/>
          <w:sz w:val="18"/>
          <w:szCs w:val="18"/>
        </w:rPr>
        <w:t xml:space="preserve"> A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B239D" w14:paraId="73B581D8" w14:textId="77777777" w:rsidTr="001D4F60">
        <w:tc>
          <w:tcPr>
            <w:tcW w:w="10421" w:type="dxa"/>
            <w:shd w:val="clear" w:color="auto" w:fill="E6E6E6"/>
          </w:tcPr>
          <w:p w14:paraId="2A57571B" w14:textId="77777777" w:rsidR="001D4F60" w:rsidRPr="00CB239D" w:rsidRDefault="001D4F60" w:rsidP="009E380F">
            <w:pPr>
              <w:spacing w:before="120" w:after="120"/>
              <w:rPr>
                <w:b/>
                <w:sz w:val="18"/>
                <w:szCs w:val="18"/>
              </w:rPr>
            </w:pPr>
            <w:r w:rsidRPr="00CB239D">
              <w:rPr>
                <w:b/>
                <w:sz w:val="18"/>
                <w:szCs w:val="18"/>
              </w:rPr>
              <w:t>Aim/Objective of the Study/Systematic Review:</w:t>
            </w:r>
          </w:p>
        </w:tc>
      </w:tr>
      <w:tr w:rsidR="001D4F60" w:rsidRPr="00CB239D" w14:paraId="4DE20989" w14:textId="77777777" w:rsidTr="001D4F60">
        <w:tc>
          <w:tcPr>
            <w:tcW w:w="10421" w:type="dxa"/>
            <w:tcBorders>
              <w:bottom w:val="single" w:sz="4" w:space="0" w:color="auto"/>
            </w:tcBorders>
            <w:shd w:val="clear" w:color="auto" w:fill="auto"/>
          </w:tcPr>
          <w:p w14:paraId="146C0035" w14:textId="100A8DFC" w:rsidR="00E03E9F" w:rsidRPr="00CB239D" w:rsidRDefault="00E03E9F" w:rsidP="001068A4">
            <w:pPr>
              <w:spacing w:before="120" w:after="120"/>
              <w:rPr>
                <w:sz w:val="18"/>
                <w:szCs w:val="18"/>
              </w:rPr>
            </w:pPr>
            <w:r w:rsidRPr="00CB239D">
              <w:rPr>
                <w:sz w:val="18"/>
                <w:szCs w:val="18"/>
              </w:rPr>
              <w:t>This study examines the effects that corticosteroids, platelet rich plasma, and placebo injections have on individuals with chronic plantar fasciitis.</w:t>
            </w:r>
          </w:p>
          <w:p w14:paraId="5C9F69E8" w14:textId="77777777" w:rsidR="001D4F60" w:rsidRPr="00CB239D" w:rsidRDefault="001D4F60" w:rsidP="009E380F">
            <w:pPr>
              <w:spacing w:before="120" w:after="120"/>
              <w:rPr>
                <w:sz w:val="18"/>
                <w:szCs w:val="18"/>
              </w:rPr>
            </w:pPr>
          </w:p>
          <w:p w14:paraId="6AAEC5AA" w14:textId="77777777" w:rsidR="001D4F60" w:rsidRPr="00CB239D" w:rsidRDefault="001D4F60" w:rsidP="009E380F">
            <w:pPr>
              <w:spacing w:before="120" w:after="120"/>
              <w:jc w:val="right"/>
              <w:rPr>
                <w:sz w:val="18"/>
                <w:szCs w:val="18"/>
              </w:rPr>
            </w:pPr>
          </w:p>
        </w:tc>
      </w:tr>
      <w:tr w:rsidR="001D4F60" w:rsidRPr="00CB239D" w14:paraId="141DFF44" w14:textId="77777777" w:rsidTr="001D4F60">
        <w:tc>
          <w:tcPr>
            <w:tcW w:w="10421" w:type="dxa"/>
            <w:shd w:val="clear" w:color="auto" w:fill="E6E6E6"/>
          </w:tcPr>
          <w:p w14:paraId="7394B37E" w14:textId="77777777" w:rsidR="001D4F60" w:rsidRPr="00CB239D" w:rsidRDefault="001D4F60" w:rsidP="009E380F">
            <w:pPr>
              <w:spacing w:before="120" w:after="120"/>
              <w:jc w:val="both"/>
              <w:rPr>
                <w:b/>
                <w:sz w:val="18"/>
                <w:szCs w:val="18"/>
              </w:rPr>
            </w:pPr>
            <w:r w:rsidRPr="00CB239D">
              <w:rPr>
                <w:b/>
                <w:sz w:val="18"/>
                <w:szCs w:val="18"/>
              </w:rPr>
              <w:t>Study Design</w:t>
            </w:r>
          </w:p>
          <w:p w14:paraId="2AB6EA1A" w14:textId="77777777" w:rsidR="001D4F60" w:rsidRPr="00CB239D" w:rsidRDefault="001D4F60" w:rsidP="009E380F">
            <w:pPr>
              <w:spacing w:before="120" w:after="120"/>
              <w:jc w:val="both"/>
              <w:rPr>
                <w:sz w:val="18"/>
                <w:szCs w:val="18"/>
              </w:rPr>
            </w:pPr>
            <w:r w:rsidRPr="00CB239D">
              <w:rPr>
                <w:sz w:val="18"/>
                <w:szCs w:val="18"/>
              </w:rPr>
              <w:t>[</w:t>
            </w:r>
            <w:proofErr w:type="gramStart"/>
            <w:r w:rsidRPr="00CB239D">
              <w:rPr>
                <w:sz w:val="18"/>
                <w:szCs w:val="18"/>
              </w:rPr>
              <w:t>e</w:t>
            </w:r>
            <w:proofErr w:type="gramEnd"/>
            <w:r w:rsidRPr="00CB239D">
              <w:rPr>
                <w:sz w:val="18"/>
                <w:szCs w:val="18"/>
              </w:rPr>
              <w:t>.g., systematic review, cohort, randomised controlled trial, qualitative study, grounded theory.  Includes information about study characteristics such as blinding and allocation concealment.  When were outcomes measured, if relevant]</w:t>
            </w:r>
          </w:p>
          <w:p w14:paraId="463FAEB4" w14:textId="77777777" w:rsidR="001D4F60" w:rsidRPr="00CB239D" w:rsidRDefault="001D4F60" w:rsidP="009E380F">
            <w:pPr>
              <w:spacing w:before="120" w:after="120"/>
              <w:jc w:val="both"/>
              <w:rPr>
                <w:sz w:val="18"/>
                <w:szCs w:val="18"/>
              </w:rPr>
            </w:pPr>
            <w:r w:rsidRPr="00CB239D">
              <w:rPr>
                <w:sz w:val="18"/>
                <w:szCs w:val="18"/>
              </w:rPr>
              <w:t>Note: For systematic review, use headings ‘search strategy’, ‘selection criteria’, ‘methods’ etc.  For qualitative studies, identify data collection/analyses methods.</w:t>
            </w:r>
          </w:p>
        </w:tc>
      </w:tr>
      <w:tr w:rsidR="001D4F60" w:rsidRPr="00CB239D" w14:paraId="0A8254DC" w14:textId="77777777" w:rsidTr="001D4F60">
        <w:tc>
          <w:tcPr>
            <w:tcW w:w="10421" w:type="dxa"/>
            <w:tcBorders>
              <w:bottom w:val="single" w:sz="4" w:space="0" w:color="auto"/>
            </w:tcBorders>
            <w:shd w:val="clear" w:color="auto" w:fill="auto"/>
          </w:tcPr>
          <w:p w14:paraId="0DAA57BE" w14:textId="529A5B8B" w:rsidR="001068A4" w:rsidRPr="00CB239D" w:rsidRDefault="001068A4" w:rsidP="00591B95">
            <w:pPr>
              <w:pStyle w:val="ListParagraph"/>
              <w:numPr>
                <w:ilvl w:val="0"/>
                <w:numId w:val="27"/>
              </w:numPr>
              <w:spacing w:before="120" w:after="120"/>
              <w:rPr>
                <w:rFonts w:ascii="Verdana" w:hAnsi="Verdana"/>
                <w:sz w:val="18"/>
                <w:szCs w:val="18"/>
              </w:rPr>
            </w:pPr>
            <w:r w:rsidRPr="00CB239D">
              <w:rPr>
                <w:rFonts w:ascii="Verdana" w:hAnsi="Verdana"/>
                <w:sz w:val="18"/>
                <w:szCs w:val="18"/>
              </w:rPr>
              <w:t>A double blinded, randomized controlled trial</w:t>
            </w:r>
          </w:p>
          <w:p w14:paraId="5AF4D6C9" w14:textId="06FB2253" w:rsidR="001068A4" w:rsidRPr="00CB239D" w:rsidRDefault="001068A4" w:rsidP="00E03E9F">
            <w:pPr>
              <w:pStyle w:val="ListParagraph"/>
              <w:numPr>
                <w:ilvl w:val="0"/>
                <w:numId w:val="16"/>
              </w:numPr>
              <w:spacing w:before="120" w:after="120"/>
              <w:rPr>
                <w:rFonts w:ascii="Verdana" w:hAnsi="Verdana"/>
                <w:sz w:val="18"/>
                <w:szCs w:val="18"/>
              </w:rPr>
            </w:pPr>
            <w:r w:rsidRPr="00CB239D">
              <w:rPr>
                <w:rFonts w:ascii="Verdana" w:hAnsi="Verdana"/>
                <w:b/>
                <w:sz w:val="18"/>
                <w:szCs w:val="18"/>
              </w:rPr>
              <w:t>Eligibility Criteria</w:t>
            </w:r>
            <w:r w:rsidRPr="00CB239D">
              <w:rPr>
                <w:rFonts w:ascii="Verdana" w:hAnsi="Verdana"/>
                <w:sz w:val="18"/>
                <w:szCs w:val="18"/>
              </w:rPr>
              <w:t xml:space="preserve">: </w:t>
            </w:r>
            <w:r w:rsidR="00E03E9F" w:rsidRPr="00CB239D">
              <w:rPr>
                <w:rFonts w:ascii="Verdana" w:hAnsi="Verdana"/>
                <w:sz w:val="18"/>
                <w:szCs w:val="18"/>
              </w:rPr>
              <w:t>Individuals</w:t>
            </w:r>
            <w:r w:rsidRPr="00CB239D">
              <w:rPr>
                <w:rFonts w:ascii="Verdana" w:hAnsi="Verdana"/>
                <w:sz w:val="18"/>
                <w:szCs w:val="18"/>
              </w:rPr>
              <w:t xml:space="preserve"> </w:t>
            </w:r>
            <w:r w:rsidR="00E03E9F" w:rsidRPr="00CB239D">
              <w:rPr>
                <w:rFonts w:ascii="Verdana" w:hAnsi="Verdana"/>
                <w:sz w:val="18"/>
                <w:szCs w:val="18"/>
              </w:rPr>
              <w:t xml:space="preserve">that </w:t>
            </w:r>
            <w:r w:rsidRPr="00CB239D">
              <w:rPr>
                <w:rFonts w:ascii="Verdana" w:hAnsi="Verdana"/>
                <w:sz w:val="18"/>
                <w:szCs w:val="18"/>
              </w:rPr>
              <w:t xml:space="preserve">did not respond to at least 3 months of standardized plantar fasciitis </w:t>
            </w:r>
            <w:r w:rsidR="00E03E9F" w:rsidRPr="00CB239D">
              <w:rPr>
                <w:rFonts w:ascii="Verdana" w:hAnsi="Verdana"/>
                <w:sz w:val="18"/>
                <w:szCs w:val="18"/>
              </w:rPr>
              <w:t>treatment, which included</w:t>
            </w:r>
            <w:r w:rsidRPr="00CB239D">
              <w:rPr>
                <w:rFonts w:ascii="Verdana" w:hAnsi="Verdana"/>
                <w:sz w:val="18"/>
                <w:szCs w:val="18"/>
              </w:rPr>
              <w:t xml:space="preserve"> physical therapy,</w:t>
            </w:r>
            <w:r w:rsidR="00E03E9F" w:rsidRPr="00CB239D">
              <w:rPr>
                <w:rFonts w:ascii="Verdana" w:hAnsi="Verdana"/>
                <w:sz w:val="18"/>
                <w:szCs w:val="18"/>
              </w:rPr>
              <w:t xml:space="preserve"> bracing, orthotics, and NSAIDs. </w:t>
            </w:r>
            <w:r w:rsidRPr="00CB239D">
              <w:rPr>
                <w:rFonts w:ascii="Verdana" w:hAnsi="Verdana"/>
                <w:sz w:val="18"/>
                <w:szCs w:val="18"/>
              </w:rPr>
              <w:t xml:space="preserve">Plantar fasciitis was diagnosed by </w:t>
            </w:r>
            <w:r w:rsidR="00E03E9F" w:rsidRPr="00CB239D">
              <w:rPr>
                <w:rFonts w:ascii="Verdana" w:hAnsi="Verdana"/>
                <w:sz w:val="18"/>
                <w:szCs w:val="18"/>
              </w:rPr>
              <w:t>a physical examination and their subjective history.</w:t>
            </w:r>
          </w:p>
          <w:p w14:paraId="7DE0B0C9" w14:textId="29E2EC5C" w:rsidR="001068A4" w:rsidRPr="00CB239D" w:rsidRDefault="001068A4" w:rsidP="001068A4">
            <w:pPr>
              <w:pStyle w:val="ListParagraph"/>
              <w:numPr>
                <w:ilvl w:val="0"/>
                <w:numId w:val="16"/>
              </w:numPr>
              <w:spacing w:before="120" w:after="120"/>
              <w:rPr>
                <w:rFonts w:ascii="Verdana" w:hAnsi="Verdana"/>
                <w:sz w:val="18"/>
                <w:szCs w:val="18"/>
              </w:rPr>
            </w:pPr>
            <w:r w:rsidRPr="00CB239D">
              <w:rPr>
                <w:rFonts w:ascii="Verdana" w:hAnsi="Verdana"/>
                <w:b/>
                <w:sz w:val="18"/>
                <w:szCs w:val="18"/>
              </w:rPr>
              <w:t>Allocation</w:t>
            </w:r>
            <w:r w:rsidRPr="00CB239D">
              <w:rPr>
                <w:rFonts w:ascii="Verdana" w:hAnsi="Verdana"/>
                <w:sz w:val="18"/>
                <w:szCs w:val="18"/>
              </w:rPr>
              <w:t>: Authors randomized participants into 3 groups with the use of a computer derived random charts. Group</w:t>
            </w:r>
            <w:r w:rsidR="001708E8" w:rsidRPr="00CB239D">
              <w:rPr>
                <w:rFonts w:ascii="Verdana" w:hAnsi="Verdana"/>
                <w:sz w:val="18"/>
                <w:szCs w:val="18"/>
              </w:rPr>
              <w:t>s</w:t>
            </w:r>
            <w:r w:rsidRPr="00CB239D">
              <w:rPr>
                <w:rFonts w:ascii="Verdana" w:hAnsi="Verdana"/>
                <w:sz w:val="18"/>
                <w:szCs w:val="18"/>
              </w:rPr>
              <w:t xml:space="preserve"> included a platelet rich plasma group</w:t>
            </w:r>
            <w:r w:rsidR="00D47914" w:rsidRPr="00CB239D">
              <w:rPr>
                <w:rFonts w:ascii="Verdana" w:hAnsi="Verdana"/>
                <w:sz w:val="18"/>
                <w:szCs w:val="18"/>
              </w:rPr>
              <w:t xml:space="preserve"> (group A), </w:t>
            </w:r>
            <w:r w:rsidRPr="00CB239D">
              <w:rPr>
                <w:rFonts w:ascii="Verdana" w:hAnsi="Verdana"/>
                <w:sz w:val="18"/>
                <w:szCs w:val="18"/>
              </w:rPr>
              <w:t>corticosteroid group</w:t>
            </w:r>
            <w:r w:rsidR="00D47914" w:rsidRPr="00CB239D">
              <w:rPr>
                <w:rFonts w:ascii="Verdana" w:hAnsi="Verdana"/>
                <w:sz w:val="18"/>
                <w:szCs w:val="18"/>
              </w:rPr>
              <w:t xml:space="preserve"> (group B)</w:t>
            </w:r>
            <w:r w:rsidRPr="00CB239D">
              <w:rPr>
                <w:rFonts w:ascii="Verdana" w:hAnsi="Verdana"/>
                <w:sz w:val="18"/>
                <w:szCs w:val="18"/>
              </w:rPr>
              <w:t>, and saline group</w:t>
            </w:r>
            <w:r w:rsidR="00D47914" w:rsidRPr="00CB239D">
              <w:rPr>
                <w:rFonts w:ascii="Verdana" w:hAnsi="Verdana"/>
                <w:sz w:val="18"/>
                <w:szCs w:val="18"/>
              </w:rPr>
              <w:t xml:space="preserve"> (group C)</w:t>
            </w:r>
            <w:r w:rsidRPr="00CB239D">
              <w:rPr>
                <w:rFonts w:ascii="Verdana" w:hAnsi="Verdana"/>
                <w:sz w:val="18"/>
                <w:szCs w:val="18"/>
              </w:rPr>
              <w:t>.</w:t>
            </w:r>
          </w:p>
          <w:p w14:paraId="5B4988CC" w14:textId="51BE39E8" w:rsidR="00162C9B" w:rsidRPr="00CB239D" w:rsidRDefault="001068A4" w:rsidP="008500DD">
            <w:pPr>
              <w:pStyle w:val="ListParagraph"/>
              <w:numPr>
                <w:ilvl w:val="0"/>
                <w:numId w:val="16"/>
              </w:numPr>
              <w:spacing w:before="120" w:after="120"/>
              <w:rPr>
                <w:rFonts w:ascii="Verdana" w:hAnsi="Verdana"/>
                <w:sz w:val="18"/>
                <w:szCs w:val="18"/>
              </w:rPr>
            </w:pPr>
            <w:r w:rsidRPr="00CB239D">
              <w:rPr>
                <w:rFonts w:ascii="Verdana" w:hAnsi="Verdana"/>
                <w:b/>
                <w:sz w:val="18"/>
                <w:szCs w:val="18"/>
              </w:rPr>
              <w:t>Intervention</w:t>
            </w:r>
            <w:r w:rsidRPr="00CB239D">
              <w:rPr>
                <w:rFonts w:ascii="Verdana" w:hAnsi="Verdana"/>
                <w:sz w:val="18"/>
                <w:szCs w:val="18"/>
              </w:rPr>
              <w:t xml:space="preserve">: </w:t>
            </w:r>
            <w:r w:rsidR="00162C9B" w:rsidRPr="00CB239D">
              <w:rPr>
                <w:rFonts w:ascii="Verdana" w:hAnsi="Verdana"/>
                <w:sz w:val="18"/>
                <w:szCs w:val="18"/>
              </w:rPr>
              <w:t xml:space="preserve">Group A was injected with 2.5-3mL of PRP, group B was injected with 2mL of corticosteroids, and group C was injected with </w:t>
            </w:r>
            <w:r w:rsidR="00D32067" w:rsidRPr="00CB239D">
              <w:rPr>
                <w:rFonts w:ascii="Verdana" w:hAnsi="Verdana"/>
                <w:sz w:val="18"/>
                <w:szCs w:val="18"/>
              </w:rPr>
              <w:t xml:space="preserve">unknown amount of </w:t>
            </w:r>
            <w:r w:rsidR="00162C9B" w:rsidRPr="00CB239D">
              <w:rPr>
                <w:rFonts w:ascii="Verdana" w:hAnsi="Verdana"/>
                <w:sz w:val="18"/>
                <w:szCs w:val="18"/>
              </w:rPr>
              <w:t>saline.</w:t>
            </w:r>
            <w:r w:rsidR="007D0CB9" w:rsidRPr="00CB239D">
              <w:rPr>
                <w:rFonts w:ascii="Verdana" w:hAnsi="Verdana"/>
                <w:sz w:val="18"/>
                <w:szCs w:val="18"/>
              </w:rPr>
              <w:t xml:space="preserve"> </w:t>
            </w:r>
          </w:p>
          <w:p w14:paraId="531EDB5F" w14:textId="06C9084F" w:rsidR="001068A4" w:rsidRPr="00CB239D" w:rsidRDefault="001068A4" w:rsidP="001068A4">
            <w:pPr>
              <w:pStyle w:val="ListParagraph"/>
              <w:numPr>
                <w:ilvl w:val="0"/>
                <w:numId w:val="16"/>
              </w:numPr>
              <w:spacing w:before="120" w:after="120"/>
              <w:rPr>
                <w:rFonts w:ascii="Verdana" w:hAnsi="Verdana"/>
                <w:sz w:val="18"/>
                <w:szCs w:val="18"/>
              </w:rPr>
            </w:pPr>
            <w:r w:rsidRPr="00CB239D">
              <w:rPr>
                <w:rFonts w:ascii="Verdana" w:hAnsi="Verdana"/>
                <w:b/>
                <w:sz w:val="18"/>
                <w:szCs w:val="18"/>
              </w:rPr>
              <w:t>Data</w:t>
            </w:r>
            <w:r w:rsidRPr="00CB239D">
              <w:rPr>
                <w:rFonts w:ascii="Verdana" w:hAnsi="Verdana"/>
                <w:sz w:val="18"/>
                <w:szCs w:val="18"/>
              </w:rPr>
              <w:t xml:space="preserve"> </w:t>
            </w:r>
            <w:r w:rsidRPr="00CB239D">
              <w:rPr>
                <w:rFonts w:ascii="Verdana" w:hAnsi="Verdana"/>
                <w:b/>
                <w:sz w:val="18"/>
                <w:szCs w:val="18"/>
              </w:rPr>
              <w:t>Collection</w:t>
            </w:r>
            <w:r w:rsidRPr="00CB239D">
              <w:rPr>
                <w:rFonts w:ascii="Verdana" w:hAnsi="Verdana"/>
                <w:sz w:val="18"/>
                <w:szCs w:val="18"/>
              </w:rPr>
              <w:t>:</w:t>
            </w:r>
            <w:r w:rsidR="002A6F59" w:rsidRPr="00CB239D">
              <w:rPr>
                <w:rFonts w:ascii="Verdana" w:hAnsi="Verdana"/>
                <w:sz w:val="18"/>
                <w:szCs w:val="18"/>
              </w:rPr>
              <w:t xml:space="preserve"> Patient assessments were made at</w:t>
            </w:r>
            <w:r w:rsidR="00887B1F" w:rsidRPr="00CB239D">
              <w:rPr>
                <w:rFonts w:ascii="Verdana" w:hAnsi="Verdana"/>
                <w:sz w:val="18"/>
                <w:szCs w:val="18"/>
              </w:rPr>
              <w:t xml:space="preserve"> baseline, at</w:t>
            </w:r>
            <w:r w:rsidR="002A6F59" w:rsidRPr="00CB239D">
              <w:rPr>
                <w:rFonts w:ascii="Verdana" w:hAnsi="Verdana"/>
                <w:sz w:val="18"/>
                <w:szCs w:val="18"/>
              </w:rPr>
              <w:t xml:space="preserve"> 3 weeks</w:t>
            </w:r>
            <w:r w:rsidR="00887B1F" w:rsidRPr="00CB239D">
              <w:rPr>
                <w:rFonts w:ascii="Verdana" w:hAnsi="Verdana"/>
                <w:sz w:val="18"/>
                <w:szCs w:val="18"/>
              </w:rPr>
              <w:t>,</w:t>
            </w:r>
            <w:r w:rsidR="002A6F59" w:rsidRPr="00CB239D">
              <w:rPr>
                <w:rFonts w:ascii="Verdana" w:hAnsi="Verdana"/>
                <w:sz w:val="18"/>
                <w:szCs w:val="18"/>
              </w:rPr>
              <w:t xml:space="preserve"> and 3 months by a blinded investigator. </w:t>
            </w:r>
          </w:p>
          <w:p w14:paraId="5461A1FA" w14:textId="2D8AD42C" w:rsidR="002A6F59" w:rsidRPr="00CB239D" w:rsidRDefault="001068A4" w:rsidP="001068A4">
            <w:pPr>
              <w:pStyle w:val="ListParagraph"/>
              <w:numPr>
                <w:ilvl w:val="0"/>
                <w:numId w:val="16"/>
              </w:numPr>
              <w:spacing w:before="120" w:after="120"/>
              <w:rPr>
                <w:rFonts w:ascii="Verdana" w:hAnsi="Verdana"/>
                <w:sz w:val="18"/>
                <w:szCs w:val="18"/>
              </w:rPr>
            </w:pPr>
            <w:r w:rsidRPr="00CB239D">
              <w:rPr>
                <w:rFonts w:ascii="Verdana" w:hAnsi="Verdana"/>
                <w:b/>
                <w:sz w:val="18"/>
                <w:szCs w:val="18"/>
              </w:rPr>
              <w:t>Statistical Methods</w:t>
            </w:r>
            <w:r w:rsidRPr="00CB239D">
              <w:rPr>
                <w:rFonts w:ascii="Verdana" w:hAnsi="Verdana"/>
                <w:sz w:val="18"/>
                <w:szCs w:val="18"/>
              </w:rPr>
              <w:t>:</w:t>
            </w:r>
            <w:r w:rsidR="002A6F59" w:rsidRPr="00CB239D">
              <w:rPr>
                <w:rFonts w:ascii="Verdana" w:hAnsi="Verdana"/>
                <w:sz w:val="18"/>
                <w:szCs w:val="18"/>
              </w:rPr>
              <w:t xml:space="preserve"> All of the data collected during the assessments was paired with a </w:t>
            </w:r>
            <w:proofErr w:type="gramStart"/>
            <w:r w:rsidR="002A6F59" w:rsidRPr="00CB239D">
              <w:rPr>
                <w:rFonts w:ascii="Verdana" w:hAnsi="Verdana"/>
                <w:sz w:val="18"/>
                <w:szCs w:val="18"/>
              </w:rPr>
              <w:t>2 tailed</w:t>
            </w:r>
            <w:proofErr w:type="gramEnd"/>
            <w:r w:rsidR="002A6F59" w:rsidRPr="00CB239D">
              <w:rPr>
                <w:rFonts w:ascii="Verdana" w:hAnsi="Verdana"/>
                <w:sz w:val="18"/>
                <w:szCs w:val="18"/>
              </w:rPr>
              <w:t xml:space="preserve"> Student’s t test.</w:t>
            </w:r>
            <w:r w:rsidR="00E03E9F" w:rsidRPr="00CB239D">
              <w:rPr>
                <w:rFonts w:ascii="Verdana" w:hAnsi="Verdana"/>
                <w:sz w:val="18"/>
                <w:szCs w:val="18"/>
              </w:rPr>
              <w:t xml:space="preserve"> P</w:t>
            </w:r>
            <w:r w:rsidR="00505C0E" w:rsidRPr="00CB239D">
              <w:rPr>
                <w:rFonts w:ascii="Verdana" w:hAnsi="Verdana"/>
                <w:sz w:val="18"/>
                <w:szCs w:val="18"/>
              </w:rPr>
              <w:t>&lt;</w:t>
            </w:r>
            <w:proofErr w:type="gramStart"/>
            <w:r w:rsidR="00505C0E" w:rsidRPr="00CB239D">
              <w:rPr>
                <w:rFonts w:ascii="Verdana" w:hAnsi="Verdana"/>
                <w:sz w:val="18"/>
                <w:szCs w:val="18"/>
              </w:rPr>
              <w:t>.05</w:t>
            </w:r>
            <w:proofErr w:type="gramEnd"/>
            <w:r w:rsidR="00505C0E" w:rsidRPr="00CB239D">
              <w:rPr>
                <w:rFonts w:ascii="Verdana" w:hAnsi="Verdana"/>
                <w:sz w:val="18"/>
                <w:szCs w:val="18"/>
              </w:rPr>
              <w:t xml:space="preserve"> was considered significant. </w:t>
            </w:r>
          </w:p>
          <w:p w14:paraId="56606969" w14:textId="77777777" w:rsidR="001D4F60" w:rsidRPr="00CB239D" w:rsidRDefault="001D4F60" w:rsidP="009E380F">
            <w:pPr>
              <w:spacing w:before="120" w:after="120"/>
              <w:rPr>
                <w:sz w:val="18"/>
                <w:szCs w:val="18"/>
              </w:rPr>
            </w:pPr>
          </w:p>
          <w:p w14:paraId="4BB8C59F" w14:textId="77777777" w:rsidR="001D4F60" w:rsidRPr="00CB239D" w:rsidRDefault="001D4F60" w:rsidP="009E380F">
            <w:pPr>
              <w:spacing w:before="120" w:after="120"/>
              <w:jc w:val="right"/>
              <w:rPr>
                <w:sz w:val="18"/>
                <w:szCs w:val="18"/>
              </w:rPr>
            </w:pPr>
          </w:p>
        </w:tc>
      </w:tr>
      <w:tr w:rsidR="001D4F60" w:rsidRPr="00CB239D" w14:paraId="7017D0D4" w14:textId="77777777" w:rsidTr="001D4F60">
        <w:tc>
          <w:tcPr>
            <w:tcW w:w="10421" w:type="dxa"/>
            <w:shd w:val="clear" w:color="auto" w:fill="E6E6E6"/>
          </w:tcPr>
          <w:p w14:paraId="44FE2535" w14:textId="77777777" w:rsidR="001D4F60" w:rsidRPr="00CB239D" w:rsidRDefault="001D4F60" w:rsidP="009E380F">
            <w:pPr>
              <w:spacing w:before="120" w:after="120"/>
              <w:rPr>
                <w:b/>
                <w:sz w:val="18"/>
                <w:szCs w:val="18"/>
              </w:rPr>
            </w:pPr>
            <w:r w:rsidRPr="00CB239D">
              <w:rPr>
                <w:b/>
                <w:sz w:val="18"/>
                <w:szCs w:val="18"/>
              </w:rPr>
              <w:t>Setting</w:t>
            </w:r>
          </w:p>
          <w:p w14:paraId="64E63F50" w14:textId="77777777" w:rsidR="001D4F60" w:rsidRPr="00CB239D" w:rsidRDefault="001D4F60" w:rsidP="009E380F">
            <w:pPr>
              <w:spacing w:after="120"/>
              <w:rPr>
                <w:sz w:val="18"/>
                <w:szCs w:val="18"/>
              </w:rPr>
            </w:pPr>
            <w:r w:rsidRPr="00CB239D">
              <w:rPr>
                <w:sz w:val="18"/>
                <w:szCs w:val="18"/>
              </w:rPr>
              <w:t>[</w:t>
            </w:r>
            <w:proofErr w:type="gramStart"/>
            <w:r w:rsidRPr="00CB239D">
              <w:rPr>
                <w:sz w:val="18"/>
                <w:szCs w:val="18"/>
              </w:rPr>
              <w:t>e</w:t>
            </w:r>
            <w:proofErr w:type="gramEnd"/>
            <w:r w:rsidRPr="00CB239D">
              <w:rPr>
                <w:sz w:val="18"/>
                <w:szCs w:val="18"/>
              </w:rPr>
              <w:t>.g., locations such as hospital, community; rural; metropolitan; country]</w:t>
            </w:r>
          </w:p>
        </w:tc>
      </w:tr>
      <w:tr w:rsidR="001D4F60" w:rsidRPr="00CB239D" w14:paraId="74207433" w14:textId="77777777" w:rsidTr="001D4F60">
        <w:tc>
          <w:tcPr>
            <w:tcW w:w="10421" w:type="dxa"/>
            <w:tcBorders>
              <w:bottom w:val="single" w:sz="4" w:space="0" w:color="auto"/>
            </w:tcBorders>
            <w:shd w:val="clear" w:color="auto" w:fill="auto"/>
          </w:tcPr>
          <w:p w14:paraId="4AEEE171" w14:textId="66B6AF09" w:rsidR="00505C0E" w:rsidRPr="00CB239D" w:rsidRDefault="00505C0E" w:rsidP="00505C0E">
            <w:pPr>
              <w:rPr>
                <w:sz w:val="18"/>
                <w:szCs w:val="18"/>
                <w:lang w:val="en-US"/>
              </w:rPr>
            </w:pPr>
          </w:p>
          <w:p w14:paraId="41FA615F" w14:textId="0F38CF01" w:rsidR="00E03E9F" w:rsidRPr="00CB239D" w:rsidRDefault="000D6DB8" w:rsidP="000D6DB8">
            <w:pPr>
              <w:pStyle w:val="ListParagraph"/>
              <w:numPr>
                <w:ilvl w:val="0"/>
                <w:numId w:val="22"/>
              </w:numPr>
              <w:rPr>
                <w:rFonts w:ascii="Verdana" w:hAnsi="Verdana"/>
                <w:sz w:val="18"/>
                <w:szCs w:val="18"/>
              </w:rPr>
            </w:pPr>
            <w:r w:rsidRPr="00CB239D">
              <w:rPr>
                <w:rFonts w:ascii="Verdana" w:hAnsi="Verdana"/>
                <w:sz w:val="18"/>
                <w:szCs w:val="18"/>
              </w:rPr>
              <w:t>Not explicitly st</w:t>
            </w:r>
            <w:r w:rsidR="00591B95" w:rsidRPr="00CB239D">
              <w:rPr>
                <w:rFonts w:ascii="Verdana" w:hAnsi="Verdana"/>
                <w:sz w:val="18"/>
                <w:szCs w:val="18"/>
              </w:rPr>
              <w:t>ated but is presumed to be in a</w:t>
            </w:r>
            <w:r w:rsidRPr="00CB239D">
              <w:rPr>
                <w:rFonts w:ascii="Verdana" w:hAnsi="Verdana"/>
                <w:sz w:val="18"/>
                <w:szCs w:val="18"/>
              </w:rPr>
              <w:t xml:space="preserve"> hospital setting because </w:t>
            </w:r>
            <w:r w:rsidR="00E03E9F" w:rsidRPr="00CB239D">
              <w:rPr>
                <w:rFonts w:ascii="Verdana" w:hAnsi="Verdana"/>
                <w:sz w:val="18"/>
                <w:szCs w:val="18"/>
              </w:rPr>
              <w:t>of the authors association with medical colleges with hospitals.</w:t>
            </w:r>
          </w:p>
          <w:p w14:paraId="116A0367" w14:textId="77777777" w:rsidR="00E03E9F" w:rsidRPr="00CB239D" w:rsidRDefault="00E03E9F" w:rsidP="00E03E9F">
            <w:pPr>
              <w:pStyle w:val="ListParagraph"/>
              <w:rPr>
                <w:rFonts w:ascii="Verdana" w:hAnsi="Verdana"/>
                <w:sz w:val="18"/>
                <w:szCs w:val="18"/>
              </w:rPr>
            </w:pPr>
          </w:p>
          <w:p w14:paraId="0A82B692" w14:textId="157E1520" w:rsidR="000D6DB8" w:rsidRPr="00CB239D" w:rsidRDefault="000D6DB8" w:rsidP="00B95A58">
            <w:pPr>
              <w:pStyle w:val="ListParagraph"/>
              <w:numPr>
                <w:ilvl w:val="0"/>
                <w:numId w:val="22"/>
              </w:numPr>
              <w:rPr>
                <w:rFonts w:ascii="Verdana" w:hAnsi="Verdana"/>
                <w:sz w:val="18"/>
                <w:szCs w:val="18"/>
              </w:rPr>
            </w:pPr>
            <w:r w:rsidRPr="00CB239D">
              <w:rPr>
                <w:rFonts w:ascii="Verdana" w:hAnsi="Verdana"/>
                <w:sz w:val="18"/>
                <w:szCs w:val="18"/>
              </w:rPr>
              <w:t xml:space="preserve">Ludhiana, India and </w:t>
            </w:r>
            <w:proofErr w:type="spellStart"/>
            <w:r w:rsidRPr="00CB239D">
              <w:rPr>
                <w:rFonts w:ascii="Verdana" w:hAnsi="Verdana"/>
                <w:sz w:val="18"/>
                <w:szCs w:val="18"/>
              </w:rPr>
              <w:t>Faridkot</w:t>
            </w:r>
            <w:proofErr w:type="spellEnd"/>
            <w:r w:rsidRPr="00CB239D">
              <w:rPr>
                <w:rFonts w:ascii="Verdana" w:hAnsi="Verdana"/>
                <w:sz w:val="18"/>
                <w:szCs w:val="18"/>
              </w:rPr>
              <w:t>, India</w:t>
            </w:r>
          </w:p>
          <w:p w14:paraId="4ECF7AC6" w14:textId="77777777" w:rsidR="00505C0E" w:rsidRPr="00CB239D" w:rsidRDefault="00505C0E" w:rsidP="00505C0E">
            <w:pPr>
              <w:rPr>
                <w:sz w:val="18"/>
                <w:szCs w:val="18"/>
                <w:lang w:val="en-US"/>
              </w:rPr>
            </w:pPr>
          </w:p>
          <w:p w14:paraId="08A5DFDD" w14:textId="77777777" w:rsidR="00505C0E" w:rsidRPr="00CB239D" w:rsidRDefault="00505C0E" w:rsidP="00505C0E">
            <w:pPr>
              <w:rPr>
                <w:sz w:val="18"/>
                <w:szCs w:val="18"/>
                <w:lang w:val="en-US"/>
              </w:rPr>
            </w:pPr>
          </w:p>
          <w:p w14:paraId="70A455C6" w14:textId="77777777" w:rsidR="00505C0E" w:rsidRPr="00CB239D" w:rsidRDefault="00505C0E" w:rsidP="00505C0E">
            <w:pPr>
              <w:rPr>
                <w:sz w:val="18"/>
                <w:szCs w:val="18"/>
                <w:lang w:val="en-US"/>
              </w:rPr>
            </w:pPr>
          </w:p>
          <w:p w14:paraId="5CB33D04" w14:textId="77777777" w:rsidR="001D4F60" w:rsidRPr="00CB239D" w:rsidRDefault="001D4F60" w:rsidP="009E380F">
            <w:pPr>
              <w:spacing w:before="120" w:after="120"/>
              <w:rPr>
                <w:sz w:val="18"/>
                <w:szCs w:val="18"/>
              </w:rPr>
            </w:pPr>
          </w:p>
          <w:p w14:paraId="6338A0C9" w14:textId="77777777" w:rsidR="001D4F60" w:rsidRPr="00CB239D" w:rsidRDefault="001D4F60" w:rsidP="009E380F">
            <w:pPr>
              <w:spacing w:before="120" w:after="120"/>
              <w:rPr>
                <w:sz w:val="18"/>
                <w:szCs w:val="18"/>
              </w:rPr>
            </w:pPr>
          </w:p>
          <w:p w14:paraId="0E7D3329" w14:textId="77777777" w:rsidR="001D4F60" w:rsidRPr="00CB239D" w:rsidRDefault="001D4F60" w:rsidP="009E380F">
            <w:pPr>
              <w:spacing w:before="120" w:after="120"/>
              <w:jc w:val="right"/>
              <w:rPr>
                <w:sz w:val="18"/>
                <w:szCs w:val="18"/>
              </w:rPr>
            </w:pPr>
          </w:p>
        </w:tc>
      </w:tr>
      <w:tr w:rsidR="001D4F60" w:rsidRPr="00CB239D" w14:paraId="2B2B44D7" w14:textId="77777777" w:rsidTr="001D4F60">
        <w:tc>
          <w:tcPr>
            <w:tcW w:w="10421" w:type="dxa"/>
            <w:shd w:val="clear" w:color="auto" w:fill="E6E6E6"/>
          </w:tcPr>
          <w:p w14:paraId="1C16AD3C" w14:textId="77777777" w:rsidR="001D4F60" w:rsidRPr="00CB239D" w:rsidRDefault="001D4F60" w:rsidP="009E380F">
            <w:pPr>
              <w:spacing w:before="120" w:after="120"/>
              <w:rPr>
                <w:b/>
                <w:sz w:val="18"/>
                <w:szCs w:val="18"/>
              </w:rPr>
            </w:pPr>
            <w:r w:rsidRPr="00CB239D">
              <w:rPr>
                <w:b/>
                <w:sz w:val="18"/>
                <w:szCs w:val="18"/>
              </w:rPr>
              <w:t>Participants</w:t>
            </w:r>
          </w:p>
          <w:p w14:paraId="2D008F12" w14:textId="77777777" w:rsidR="001D4F60" w:rsidRPr="00CB239D" w:rsidRDefault="001D4F60" w:rsidP="009E380F">
            <w:pPr>
              <w:spacing w:before="120" w:after="120"/>
              <w:rPr>
                <w:sz w:val="18"/>
                <w:szCs w:val="18"/>
              </w:rPr>
            </w:pPr>
            <w:r w:rsidRPr="00CB239D">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097D68D4" w14:textId="77777777" w:rsidR="001D4F60" w:rsidRPr="00CB239D" w:rsidRDefault="001D4F60" w:rsidP="009E380F">
            <w:pPr>
              <w:spacing w:before="120" w:after="120"/>
              <w:rPr>
                <w:sz w:val="18"/>
                <w:szCs w:val="18"/>
              </w:rPr>
            </w:pPr>
            <w:r w:rsidRPr="00CB239D">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CB239D" w14:paraId="539C3D82" w14:textId="77777777" w:rsidTr="001D4F60">
        <w:tc>
          <w:tcPr>
            <w:tcW w:w="10421" w:type="dxa"/>
            <w:tcBorders>
              <w:bottom w:val="single" w:sz="4" w:space="0" w:color="auto"/>
            </w:tcBorders>
            <w:shd w:val="clear" w:color="auto" w:fill="auto"/>
          </w:tcPr>
          <w:p w14:paraId="35FCABF2" w14:textId="4BBA2FF4" w:rsidR="001D4F60" w:rsidRPr="00CB239D" w:rsidRDefault="008D0884" w:rsidP="008D0884">
            <w:pPr>
              <w:pStyle w:val="ListParagraph"/>
              <w:numPr>
                <w:ilvl w:val="0"/>
                <w:numId w:val="17"/>
              </w:numPr>
              <w:spacing w:before="120" w:after="120"/>
              <w:rPr>
                <w:rFonts w:ascii="Verdana" w:hAnsi="Verdana"/>
                <w:sz w:val="18"/>
                <w:szCs w:val="18"/>
              </w:rPr>
            </w:pPr>
            <w:r w:rsidRPr="00CB239D">
              <w:rPr>
                <w:rFonts w:ascii="Verdana" w:hAnsi="Verdana"/>
                <w:sz w:val="18"/>
                <w:szCs w:val="18"/>
              </w:rPr>
              <w:t>The study included 75 individual</w:t>
            </w:r>
            <w:r w:rsidR="001708E8" w:rsidRPr="00CB239D">
              <w:rPr>
                <w:rFonts w:ascii="Verdana" w:hAnsi="Verdana"/>
                <w:sz w:val="18"/>
                <w:szCs w:val="18"/>
              </w:rPr>
              <w:t>s</w:t>
            </w:r>
            <w:r w:rsidR="00E645CF" w:rsidRPr="00CB239D">
              <w:rPr>
                <w:rFonts w:ascii="Verdana" w:hAnsi="Verdana"/>
                <w:sz w:val="18"/>
                <w:szCs w:val="18"/>
              </w:rPr>
              <w:t xml:space="preserve">, 25 in each </w:t>
            </w:r>
            <w:r w:rsidR="0070036E" w:rsidRPr="00CB239D">
              <w:rPr>
                <w:rFonts w:ascii="Verdana" w:hAnsi="Verdana"/>
                <w:sz w:val="18"/>
                <w:szCs w:val="18"/>
              </w:rPr>
              <w:t>group, which</w:t>
            </w:r>
            <w:r w:rsidRPr="00CB239D">
              <w:rPr>
                <w:rFonts w:ascii="Verdana" w:hAnsi="Verdana"/>
                <w:sz w:val="18"/>
                <w:szCs w:val="18"/>
              </w:rPr>
              <w:t xml:space="preserve"> met the eligibility criteria</w:t>
            </w:r>
            <w:r w:rsidR="00697CEA" w:rsidRPr="00CB239D">
              <w:rPr>
                <w:rFonts w:ascii="Verdana" w:hAnsi="Verdana"/>
                <w:sz w:val="18"/>
                <w:szCs w:val="18"/>
              </w:rPr>
              <w:t xml:space="preserve"> previously stated. </w:t>
            </w:r>
          </w:p>
          <w:p w14:paraId="440D3836" w14:textId="751965C7" w:rsidR="00697CEA" w:rsidRPr="00CB239D" w:rsidRDefault="00697CEA" w:rsidP="008D0884">
            <w:pPr>
              <w:pStyle w:val="ListParagraph"/>
              <w:numPr>
                <w:ilvl w:val="0"/>
                <w:numId w:val="17"/>
              </w:numPr>
              <w:spacing w:before="120" w:after="120"/>
              <w:rPr>
                <w:rFonts w:ascii="Verdana" w:hAnsi="Verdana"/>
                <w:sz w:val="18"/>
                <w:szCs w:val="18"/>
              </w:rPr>
            </w:pPr>
            <w:r w:rsidRPr="00CB239D">
              <w:rPr>
                <w:rFonts w:ascii="Verdana" w:hAnsi="Verdana"/>
                <w:sz w:val="18"/>
                <w:szCs w:val="18"/>
              </w:rPr>
              <w:t xml:space="preserve">Authors did not </w:t>
            </w:r>
            <w:r w:rsidR="00EC6E48" w:rsidRPr="00CB239D">
              <w:rPr>
                <w:rFonts w:ascii="Verdana" w:hAnsi="Verdana"/>
                <w:sz w:val="18"/>
                <w:szCs w:val="18"/>
              </w:rPr>
              <w:t>report</w:t>
            </w:r>
            <w:r w:rsidRPr="00CB239D">
              <w:rPr>
                <w:rFonts w:ascii="Verdana" w:hAnsi="Verdana"/>
                <w:sz w:val="18"/>
                <w:szCs w:val="18"/>
              </w:rPr>
              <w:t xml:space="preserve"> their method of recruitment</w:t>
            </w:r>
            <w:r w:rsidR="00E645CF" w:rsidRPr="00CB239D">
              <w:rPr>
                <w:rFonts w:ascii="Verdana" w:hAnsi="Verdana"/>
                <w:sz w:val="18"/>
                <w:szCs w:val="18"/>
              </w:rPr>
              <w:t>.</w:t>
            </w:r>
          </w:p>
          <w:p w14:paraId="1986D134" w14:textId="65C3BC99" w:rsidR="008D0884" w:rsidRPr="00CB239D" w:rsidRDefault="004C2302" w:rsidP="008D0884">
            <w:pPr>
              <w:pStyle w:val="ListParagraph"/>
              <w:numPr>
                <w:ilvl w:val="0"/>
                <w:numId w:val="17"/>
              </w:numPr>
              <w:spacing w:before="120" w:after="120"/>
              <w:rPr>
                <w:rFonts w:ascii="Verdana" w:hAnsi="Verdana"/>
                <w:sz w:val="18"/>
                <w:szCs w:val="18"/>
              </w:rPr>
            </w:pPr>
            <w:r w:rsidRPr="00CB239D">
              <w:rPr>
                <w:rFonts w:ascii="Verdana" w:hAnsi="Verdana"/>
                <w:sz w:val="18"/>
                <w:szCs w:val="18"/>
              </w:rPr>
              <w:t>PR</w:t>
            </w:r>
            <w:r w:rsidR="008D0884" w:rsidRPr="00CB239D">
              <w:rPr>
                <w:rFonts w:ascii="Verdana" w:hAnsi="Verdana"/>
                <w:sz w:val="18"/>
                <w:szCs w:val="18"/>
              </w:rPr>
              <w:t>P group had an average age of 30.7 (SD, 7.4) with 8 men and 17 women</w:t>
            </w:r>
            <w:r w:rsidR="00E645CF" w:rsidRPr="00CB239D">
              <w:rPr>
                <w:rFonts w:ascii="Verdana" w:hAnsi="Verdana"/>
                <w:sz w:val="18"/>
                <w:szCs w:val="18"/>
              </w:rPr>
              <w:t>.</w:t>
            </w:r>
          </w:p>
          <w:p w14:paraId="7ED6D2BA" w14:textId="21272A5A" w:rsidR="008D0884" w:rsidRPr="00CB239D" w:rsidRDefault="008D0884" w:rsidP="008D0884">
            <w:pPr>
              <w:pStyle w:val="ListParagraph"/>
              <w:numPr>
                <w:ilvl w:val="0"/>
                <w:numId w:val="17"/>
              </w:numPr>
              <w:spacing w:before="120" w:after="120"/>
              <w:rPr>
                <w:rFonts w:ascii="Verdana" w:hAnsi="Verdana"/>
                <w:sz w:val="18"/>
                <w:szCs w:val="18"/>
              </w:rPr>
            </w:pPr>
            <w:r w:rsidRPr="00CB239D">
              <w:rPr>
                <w:rFonts w:ascii="Verdana" w:hAnsi="Verdana"/>
                <w:sz w:val="18"/>
                <w:szCs w:val="18"/>
              </w:rPr>
              <w:t xml:space="preserve">Corticosteroid group had an average age </w:t>
            </w:r>
            <w:proofErr w:type="gramStart"/>
            <w:r w:rsidRPr="00CB239D">
              <w:rPr>
                <w:rFonts w:ascii="Verdana" w:hAnsi="Verdana"/>
                <w:sz w:val="18"/>
                <w:szCs w:val="18"/>
              </w:rPr>
              <w:t>of  33.9</w:t>
            </w:r>
            <w:proofErr w:type="gramEnd"/>
            <w:r w:rsidRPr="00CB239D">
              <w:rPr>
                <w:rFonts w:ascii="Verdana" w:hAnsi="Verdana"/>
                <w:sz w:val="18"/>
                <w:szCs w:val="18"/>
              </w:rPr>
              <w:t xml:space="preserve"> (SD, 8.6) with</w:t>
            </w:r>
            <w:r w:rsidR="00697CEA" w:rsidRPr="00CB239D">
              <w:rPr>
                <w:rFonts w:ascii="Verdana" w:hAnsi="Verdana"/>
                <w:sz w:val="18"/>
                <w:szCs w:val="18"/>
              </w:rPr>
              <w:t xml:space="preserve"> </w:t>
            </w:r>
            <w:r w:rsidRPr="00CB239D">
              <w:rPr>
                <w:rFonts w:ascii="Verdana" w:hAnsi="Verdana"/>
                <w:sz w:val="18"/>
                <w:szCs w:val="18"/>
              </w:rPr>
              <w:t>12 men and 13 women</w:t>
            </w:r>
            <w:r w:rsidR="00E645CF" w:rsidRPr="00CB239D">
              <w:rPr>
                <w:rFonts w:ascii="Verdana" w:hAnsi="Verdana"/>
                <w:sz w:val="18"/>
                <w:szCs w:val="18"/>
              </w:rPr>
              <w:t>.</w:t>
            </w:r>
          </w:p>
          <w:p w14:paraId="080D6A19" w14:textId="76908054" w:rsidR="00697CEA" w:rsidRPr="00CB239D" w:rsidRDefault="008D0884" w:rsidP="00697CEA">
            <w:pPr>
              <w:pStyle w:val="ListParagraph"/>
              <w:numPr>
                <w:ilvl w:val="0"/>
                <w:numId w:val="17"/>
              </w:numPr>
              <w:spacing w:before="120" w:after="120"/>
              <w:rPr>
                <w:rFonts w:ascii="Verdana" w:hAnsi="Verdana"/>
                <w:sz w:val="18"/>
                <w:szCs w:val="18"/>
              </w:rPr>
            </w:pPr>
            <w:r w:rsidRPr="00CB239D">
              <w:rPr>
                <w:rFonts w:ascii="Verdana" w:hAnsi="Verdana"/>
                <w:sz w:val="18"/>
                <w:szCs w:val="18"/>
              </w:rPr>
              <w:t>Saline group had an average age of 35.5 (SD, 9.5) with 11 men and 14 women</w:t>
            </w:r>
            <w:r w:rsidR="00E645CF" w:rsidRPr="00CB239D">
              <w:rPr>
                <w:rFonts w:ascii="Verdana" w:hAnsi="Verdana"/>
                <w:sz w:val="18"/>
                <w:szCs w:val="18"/>
              </w:rPr>
              <w:t>.</w:t>
            </w:r>
          </w:p>
          <w:p w14:paraId="5D3D0849" w14:textId="0DDA5D80" w:rsidR="004F4EB9" w:rsidRPr="00CB239D" w:rsidRDefault="004F4EB9" w:rsidP="00697CEA">
            <w:pPr>
              <w:pStyle w:val="ListParagraph"/>
              <w:numPr>
                <w:ilvl w:val="0"/>
                <w:numId w:val="17"/>
              </w:numPr>
              <w:spacing w:before="120" w:after="120"/>
              <w:rPr>
                <w:rFonts w:ascii="Verdana" w:hAnsi="Verdana"/>
                <w:sz w:val="18"/>
                <w:szCs w:val="18"/>
              </w:rPr>
            </w:pPr>
            <w:r w:rsidRPr="00CB239D">
              <w:rPr>
                <w:rFonts w:ascii="Verdana" w:hAnsi="Verdana"/>
                <w:sz w:val="18"/>
                <w:szCs w:val="18"/>
              </w:rPr>
              <w:t>There were not significant differences between the groups</w:t>
            </w:r>
            <w:r w:rsidR="00EC6E48" w:rsidRPr="00CB239D">
              <w:rPr>
                <w:rFonts w:ascii="Verdana" w:hAnsi="Verdana"/>
                <w:sz w:val="18"/>
                <w:szCs w:val="18"/>
              </w:rPr>
              <w:t>’</w:t>
            </w:r>
            <w:r w:rsidRPr="00CB239D">
              <w:rPr>
                <w:rFonts w:ascii="Verdana" w:hAnsi="Verdana"/>
                <w:sz w:val="18"/>
                <w:szCs w:val="18"/>
              </w:rPr>
              <w:t xml:space="preserve"> characteristics, VAS, </w:t>
            </w:r>
            <w:r w:rsidR="008244C0" w:rsidRPr="00CB239D">
              <w:rPr>
                <w:rFonts w:ascii="Verdana" w:hAnsi="Verdana"/>
                <w:sz w:val="18"/>
                <w:szCs w:val="18"/>
              </w:rPr>
              <w:t>or</w:t>
            </w:r>
            <w:r w:rsidRPr="00CB239D">
              <w:rPr>
                <w:rFonts w:ascii="Verdana" w:hAnsi="Verdana"/>
                <w:sz w:val="18"/>
                <w:szCs w:val="18"/>
              </w:rPr>
              <w:t xml:space="preserve"> AOFAS scores at baseline</w:t>
            </w:r>
            <w:r w:rsidR="00E645CF" w:rsidRPr="00CB239D">
              <w:rPr>
                <w:rFonts w:ascii="Verdana" w:hAnsi="Verdana"/>
                <w:sz w:val="18"/>
                <w:szCs w:val="18"/>
              </w:rPr>
              <w:t>.</w:t>
            </w:r>
          </w:p>
          <w:p w14:paraId="3F2F5EE0" w14:textId="7EA59B5A" w:rsidR="008D0884" w:rsidRPr="00CB239D" w:rsidRDefault="008D0884" w:rsidP="008D0884">
            <w:pPr>
              <w:pStyle w:val="ListParagraph"/>
              <w:numPr>
                <w:ilvl w:val="0"/>
                <w:numId w:val="17"/>
              </w:numPr>
              <w:spacing w:before="120" w:after="120"/>
              <w:rPr>
                <w:rFonts w:ascii="Verdana" w:hAnsi="Verdana"/>
                <w:sz w:val="18"/>
                <w:szCs w:val="18"/>
              </w:rPr>
            </w:pPr>
            <w:r w:rsidRPr="00CB239D">
              <w:rPr>
                <w:rFonts w:ascii="Verdana" w:hAnsi="Verdana"/>
                <w:sz w:val="18"/>
                <w:szCs w:val="18"/>
              </w:rPr>
              <w:lastRenderedPageBreak/>
              <w:t xml:space="preserve">Authors did not provide any further </w:t>
            </w:r>
            <w:r w:rsidR="00EC6E48" w:rsidRPr="00CB239D">
              <w:rPr>
                <w:rFonts w:ascii="Verdana" w:hAnsi="Verdana"/>
                <w:sz w:val="18"/>
                <w:szCs w:val="18"/>
              </w:rPr>
              <w:t>characteristics</w:t>
            </w:r>
            <w:r w:rsidRPr="00CB239D">
              <w:rPr>
                <w:rFonts w:ascii="Verdana" w:hAnsi="Verdana"/>
                <w:sz w:val="18"/>
                <w:szCs w:val="18"/>
              </w:rPr>
              <w:t xml:space="preserve"> on the individual</w:t>
            </w:r>
            <w:r w:rsidR="000D6DB8" w:rsidRPr="00CB239D">
              <w:rPr>
                <w:rFonts w:ascii="Verdana" w:hAnsi="Verdana"/>
                <w:sz w:val="18"/>
                <w:szCs w:val="18"/>
              </w:rPr>
              <w:t>s</w:t>
            </w:r>
            <w:r w:rsidRPr="00CB239D">
              <w:rPr>
                <w:rFonts w:ascii="Verdana" w:hAnsi="Verdana"/>
                <w:sz w:val="18"/>
                <w:szCs w:val="18"/>
              </w:rPr>
              <w:t xml:space="preserve"> involved in the study.</w:t>
            </w:r>
          </w:p>
          <w:p w14:paraId="134E48DE" w14:textId="594125FA" w:rsidR="00697CEA" w:rsidRPr="00CB239D" w:rsidRDefault="002C5C87" w:rsidP="008D0884">
            <w:pPr>
              <w:pStyle w:val="ListParagraph"/>
              <w:numPr>
                <w:ilvl w:val="0"/>
                <w:numId w:val="17"/>
              </w:numPr>
              <w:spacing w:before="120" w:after="120"/>
              <w:rPr>
                <w:rFonts w:ascii="Verdana" w:hAnsi="Verdana"/>
                <w:sz w:val="18"/>
                <w:szCs w:val="18"/>
              </w:rPr>
            </w:pPr>
            <w:r w:rsidRPr="00CB239D">
              <w:rPr>
                <w:rFonts w:ascii="Verdana" w:hAnsi="Verdana"/>
                <w:sz w:val="18"/>
                <w:szCs w:val="18"/>
              </w:rPr>
              <w:t xml:space="preserve">Data was collected on all subjects that participated in the study. </w:t>
            </w:r>
          </w:p>
          <w:p w14:paraId="64C772F7" w14:textId="77777777" w:rsidR="001D4F60" w:rsidRPr="00CB239D" w:rsidRDefault="001D4F60" w:rsidP="009E380F">
            <w:pPr>
              <w:spacing w:before="120" w:after="120"/>
              <w:rPr>
                <w:sz w:val="18"/>
                <w:szCs w:val="18"/>
              </w:rPr>
            </w:pPr>
          </w:p>
          <w:p w14:paraId="52925A3A" w14:textId="77777777" w:rsidR="001D4F60" w:rsidRPr="00CB239D" w:rsidRDefault="001D4F60" w:rsidP="009E380F">
            <w:pPr>
              <w:spacing w:before="120" w:after="120"/>
              <w:jc w:val="right"/>
              <w:rPr>
                <w:sz w:val="18"/>
                <w:szCs w:val="18"/>
              </w:rPr>
            </w:pPr>
          </w:p>
        </w:tc>
      </w:tr>
      <w:tr w:rsidR="001D4F60" w:rsidRPr="00CB239D" w14:paraId="423DF5C6" w14:textId="77777777" w:rsidTr="001D4F60">
        <w:tc>
          <w:tcPr>
            <w:tcW w:w="10421" w:type="dxa"/>
            <w:shd w:val="clear" w:color="auto" w:fill="E6E6E6"/>
          </w:tcPr>
          <w:p w14:paraId="2BF08749" w14:textId="77777777" w:rsidR="001D4F60" w:rsidRPr="00CB239D" w:rsidRDefault="001D4F60" w:rsidP="009E380F">
            <w:pPr>
              <w:spacing w:before="120" w:after="120"/>
              <w:rPr>
                <w:b/>
                <w:sz w:val="18"/>
                <w:szCs w:val="18"/>
              </w:rPr>
            </w:pPr>
            <w:r w:rsidRPr="00CB239D">
              <w:rPr>
                <w:b/>
                <w:sz w:val="18"/>
                <w:szCs w:val="18"/>
              </w:rPr>
              <w:lastRenderedPageBreak/>
              <w:t>Intervention Investigated</w:t>
            </w:r>
          </w:p>
          <w:p w14:paraId="4582B3F1" w14:textId="77777777" w:rsidR="001D4F60" w:rsidRPr="00CB239D" w:rsidRDefault="001D4F60" w:rsidP="009E380F">
            <w:pPr>
              <w:spacing w:before="120" w:after="120"/>
              <w:rPr>
                <w:sz w:val="18"/>
                <w:szCs w:val="18"/>
              </w:rPr>
            </w:pPr>
            <w:r w:rsidRPr="00CB239D">
              <w:rPr>
                <w:sz w:val="18"/>
                <w:szCs w:val="18"/>
              </w:rPr>
              <w:t>[Provide details of methods, who provided treatment, when and where, how many hours of treatment provided]</w:t>
            </w:r>
          </w:p>
        </w:tc>
      </w:tr>
      <w:tr w:rsidR="001D4F60" w:rsidRPr="00CB239D" w14:paraId="544B8BF6" w14:textId="77777777" w:rsidTr="001D4F60">
        <w:tc>
          <w:tcPr>
            <w:tcW w:w="10421" w:type="dxa"/>
            <w:shd w:val="clear" w:color="auto" w:fill="auto"/>
          </w:tcPr>
          <w:p w14:paraId="5E0A82DF" w14:textId="77777777" w:rsidR="001D4F60" w:rsidRPr="00CB239D" w:rsidRDefault="001D4F60" w:rsidP="009E380F">
            <w:pPr>
              <w:spacing w:before="120" w:after="120"/>
              <w:rPr>
                <w:i/>
                <w:sz w:val="18"/>
                <w:szCs w:val="18"/>
              </w:rPr>
            </w:pPr>
            <w:r w:rsidRPr="00CB239D">
              <w:rPr>
                <w:i/>
                <w:sz w:val="18"/>
                <w:szCs w:val="18"/>
              </w:rPr>
              <w:t>Control</w:t>
            </w:r>
          </w:p>
        </w:tc>
      </w:tr>
      <w:tr w:rsidR="001D4F60" w:rsidRPr="00CB239D" w14:paraId="00BAA64F" w14:textId="77777777" w:rsidTr="001D4F60">
        <w:tc>
          <w:tcPr>
            <w:tcW w:w="10421" w:type="dxa"/>
            <w:shd w:val="clear" w:color="auto" w:fill="auto"/>
          </w:tcPr>
          <w:p w14:paraId="2C38F087" w14:textId="3B23929B" w:rsidR="00650043" w:rsidRPr="00CB239D" w:rsidRDefault="00650043" w:rsidP="0096022F">
            <w:pPr>
              <w:pStyle w:val="ListParagraph"/>
              <w:numPr>
                <w:ilvl w:val="0"/>
                <w:numId w:val="18"/>
              </w:numPr>
              <w:spacing w:before="120" w:after="120"/>
              <w:rPr>
                <w:rFonts w:ascii="Verdana" w:hAnsi="Verdana"/>
                <w:sz w:val="18"/>
                <w:szCs w:val="18"/>
              </w:rPr>
            </w:pPr>
            <w:r w:rsidRPr="00CB239D">
              <w:rPr>
                <w:rFonts w:ascii="Verdana" w:hAnsi="Verdana"/>
                <w:sz w:val="18"/>
                <w:szCs w:val="18"/>
              </w:rPr>
              <w:t>G</w:t>
            </w:r>
            <w:r w:rsidR="009B6D3F" w:rsidRPr="00CB239D">
              <w:rPr>
                <w:rFonts w:ascii="Verdana" w:hAnsi="Verdana"/>
                <w:sz w:val="18"/>
                <w:szCs w:val="18"/>
              </w:rPr>
              <w:t>roup</w:t>
            </w:r>
            <w:r w:rsidRPr="00CB239D">
              <w:rPr>
                <w:rFonts w:ascii="Verdana" w:hAnsi="Verdana"/>
                <w:sz w:val="18"/>
                <w:szCs w:val="18"/>
              </w:rPr>
              <w:t xml:space="preserve"> C</w:t>
            </w:r>
            <w:r w:rsidR="009B6D3F" w:rsidRPr="00CB239D">
              <w:rPr>
                <w:rFonts w:ascii="Verdana" w:hAnsi="Verdana"/>
                <w:sz w:val="18"/>
                <w:szCs w:val="18"/>
              </w:rPr>
              <w:t xml:space="preserve"> </w:t>
            </w:r>
            <w:r w:rsidR="00B95A58" w:rsidRPr="00CB239D">
              <w:rPr>
                <w:rFonts w:ascii="Verdana" w:hAnsi="Verdana"/>
                <w:sz w:val="18"/>
                <w:szCs w:val="18"/>
              </w:rPr>
              <w:t xml:space="preserve">(25 individuals) </w:t>
            </w:r>
            <w:r w:rsidR="009B6D3F" w:rsidRPr="00CB239D">
              <w:rPr>
                <w:rFonts w:ascii="Verdana" w:hAnsi="Verdana"/>
                <w:sz w:val="18"/>
                <w:szCs w:val="18"/>
              </w:rPr>
              <w:t xml:space="preserve">was injected with an unknown </w:t>
            </w:r>
            <w:r w:rsidR="00CD582D" w:rsidRPr="00CB239D">
              <w:rPr>
                <w:rFonts w:ascii="Verdana" w:hAnsi="Verdana"/>
                <w:sz w:val="18"/>
                <w:szCs w:val="18"/>
              </w:rPr>
              <w:t>amount</w:t>
            </w:r>
            <w:r w:rsidR="009B6D3F" w:rsidRPr="00CB239D">
              <w:rPr>
                <w:rFonts w:ascii="Verdana" w:hAnsi="Verdana"/>
                <w:sz w:val="18"/>
                <w:szCs w:val="18"/>
              </w:rPr>
              <w:t xml:space="preserve"> of saline</w:t>
            </w:r>
            <w:r w:rsidR="005E5F7F" w:rsidRPr="00CB239D">
              <w:rPr>
                <w:rFonts w:ascii="Verdana" w:hAnsi="Verdana"/>
                <w:sz w:val="18"/>
                <w:szCs w:val="18"/>
              </w:rPr>
              <w:t xml:space="preserve"> at the site of maximum tenderness with a 22g needle</w:t>
            </w:r>
            <w:r w:rsidR="003764C4" w:rsidRPr="00CB239D">
              <w:rPr>
                <w:rFonts w:ascii="Verdana" w:hAnsi="Verdana"/>
                <w:sz w:val="18"/>
                <w:szCs w:val="18"/>
              </w:rPr>
              <w:t xml:space="preserve"> using a peppering technique</w:t>
            </w:r>
            <w:r w:rsidR="009B6D3F" w:rsidRPr="00CB239D">
              <w:rPr>
                <w:rFonts w:ascii="Verdana" w:hAnsi="Verdana"/>
                <w:sz w:val="18"/>
                <w:szCs w:val="18"/>
              </w:rPr>
              <w:t>.</w:t>
            </w:r>
            <w:r w:rsidRPr="00CB239D">
              <w:rPr>
                <w:rFonts w:ascii="Verdana" w:hAnsi="Verdana"/>
                <w:sz w:val="18"/>
                <w:szCs w:val="18"/>
              </w:rPr>
              <w:t xml:space="preserve"> </w:t>
            </w:r>
          </w:p>
          <w:p w14:paraId="2BDE7CE0" w14:textId="6F3C4C31" w:rsidR="0096022F" w:rsidRPr="00CB239D" w:rsidRDefault="003764C4" w:rsidP="00B25CBE">
            <w:pPr>
              <w:pStyle w:val="ListParagraph"/>
              <w:numPr>
                <w:ilvl w:val="0"/>
                <w:numId w:val="18"/>
              </w:numPr>
              <w:spacing w:before="120" w:after="120"/>
              <w:rPr>
                <w:rFonts w:ascii="Verdana" w:hAnsi="Verdana"/>
                <w:sz w:val="18"/>
                <w:szCs w:val="18"/>
              </w:rPr>
            </w:pPr>
            <w:r w:rsidRPr="00CB239D">
              <w:rPr>
                <w:rFonts w:ascii="Verdana" w:hAnsi="Verdana"/>
                <w:sz w:val="18"/>
                <w:szCs w:val="18"/>
              </w:rPr>
              <w:t xml:space="preserve">For blinding purposes, group C </w:t>
            </w:r>
            <w:r w:rsidR="00EC6E48" w:rsidRPr="00CB239D">
              <w:rPr>
                <w:rFonts w:ascii="Verdana" w:hAnsi="Verdana"/>
                <w:sz w:val="18"/>
                <w:szCs w:val="18"/>
              </w:rPr>
              <w:t xml:space="preserve">also </w:t>
            </w:r>
            <w:r w:rsidRPr="00CB239D">
              <w:rPr>
                <w:rFonts w:ascii="Verdana" w:hAnsi="Verdana"/>
                <w:sz w:val="18"/>
                <w:szCs w:val="18"/>
              </w:rPr>
              <w:t>had bl</w:t>
            </w:r>
            <w:r w:rsidR="00EC6E48" w:rsidRPr="00CB239D">
              <w:rPr>
                <w:rFonts w:ascii="Verdana" w:hAnsi="Verdana"/>
                <w:sz w:val="18"/>
                <w:szCs w:val="18"/>
              </w:rPr>
              <w:t xml:space="preserve">ood drawn and the injections </w:t>
            </w:r>
            <w:r w:rsidR="0096022F" w:rsidRPr="00CB239D">
              <w:rPr>
                <w:rFonts w:ascii="Verdana" w:hAnsi="Verdana"/>
                <w:sz w:val="18"/>
                <w:szCs w:val="18"/>
              </w:rPr>
              <w:t>was</w:t>
            </w:r>
            <w:r w:rsidRPr="00CB239D">
              <w:rPr>
                <w:rFonts w:ascii="Verdana" w:hAnsi="Verdana"/>
                <w:sz w:val="18"/>
                <w:szCs w:val="18"/>
              </w:rPr>
              <w:t xml:space="preserve"> administered by an investigator </w:t>
            </w:r>
            <w:r w:rsidR="00EC6E48" w:rsidRPr="00CB239D">
              <w:rPr>
                <w:rFonts w:ascii="Verdana" w:hAnsi="Verdana"/>
                <w:sz w:val="18"/>
                <w:szCs w:val="18"/>
              </w:rPr>
              <w:t xml:space="preserve">that was not involved in the assessment process. </w:t>
            </w:r>
            <w:r w:rsidRPr="00CB239D">
              <w:rPr>
                <w:rFonts w:ascii="Verdana" w:hAnsi="Verdana"/>
                <w:sz w:val="18"/>
                <w:szCs w:val="18"/>
              </w:rPr>
              <w:t xml:space="preserve"> </w:t>
            </w:r>
          </w:p>
          <w:p w14:paraId="34829E38" w14:textId="05065546" w:rsidR="003764C4" w:rsidRPr="00CB239D" w:rsidRDefault="005C2426" w:rsidP="0096022F">
            <w:pPr>
              <w:pStyle w:val="ListParagraph"/>
              <w:numPr>
                <w:ilvl w:val="0"/>
                <w:numId w:val="18"/>
              </w:numPr>
              <w:spacing w:before="120" w:after="120"/>
              <w:rPr>
                <w:rFonts w:ascii="Verdana" w:hAnsi="Verdana"/>
                <w:sz w:val="18"/>
                <w:szCs w:val="18"/>
              </w:rPr>
            </w:pPr>
            <w:r w:rsidRPr="00CB239D">
              <w:rPr>
                <w:rFonts w:ascii="Verdana" w:hAnsi="Verdana"/>
                <w:sz w:val="18"/>
                <w:szCs w:val="18"/>
              </w:rPr>
              <w:t>S</w:t>
            </w:r>
            <w:r w:rsidR="003764C4" w:rsidRPr="00CB239D">
              <w:rPr>
                <w:rFonts w:ascii="Verdana" w:hAnsi="Verdana"/>
                <w:sz w:val="18"/>
                <w:szCs w:val="18"/>
              </w:rPr>
              <w:t xml:space="preserve">ubjects were </w:t>
            </w:r>
            <w:r w:rsidRPr="00CB239D">
              <w:rPr>
                <w:rFonts w:ascii="Verdana" w:hAnsi="Verdana"/>
                <w:sz w:val="18"/>
                <w:szCs w:val="18"/>
              </w:rPr>
              <w:t xml:space="preserve">not allowed to use NSAIDs 1 week prior to study and were </w:t>
            </w:r>
            <w:r w:rsidR="003764C4" w:rsidRPr="00CB239D">
              <w:rPr>
                <w:rFonts w:ascii="Verdana" w:hAnsi="Verdana"/>
                <w:sz w:val="18"/>
                <w:szCs w:val="18"/>
              </w:rPr>
              <w:t>instructed not to use NSAID</w:t>
            </w:r>
            <w:r w:rsidR="00EC6E48" w:rsidRPr="00CB239D">
              <w:rPr>
                <w:rFonts w:ascii="Verdana" w:hAnsi="Verdana"/>
                <w:sz w:val="18"/>
                <w:szCs w:val="18"/>
              </w:rPr>
              <w:t>s</w:t>
            </w:r>
            <w:r w:rsidRPr="00CB239D">
              <w:rPr>
                <w:rFonts w:ascii="Verdana" w:hAnsi="Verdana"/>
                <w:sz w:val="18"/>
                <w:szCs w:val="18"/>
              </w:rPr>
              <w:t xml:space="preserve"> </w:t>
            </w:r>
            <w:r w:rsidR="003764C4" w:rsidRPr="00CB239D">
              <w:rPr>
                <w:rFonts w:ascii="Verdana" w:hAnsi="Verdana"/>
                <w:sz w:val="18"/>
                <w:szCs w:val="18"/>
              </w:rPr>
              <w:t xml:space="preserve">for 1 month following the </w:t>
            </w:r>
            <w:r w:rsidR="00EC6E48" w:rsidRPr="00CB239D">
              <w:rPr>
                <w:rFonts w:ascii="Verdana" w:hAnsi="Verdana"/>
                <w:sz w:val="18"/>
                <w:szCs w:val="18"/>
              </w:rPr>
              <w:t>injection</w:t>
            </w:r>
            <w:r w:rsidR="003764C4" w:rsidRPr="00CB239D">
              <w:rPr>
                <w:rFonts w:ascii="Verdana" w:hAnsi="Verdana"/>
                <w:sz w:val="18"/>
                <w:szCs w:val="18"/>
              </w:rPr>
              <w:t xml:space="preserve">. </w:t>
            </w:r>
          </w:p>
          <w:p w14:paraId="11FC8B9C" w14:textId="5F021953" w:rsidR="003764C4" w:rsidRPr="00CB239D" w:rsidRDefault="003764C4" w:rsidP="0096022F">
            <w:pPr>
              <w:pStyle w:val="ListParagraph"/>
              <w:numPr>
                <w:ilvl w:val="0"/>
                <w:numId w:val="18"/>
              </w:numPr>
              <w:spacing w:before="120" w:after="120"/>
              <w:rPr>
                <w:rFonts w:ascii="Verdana" w:hAnsi="Verdana"/>
                <w:sz w:val="18"/>
                <w:szCs w:val="18"/>
              </w:rPr>
            </w:pPr>
            <w:r w:rsidRPr="00CB239D">
              <w:rPr>
                <w:rFonts w:ascii="Verdana" w:hAnsi="Verdana"/>
                <w:sz w:val="18"/>
                <w:szCs w:val="18"/>
              </w:rPr>
              <w:t xml:space="preserve">Subjects were given </w:t>
            </w:r>
            <w:r w:rsidR="00EC6E48" w:rsidRPr="00CB239D">
              <w:rPr>
                <w:rFonts w:ascii="Verdana" w:hAnsi="Verdana"/>
                <w:sz w:val="18"/>
                <w:szCs w:val="18"/>
              </w:rPr>
              <w:t xml:space="preserve">a </w:t>
            </w:r>
            <w:r w:rsidRPr="00CB239D">
              <w:rPr>
                <w:rFonts w:ascii="Verdana" w:hAnsi="Verdana"/>
                <w:sz w:val="18"/>
                <w:szCs w:val="18"/>
              </w:rPr>
              <w:t xml:space="preserve">stretching program that was focused on the plantar fascia and calf musculature. </w:t>
            </w:r>
          </w:p>
          <w:p w14:paraId="687C399A" w14:textId="77777777" w:rsidR="001D4F60" w:rsidRPr="00CB239D" w:rsidRDefault="001D4F60" w:rsidP="003764C4">
            <w:pPr>
              <w:spacing w:before="120" w:after="120"/>
              <w:rPr>
                <w:sz w:val="18"/>
                <w:szCs w:val="18"/>
              </w:rPr>
            </w:pPr>
          </w:p>
        </w:tc>
      </w:tr>
      <w:tr w:rsidR="001D4F60" w:rsidRPr="00CB239D" w14:paraId="5271328D" w14:textId="77777777" w:rsidTr="001D4F60">
        <w:tc>
          <w:tcPr>
            <w:tcW w:w="10421" w:type="dxa"/>
            <w:shd w:val="clear" w:color="auto" w:fill="auto"/>
          </w:tcPr>
          <w:p w14:paraId="138AE49E" w14:textId="77777777" w:rsidR="001D4F60" w:rsidRPr="00CB239D" w:rsidRDefault="001D4F60" w:rsidP="009E380F">
            <w:pPr>
              <w:spacing w:before="120" w:after="120"/>
              <w:rPr>
                <w:i/>
                <w:sz w:val="18"/>
                <w:szCs w:val="18"/>
              </w:rPr>
            </w:pPr>
            <w:r w:rsidRPr="00CB239D">
              <w:rPr>
                <w:i/>
                <w:sz w:val="18"/>
                <w:szCs w:val="18"/>
              </w:rPr>
              <w:t>Experimental</w:t>
            </w:r>
          </w:p>
        </w:tc>
      </w:tr>
      <w:tr w:rsidR="001D4F60" w:rsidRPr="00CB239D" w14:paraId="31557728" w14:textId="77777777" w:rsidTr="001D4F60">
        <w:tc>
          <w:tcPr>
            <w:tcW w:w="10421" w:type="dxa"/>
            <w:tcBorders>
              <w:bottom w:val="single" w:sz="4" w:space="0" w:color="auto"/>
            </w:tcBorders>
            <w:shd w:val="clear" w:color="auto" w:fill="auto"/>
          </w:tcPr>
          <w:p w14:paraId="1A11B466" w14:textId="445A6427" w:rsidR="00650043" w:rsidRPr="00CB239D" w:rsidRDefault="00162C9B" w:rsidP="005C2426">
            <w:pPr>
              <w:pStyle w:val="ListParagraph"/>
              <w:numPr>
                <w:ilvl w:val="0"/>
                <w:numId w:val="19"/>
              </w:numPr>
              <w:spacing w:before="120" w:after="120"/>
              <w:rPr>
                <w:rFonts w:ascii="Verdana" w:hAnsi="Verdana"/>
                <w:sz w:val="18"/>
                <w:szCs w:val="18"/>
              </w:rPr>
            </w:pPr>
            <w:r w:rsidRPr="00CB239D">
              <w:rPr>
                <w:rFonts w:ascii="Verdana" w:hAnsi="Verdana"/>
                <w:sz w:val="18"/>
                <w:szCs w:val="18"/>
              </w:rPr>
              <w:t>For the group A</w:t>
            </w:r>
            <w:r w:rsidR="0096022F" w:rsidRPr="00CB239D">
              <w:rPr>
                <w:rFonts w:ascii="Verdana" w:hAnsi="Verdana"/>
                <w:sz w:val="18"/>
                <w:szCs w:val="18"/>
              </w:rPr>
              <w:t xml:space="preserve"> </w:t>
            </w:r>
            <w:r w:rsidR="00B95A58" w:rsidRPr="00CB239D">
              <w:rPr>
                <w:rFonts w:ascii="Verdana" w:hAnsi="Verdana"/>
                <w:sz w:val="18"/>
                <w:szCs w:val="18"/>
              </w:rPr>
              <w:t>(25 individuals)</w:t>
            </w:r>
            <w:r w:rsidRPr="00CB239D">
              <w:rPr>
                <w:rFonts w:ascii="Verdana" w:hAnsi="Verdana"/>
                <w:sz w:val="18"/>
                <w:szCs w:val="18"/>
              </w:rPr>
              <w:t xml:space="preserve">, 27 mL of blood was withdrawn form the </w:t>
            </w:r>
            <w:proofErr w:type="spellStart"/>
            <w:r w:rsidRPr="00CB239D">
              <w:rPr>
                <w:rFonts w:ascii="Verdana" w:hAnsi="Verdana"/>
                <w:sz w:val="18"/>
                <w:szCs w:val="18"/>
              </w:rPr>
              <w:t>cubital</w:t>
            </w:r>
            <w:proofErr w:type="spellEnd"/>
            <w:r w:rsidRPr="00CB239D">
              <w:rPr>
                <w:rFonts w:ascii="Verdana" w:hAnsi="Verdana"/>
                <w:sz w:val="18"/>
                <w:szCs w:val="18"/>
              </w:rPr>
              <w:t xml:space="preserve"> vein and placed a tube that contained 3 mL of citrate dextrose solution, which was used to prevent blood clots. This blood was then centrifuged</w:t>
            </w:r>
            <w:r w:rsidR="0096022F" w:rsidRPr="00CB239D">
              <w:rPr>
                <w:rFonts w:ascii="Verdana" w:hAnsi="Verdana"/>
                <w:sz w:val="18"/>
                <w:szCs w:val="18"/>
              </w:rPr>
              <w:t xml:space="preserve"> for 12 minutes at</w:t>
            </w:r>
            <w:r w:rsidRPr="00CB239D">
              <w:rPr>
                <w:rFonts w:ascii="Verdana" w:hAnsi="Verdana"/>
                <w:sz w:val="18"/>
                <w:szCs w:val="18"/>
              </w:rPr>
              <w:t xml:space="preserve"> </w:t>
            </w:r>
            <w:proofErr w:type="spellStart"/>
            <w:r w:rsidRPr="00CB239D">
              <w:rPr>
                <w:rFonts w:ascii="Verdana" w:hAnsi="Verdana"/>
                <w:sz w:val="18"/>
                <w:szCs w:val="18"/>
              </w:rPr>
              <w:t>at</w:t>
            </w:r>
            <w:proofErr w:type="spellEnd"/>
            <w:r w:rsidRPr="00CB239D">
              <w:rPr>
                <w:rFonts w:ascii="Verdana" w:hAnsi="Verdana"/>
                <w:sz w:val="18"/>
                <w:szCs w:val="18"/>
              </w:rPr>
              <w:t xml:space="preserve"> 3200 </w:t>
            </w:r>
            <w:proofErr w:type="spellStart"/>
            <w:r w:rsidRPr="00CB239D">
              <w:rPr>
                <w:rFonts w:ascii="Verdana" w:hAnsi="Verdana"/>
                <w:sz w:val="18"/>
                <w:szCs w:val="18"/>
              </w:rPr>
              <w:t>rmp</w:t>
            </w:r>
            <w:proofErr w:type="spellEnd"/>
            <w:r w:rsidRPr="00CB239D">
              <w:rPr>
                <w:rFonts w:ascii="Verdana" w:hAnsi="Verdana"/>
                <w:sz w:val="18"/>
                <w:szCs w:val="18"/>
              </w:rPr>
              <w:t xml:space="preserve"> and 2.5-3 mL of platelet rich plasma was </w:t>
            </w:r>
            <w:r w:rsidR="0096022F" w:rsidRPr="00CB239D">
              <w:rPr>
                <w:rFonts w:ascii="Verdana" w:hAnsi="Verdana"/>
                <w:sz w:val="18"/>
                <w:szCs w:val="18"/>
              </w:rPr>
              <w:t>collected. Investigators did not use any</w:t>
            </w:r>
            <w:r w:rsidRPr="00CB239D">
              <w:rPr>
                <w:rFonts w:ascii="Verdana" w:hAnsi="Verdana"/>
                <w:sz w:val="18"/>
                <w:szCs w:val="18"/>
              </w:rPr>
              <w:t xml:space="preserve"> activation agents. Group B</w:t>
            </w:r>
            <w:r w:rsidR="00B95A58" w:rsidRPr="00CB239D">
              <w:rPr>
                <w:rFonts w:ascii="Verdana" w:hAnsi="Verdana"/>
                <w:sz w:val="18"/>
                <w:szCs w:val="18"/>
              </w:rPr>
              <w:t xml:space="preserve"> (25 individuals)</w:t>
            </w:r>
            <w:r w:rsidRPr="00CB239D">
              <w:rPr>
                <w:rFonts w:ascii="Verdana" w:hAnsi="Verdana"/>
                <w:sz w:val="18"/>
                <w:szCs w:val="18"/>
              </w:rPr>
              <w:t xml:space="preserve"> was injected with 2 mL of 40mg of methylprednisolone. Subjects </w:t>
            </w:r>
            <w:r w:rsidR="0096022F" w:rsidRPr="00CB239D">
              <w:rPr>
                <w:rFonts w:ascii="Verdana" w:hAnsi="Verdana"/>
                <w:sz w:val="18"/>
                <w:szCs w:val="18"/>
              </w:rPr>
              <w:t xml:space="preserve">in both groups </w:t>
            </w:r>
            <w:r w:rsidRPr="00CB239D">
              <w:rPr>
                <w:rFonts w:ascii="Verdana" w:hAnsi="Verdana"/>
                <w:sz w:val="18"/>
                <w:szCs w:val="18"/>
              </w:rPr>
              <w:t xml:space="preserve">were injected at the site of maximum tenderness using a 22g needle using the peppering technique. </w:t>
            </w:r>
          </w:p>
          <w:p w14:paraId="6659A082" w14:textId="3EE4AE7D" w:rsidR="003764C4" w:rsidRPr="00CB239D" w:rsidRDefault="003764C4" w:rsidP="005C2426">
            <w:pPr>
              <w:pStyle w:val="ListParagraph"/>
              <w:numPr>
                <w:ilvl w:val="0"/>
                <w:numId w:val="19"/>
              </w:numPr>
              <w:spacing w:before="120" w:after="120"/>
              <w:rPr>
                <w:rFonts w:ascii="Verdana" w:hAnsi="Verdana"/>
                <w:sz w:val="18"/>
                <w:szCs w:val="18"/>
              </w:rPr>
            </w:pPr>
            <w:r w:rsidRPr="00CB239D">
              <w:rPr>
                <w:rFonts w:ascii="Verdana" w:hAnsi="Verdana"/>
                <w:sz w:val="18"/>
                <w:szCs w:val="18"/>
              </w:rPr>
              <w:t>For blinding purposes, group B also had blood drawn and the injections was administered by an investigator that did no</w:t>
            </w:r>
            <w:r w:rsidR="0096022F" w:rsidRPr="00CB239D">
              <w:rPr>
                <w:rFonts w:ascii="Verdana" w:hAnsi="Verdana"/>
                <w:sz w:val="18"/>
                <w:szCs w:val="18"/>
              </w:rPr>
              <w:t>t perform any of the assessments</w:t>
            </w:r>
            <w:r w:rsidRPr="00CB239D">
              <w:rPr>
                <w:rFonts w:ascii="Verdana" w:hAnsi="Verdana"/>
                <w:sz w:val="18"/>
                <w:szCs w:val="18"/>
              </w:rPr>
              <w:t>.</w:t>
            </w:r>
          </w:p>
          <w:p w14:paraId="176F9284" w14:textId="7743DE59" w:rsidR="003764C4" w:rsidRPr="00CB239D" w:rsidRDefault="005C2426" w:rsidP="005C2426">
            <w:pPr>
              <w:pStyle w:val="ListParagraph"/>
              <w:numPr>
                <w:ilvl w:val="0"/>
                <w:numId w:val="19"/>
              </w:numPr>
              <w:spacing w:before="120" w:after="120"/>
              <w:rPr>
                <w:rFonts w:ascii="Verdana" w:hAnsi="Verdana"/>
                <w:sz w:val="18"/>
                <w:szCs w:val="18"/>
              </w:rPr>
            </w:pPr>
            <w:r w:rsidRPr="00CB239D">
              <w:rPr>
                <w:rFonts w:ascii="Verdana" w:hAnsi="Verdana"/>
                <w:sz w:val="18"/>
                <w:szCs w:val="18"/>
              </w:rPr>
              <w:t>Subjects were not allowed to use NSAIDs 1 week prior to study and were instructed not to use NSAID</w:t>
            </w:r>
            <w:r w:rsidR="00B25CBE" w:rsidRPr="00CB239D">
              <w:rPr>
                <w:rFonts w:ascii="Verdana" w:hAnsi="Verdana"/>
                <w:sz w:val="18"/>
                <w:szCs w:val="18"/>
              </w:rPr>
              <w:t>s</w:t>
            </w:r>
            <w:r w:rsidRPr="00CB239D">
              <w:rPr>
                <w:rFonts w:ascii="Verdana" w:hAnsi="Verdana"/>
                <w:sz w:val="18"/>
                <w:szCs w:val="18"/>
              </w:rPr>
              <w:t xml:space="preserve"> for 1 month following the procedure. </w:t>
            </w:r>
          </w:p>
          <w:p w14:paraId="2AF1D135" w14:textId="01B5E190" w:rsidR="001D4F60" w:rsidRPr="00CB239D" w:rsidRDefault="003764C4" w:rsidP="005C2426">
            <w:pPr>
              <w:pStyle w:val="ListParagraph"/>
              <w:numPr>
                <w:ilvl w:val="0"/>
                <w:numId w:val="19"/>
              </w:numPr>
              <w:spacing w:before="120" w:after="120"/>
              <w:rPr>
                <w:rFonts w:ascii="Verdana" w:hAnsi="Verdana"/>
                <w:sz w:val="18"/>
                <w:szCs w:val="18"/>
              </w:rPr>
            </w:pPr>
            <w:r w:rsidRPr="00CB239D">
              <w:rPr>
                <w:rFonts w:ascii="Verdana" w:hAnsi="Verdana"/>
                <w:sz w:val="18"/>
                <w:szCs w:val="18"/>
              </w:rPr>
              <w:t>Subjects were given</w:t>
            </w:r>
            <w:r w:rsidR="00B25CBE" w:rsidRPr="00CB239D">
              <w:rPr>
                <w:rFonts w:ascii="Verdana" w:hAnsi="Verdana"/>
                <w:sz w:val="18"/>
                <w:szCs w:val="18"/>
              </w:rPr>
              <w:t xml:space="preserve"> a</w:t>
            </w:r>
            <w:r w:rsidRPr="00CB239D">
              <w:rPr>
                <w:rFonts w:ascii="Verdana" w:hAnsi="Verdana"/>
                <w:sz w:val="18"/>
                <w:szCs w:val="18"/>
              </w:rPr>
              <w:t xml:space="preserve"> stretching program that was focused on the plantar fascia and calf musculature. </w:t>
            </w:r>
          </w:p>
          <w:p w14:paraId="19F39986" w14:textId="77777777" w:rsidR="001D4F60" w:rsidRPr="00CB239D" w:rsidRDefault="001D4F60" w:rsidP="009E380F">
            <w:pPr>
              <w:spacing w:before="120" w:after="120"/>
              <w:jc w:val="right"/>
              <w:rPr>
                <w:sz w:val="18"/>
                <w:szCs w:val="18"/>
              </w:rPr>
            </w:pPr>
          </w:p>
        </w:tc>
      </w:tr>
      <w:tr w:rsidR="001D4F60" w:rsidRPr="00CB239D" w14:paraId="1E0803BE" w14:textId="77777777" w:rsidTr="001D4F60">
        <w:tc>
          <w:tcPr>
            <w:tcW w:w="10421" w:type="dxa"/>
            <w:shd w:val="clear" w:color="auto" w:fill="E6E6E6"/>
          </w:tcPr>
          <w:p w14:paraId="36C90C54" w14:textId="77777777" w:rsidR="001D4F60" w:rsidRPr="00CB239D" w:rsidRDefault="001D4F60" w:rsidP="009E380F">
            <w:pPr>
              <w:spacing w:before="120" w:after="120"/>
              <w:rPr>
                <w:sz w:val="18"/>
                <w:szCs w:val="18"/>
              </w:rPr>
            </w:pPr>
            <w:r w:rsidRPr="00CB239D">
              <w:rPr>
                <w:b/>
                <w:sz w:val="18"/>
                <w:szCs w:val="18"/>
              </w:rPr>
              <w:t>Outcome Measures</w:t>
            </w:r>
          </w:p>
          <w:p w14:paraId="59EAC157" w14:textId="77777777" w:rsidR="001D4F60" w:rsidRPr="00CB239D" w:rsidRDefault="001D4F60" w:rsidP="009E380F">
            <w:pPr>
              <w:spacing w:before="120" w:after="120"/>
              <w:rPr>
                <w:sz w:val="18"/>
                <w:szCs w:val="18"/>
              </w:rPr>
            </w:pPr>
            <w:r w:rsidRPr="00CB239D">
              <w:rPr>
                <w:sz w:val="18"/>
                <w:szCs w:val="18"/>
              </w:rPr>
              <w:t>[Give details of each measure, maximum possible score and range for each measure, administered by whom, where]</w:t>
            </w:r>
          </w:p>
        </w:tc>
      </w:tr>
      <w:tr w:rsidR="001D4F60" w:rsidRPr="00CB239D" w14:paraId="55C59A1E" w14:textId="77777777" w:rsidTr="001D4F60">
        <w:tc>
          <w:tcPr>
            <w:tcW w:w="10421" w:type="dxa"/>
            <w:tcBorders>
              <w:bottom w:val="single" w:sz="4" w:space="0" w:color="auto"/>
            </w:tcBorders>
            <w:shd w:val="clear" w:color="auto" w:fill="auto"/>
          </w:tcPr>
          <w:p w14:paraId="35223CCB" w14:textId="71845BD2" w:rsidR="00DC7FEF" w:rsidRPr="00CB239D" w:rsidRDefault="004F2F33" w:rsidP="00DC7FEF">
            <w:pPr>
              <w:pStyle w:val="ListParagraph"/>
              <w:numPr>
                <w:ilvl w:val="0"/>
                <w:numId w:val="19"/>
              </w:numPr>
              <w:spacing w:before="120" w:after="120"/>
              <w:rPr>
                <w:rFonts w:ascii="Verdana" w:hAnsi="Verdana"/>
                <w:b/>
                <w:sz w:val="18"/>
                <w:szCs w:val="18"/>
              </w:rPr>
            </w:pPr>
            <w:r w:rsidRPr="00CB239D">
              <w:rPr>
                <w:rFonts w:ascii="Verdana" w:hAnsi="Verdana"/>
                <w:b/>
                <w:sz w:val="18"/>
                <w:szCs w:val="18"/>
              </w:rPr>
              <w:t>Visual Analog Scale</w:t>
            </w:r>
            <w:r w:rsidR="003764C4" w:rsidRPr="00CB239D">
              <w:rPr>
                <w:rFonts w:ascii="Verdana" w:hAnsi="Verdana"/>
                <w:b/>
                <w:sz w:val="18"/>
                <w:szCs w:val="18"/>
              </w:rPr>
              <w:t xml:space="preserve"> (VAS)</w:t>
            </w:r>
            <w:r w:rsidRPr="00CB239D">
              <w:rPr>
                <w:rFonts w:ascii="Verdana" w:hAnsi="Verdana"/>
                <w:b/>
                <w:sz w:val="18"/>
                <w:szCs w:val="18"/>
              </w:rPr>
              <w:t xml:space="preserve"> for Pain</w:t>
            </w:r>
          </w:p>
          <w:p w14:paraId="28C26217" w14:textId="3C6CA76E" w:rsidR="00C77D32" w:rsidRPr="00CB239D" w:rsidRDefault="00DC7FEF" w:rsidP="00C77D32">
            <w:pPr>
              <w:pStyle w:val="ListParagraph"/>
              <w:numPr>
                <w:ilvl w:val="0"/>
                <w:numId w:val="19"/>
              </w:numPr>
              <w:spacing w:before="120" w:after="120"/>
              <w:rPr>
                <w:rFonts w:ascii="Verdana" w:hAnsi="Verdana"/>
                <w:sz w:val="18"/>
                <w:szCs w:val="18"/>
              </w:rPr>
            </w:pPr>
            <w:r w:rsidRPr="00CB239D">
              <w:rPr>
                <w:rFonts w:ascii="Verdana" w:hAnsi="Verdana"/>
                <w:sz w:val="18"/>
                <w:szCs w:val="18"/>
              </w:rPr>
              <w:t xml:space="preserve">A unidimensional measure of pain that uses a continuum of values to </w:t>
            </w:r>
            <w:r w:rsidR="00847A9E" w:rsidRPr="00CB239D">
              <w:rPr>
                <w:rFonts w:ascii="Verdana" w:hAnsi="Verdana"/>
                <w:sz w:val="18"/>
                <w:szCs w:val="18"/>
              </w:rPr>
              <w:t>rate</w:t>
            </w:r>
            <w:r w:rsidRPr="00CB239D">
              <w:rPr>
                <w:rFonts w:ascii="Verdana" w:hAnsi="Verdana"/>
                <w:sz w:val="18"/>
                <w:szCs w:val="18"/>
              </w:rPr>
              <w:t xml:space="preserve"> pain from none to worse</w:t>
            </w:r>
            <w:r w:rsidR="00847A9E" w:rsidRPr="00CB239D">
              <w:rPr>
                <w:rFonts w:ascii="Verdana" w:hAnsi="Verdana"/>
                <w:sz w:val="18"/>
                <w:szCs w:val="18"/>
              </w:rPr>
              <w:t xml:space="preserve"> possible</w:t>
            </w:r>
            <w:r w:rsidRPr="00CB239D">
              <w:rPr>
                <w:rFonts w:ascii="Verdana" w:hAnsi="Verdana"/>
                <w:sz w:val="18"/>
                <w:szCs w:val="18"/>
              </w:rPr>
              <w:t xml:space="preserve"> pain</w:t>
            </w:r>
            <w:r w:rsidR="00E56D26" w:rsidRPr="00E56D26">
              <w:rPr>
                <w:rFonts w:ascii="Verdana" w:hAnsi="Verdana"/>
                <w:sz w:val="18"/>
                <w:szCs w:val="18"/>
                <w:vertAlign w:val="superscript"/>
              </w:rPr>
              <w:t>24</w:t>
            </w:r>
            <w:r w:rsidR="00E56D26">
              <w:rPr>
                <w:rFonts w:ascii="Verdana" w:hAnsi="Verdana"/>
                <w:sz w:val="18"/>
                <w:szCs w:val="18"/>
              </w:rPr>
              <w:t>.</w:t>
            </w:r>
            <w:r w:rsidRPr="00CB239D">
              <w:rPr>
                <w:rFonts w:ascii="Verdana" w:hAnsi="Verdana"/>
                <w:sz w:val="18"/>
                <w:szCs w:val="18"/>
              </w:rPr>
              <w:t xml:space="preserve"> This spectrum allows user to rate their pain without using categories</w:t>
            </w:r>
            <w:r w:rsidR="00E56D26" w:rsidRPr="00E56D26">
              <w:rPr>
                <w:rFonts w:ascii="Verdana" w:hAnsi="Verdana"/>
                <w:sz w:val="18"/>
                <w:szCs w:val="18"/>
                <w:vertAlign w:val="superscript"/>
              </w:rPr>
              <w:t>24</w:t>
            </w:r>
            <w:r w:rsidR="00E56D26">
              <w:rPr>
                <w:rFonts w:ascii="Verdana" w:hAnsi="Verdana"/>
                <w:sz w:val="18"/>
                <w:szCs w:val="18"/>
              </w:rPr>
              <w:t>.</w:t>
            </w:r>
            <w:r w:rsidRPr="00CB239D">
              <w:rPr>
                <w:rFonts w:ascii="Verdana" w:hAnsi="Verdana"/>
                <w:sz w:val="18"/>
                <w:szCs w:val="18"/>
              </w:rPr>
              <w:t xml:space="preserve"> </w:t>
            </w:r>
            <w:r w:rsidR="00C77D32" w:rsidRPr="00CB239D">
              <w:rPr>
                <w:rFonts w:ascii="Verdana" w:hAnsi="Verdana"/>
                <w:sz w:val="18"/>
                <w:szCs w:val="18"/>
              </w:rPr>
              <w:t xml:space="preserve">Score is made by measuring the distance, using mm, between the no pain </w:t>
            </w:r>
            <w:proofErr w:type="gramStart"/>
            <w:r w:rsidR="00C77D32" w:rsidRPr="00CB239D">
              <w:rPr>
                <w:rFonts w:ascii="Verdana" w:hAnsi="Verdana"/>
                <w:sz w:val="18"/>
                <w:szCs w:val="18"/>
              </w:rPr>
              <w:t>line</w:t>
            </w:r>
            <w:proofErr w:type="gramEnd"/>
            <w:r w:rsidR="00C77D32" w:rsidRPr="00CB239D">
              <w:rPr>
                <w:rFonts w:ascii="Verdana" w:hAnsi="Verdana"/>
                <w:sz w:val="18"/>
                <w:szCs w:val="18"/>
              </w:rPr>
              <w:t xml:space="preserve"> to the patient’s mark. </w:t>
            </w:r>
            <w:r w:rsidR="00B07F5C" w:rsidRPr="00CB239D">
              <w:rPr>
                <w:rFonts w:ascii="Verdana" w:hAnsi="Verdana"/>
                <w:sz w:val="18"/>
                <w:szCs w:val="18"/>
              </w:rPr>
              <w:t>The longer the distance, the worse the pain.</w:t>
            </w:r>
          </w:p>
          <w:p w14:paraId="518F9A79" w14:textId="7107840F" w:rsidR="00F15D8E" w:rsidRPr="00CB239D" w:rsidRDefault="00F15D8E" w:rsidP="00C77D32">
            <w:pPr>
              <w:pStyle w:val="ListParagraph"/>
              <w:numPr>
                <w:ilvl w:val="0"/>
                <w:numId w:val="19"/>
              </w:numPr>
              <w:spacing w:before="120" w:after="120"/>
              <w:rPr>
                <w:rFonts w:ascii="Verdana" w:hAnsi="Verdana"/>
                <w:sz w:val="18"/>
                <w:szCs w:val="18"/>
              </w:rPr>
            </w:pPr>
            <w:r w:rsidRPr="00CB239D">
              <w:rPr>
                <w:rFonts w:ascii="Verdana" w:hAnsi="Verdana"/>
                <w:sz w:val="18"/>
                <w:szCs w:val="18"/>
              </w:rPr>
              <w:t>MCID 30.0mm</w:t>
            </w:r>
            <w:r w:rsidR="008D6ED2" w:rsidRPr="00CB239D">
              <w:rPr>
                <w:rFonts w:ascii="Verdana" w:hAnsi="Verdana"/>
                <w:sz w:val="18"/>
                <w:szCs w:val="18"/>
              </w:rPr>
              <w:t xml:space="preserve"> on a 100.0 mm scale</w:t>
            </w:r>
            <w:r w:rsidRPr="00CB239D">
              <w:rPr>
                <w:rFonts w:ascii="Verdana" w:hAnsi="Verdana"/>
                <w:sz w:val="18"/>
                <w:szCs w:val="18"/>
              </w:rPr>
              <w:t xml:space="preserve"> or 3</w:t>
            </w:r>
            <w:r w:rsidR="008D6ED2" w:rsidRPr="00CB239D">
              <w:rPr>
                <w:rFonts w:ascii="Verdana" w:hAnsi="Verdana"/>
                <w:sz w:val="18"/>
                <w:szCs w:val="18"/>
              </w:rPr>
              <w:t>/10</w:t>
            </w:r>
            <w:r w:rsidR="008D6ED2" w:rsidRPr="00CB239D">
              <w:rPr>
                <w:rFonts w:ascii="Verdana" w:hAnsi="Verdana"/>
                <w:sz w:val="18"/>
                <w:szCs w:val="18"/>
              </w:rPr>
              <w:fldChar w:fldCharType="begin"/>
            </w:r>
            <w:r w:rsidR="00CB239D">
              <w:rPr>
                <w:rFonts w:ascii="Verdana" w:hAnsi="Verdana"/>
                <w:sz w:val="18"/>
                <w:szCs w:val="18"/>
              </w:rPr>
              <w:instrText>ADDIN F1000_CSL_CITATION&lt;~#@#~&gt;[{"First":false,"Last":false,"PMID":"14525749","abstract":"&lt;strong&gt;OBJECTIVES:&lt;/strong&gt; To define the minimum clinically important difference (MCID) for the visual analog scale (VAS) of pain severity by measuring the change in VAS associated with adequate pain control.&lt;br&gt;&lt;br&gt;&lt;strong&gt;METHODS:&lt;/strong&gt; The authors conducted a prospective, observational study. Adult emergency department (ED) patients with acute pain (&lt; 72 hours) were eligible. Patients rated their pain severity on a 100-mm VAS on presentation and at discharge. Patients were asked if they would accept any analgesic, then if they would accept a parenteral analgesic before treatment. At discharge, they were asked whether they had received adequate pain control.&lt;br&gt;&lt;br&gt;&lt;strong&gt;RESULTS:&lt;/strong&gt; The authors enrolled 143 patients (mean age, 36 years; 54% female). The mean decrease in VAS was -30.0 mm (95% confidence interval [CI] = -36.4 to -23.6) for the 116 of 143 (81%) patients with adequate pain control at discharge vs. -5.7 (95% CI = -11.2 to -0.3) for the 27 with inadequate pain control (p &lt;  0.001). At discharge, the mean VAS was 31.3 mm for those with adequate pain control vs. 55.1 for those without. Mean VAS for the 114 of 143 patients who would accept any analgesics initially was 64.7 vs. 47.1 for the 29 reporting no analgesic need. Initially, 77 patients would accept parenteral analgesics (mean VAS = 72.5 mm).&lt;br&gt;&lt;br&gt;&lt;strong&gt;CONCLUSIONS:&lt;/strong&gt; A mean reduction in VAS of 30.0 mm represents a clinically important difference in pain severity that corresponds to patients' perception of adequate pain control. Defining MCID based on adequate analgesic control rather than minimal detectable change may be more appropriate for future analgesic trials, when effective treatments for acute pain exist.","author":[{"family":"Lee","given":"Jacques Simon"},{"family":"Hobden","given":"Elisabeth"},{"family":"Stiell","given":"Ian G"},{"family":"Wells","given":"George A"}],"authorYearDisplayFormat":false,"citation-label":"4504886","container-title":"Academic Emergency Medicine","container-title-short":"Acad Emerg Med","id":"4504886","invisible":false,"issue":"10","issued":{"date-parts":[["2003","10"]]},"journalAbbreviation":"Acad Emerg Med","page":"1128-1130","suppress-author":false,"title":"Clinically important change in the visual analog scale after adequate pain control.","type":"article-journal","volume":"10"}]</w:instrText>
            </w:r>
            <w:r w:rsidR="008D6ED2" w:rsidRPr="00CB239D">
              <w:rPr>
                <w:rFonts w:ascii="Verdana" w:hAnsi="Verdana"/>
                <w:sz w:val="18"/>
                <w:szCs w:val="18"/>
              </w:rPr>
              <w:fldChar w:fldCharType="separate"/>
            </w:r>
            <w:r w:rsidR="00CB239D" w:rsidRPr="00CB239D">
              <w:rPr>
                <w:rFonts w:ascii="Verdana" w:hAnsi="Verdana"/>
                <w:noProof/>
                <w:sz w:val="18"/>
                <w:szCs w:val="18"/>
                <w:vertAlign w:val="superscript"/>
              </w:rPr>
              <w:t>13</w:t>
            </w:r>
            <w:r w:rsidR="008D6ED2" w:rsidRPr="00CB239D">
              <w:rPr>
                <w:rFonts w:ascii="Verdana" w:hAnsi="Verdana"/>
                <w:sz w:val="18"/>
                <w:szCs w:val="18"/>
              </w:rPr>
              <w:fldChar w:fldCharType="end"/>
            </w:r>
          </w:p>
          <w:p w14:paraId="56B030C6" w14:textId="77777777" w:rsidR="00C77D32" w:rsidRPr="00CB239D" w:rsidRDefault="00C77D32" w:rsidP="00C77D32">
            <w:pPr>
              <w:pStyle w:val="ListParagraph"/>
              <w:spacing w:before="120" w:after="120"/>
              <w:rPr>
                <w:rFonts w:ascii="Verdana" w:hAnsi="Verdana"/>
                <w:sz w:val="18"/>
                <w:szCs w:val="18"/>
              </w:rPr>
            </w:pPr>
          </w:p>
          <w:p w14:paraId="77C44615" w14:textId="77777777" w:rsidR="00DC7FEF" w:rsidRPr="00CB239D" w:rsidRDefault="00DC7FEF" w:rsidP="00DC7FEF">
            <w:pPr>
              <w:pStyle w:val="ListParagraph"/>
              <w:numPr>
                <w:ilvl w:val="0"/>
                <w:numId w:val="19"/>
              </w:numPr>
              <w:spacing w:before="120" w:after="120"/>
              <w:rPr>
                <w:rFonts w:ascii="Verdana" w:hAnsi="Verdana"/>
                <w:b/>
                <w:sz w:val="18"/>
                <w:szCs w:val="18"/>
              </w:rPr>
            </w:pPr>
            <w:r w:rsidRPr="00CB239D">
              <w:rPr>
                <w:rFonts w:ascii="Verdana" w:hAnsi="Verdana"/>
                <w:b/>
                <w:sz w:val="18"/>
                <w:szCs w:val="18"/>
              </w:rPr>
              <w:t>Orthopaedic Foot and Ankle Society (AOFAS) Ankle and Hindfoot Scale</w:t>
            </w:r>
          </w:p>
          <w:p w14:paraId="3B0839D5" w14:textId="0BC2B7E6" w:rsidR="001835BB" w:rsidRPr="00CB239D" w:rsidRDefault="0000342F" w:rsidP="001835BB">
            <w:pPr>
              <w:pStyle w:val="ListParagraph"/>
              <w:numPr>
                <w:ilvl w:val="0"/>
                <w:numId w:val="19"/>
              </w:numPr>
              <w:spacing w:before="120" w:after="120"/>
              <w:rPr>
                <w:rFonts w:ascii="Verdana" w:hAnsi="Verdana"/>
                <w:sz w:val="18"/>
                <w:szCs w:val="18"/>
              </w:rPr>
            </w:pPr>
            <w:r w:rsidRPr="00CB239D">
              <w:rPr>
                <w:rFonts w:ascii="Verdana" w:hAnsi="Verdana"/>
                <w:sz w:val="18"/>
                <w:szCs w:val="18"/>
              </w:rPr>
              <w:t>This o</w:t>
            </w:r>
            <w:r w:rsidR="00DC7FEF" w:rsidRPr="00CB239D">
              <w:rPr>
                <w:rFonts w:ascii="Verdana" w:hAnsi="Verdana"/>
                <w:sz w:val="18"/>
                <w:szCs w:val="18"/>
              </w:rPr>
              <w:t xml:space="preserve">utcome measure </w:t>
            </w:r>
            <w:r w:rsidRPr="00CB239D">
              <w:rPr>
                <w:rFonts w:ascii="Verdana" w:hAnsi="Verdana"/>
                <w:sz w:val="18"/>
                <w:szCs w:val="18"/>
              </w:rPr>
              <w:t xml:space="preserve">assesses the ankle using </w:t>
            </w:r>
            <w:r w:rsidR="00DC7FEF" w:rsidRPr="00CB239D">
              <w:rPr>
                <w:rFonts w:ascii="Verdana" w:hAnsi="Verdana"/>
                <w:sz w:val="18"/>
                <w:szCs w:val="18"/>
              </w:rPr>
              <w:t>b</w:t>
            </w:r>
            <w:r w:rsidRPr="00CB239D">
              <w:rPr>
                <w:rFonts w:ascii="Verdana" w:hAnsi="Verdana"/>
                <w:sz w:val="18"/>
                <w:szCs w:val="18"/>
              </w:rPr>
              <w:t>oth a patient report</w:t>
            </w:r>
            <w:r w:rsidR="00D43910" w:rsidRPr="00CB239D">
              <w:rPr>
                <w:rFonts w:ascii="Verdana" w:hAnsi="Verdana"/>
                <w:sz w:val="18"/>
                <w:szCs w:val="18"/>
              </w:rPr>
              <w:t xml:space="preserve"> (subjective)</w:t>
            </w:r>
            <w:r w:rsidRPr="00CB239D">
              <w:rPr>
                <w:rFonts w:ascii="Verdana" w:hAnsi="Verdana"/>
                <w:sz w:val="18"/>
                <w:szCs w:val="18"/>
              </w:rPr>
              <w:t xml:space="preserve"> and clinician report</w:t>
            </w:r>
            <w:r w:rsidR="00D43910" w:rsidRPr="00CB239D">
              <w:rPr>
                <w:rFonts w:ascii="Verdana" w:hAnsi="Verdana"/>
                <w:sz w:val="18"/>
                <w:szCs w:val="18"/>
              </w:rPr>
              <w:t xml:space="preserve"> (objective)</w:t>
            </w:r>
            <w:r w:rsidRPr="00CB239D">
              <w:rPr>
                <w:rFonts w:ascii="Verdana" w:hAnsi="Verdana"/>
                <w:sz w:val="18"/>
                <w:szCs w:val="18"/>
              </w:rPr>
              <w:t xml:space="preserve"> sections</w:t>
            </w:r>
            <w:r w:rsidR="00D43910" w:rsidRPr="00CB239D">
              <w:rPr>
                <w:rFonts w:ascii="Verdana" w:hAnsi="Verdana"/>
                <w:sz w:val="18"/>
                <w:szCs w:val="18"/>
              </w:rPr>
              <w:fldChar w:fldCharType="begin"/>
            </w:r>
            <w:r w:rsidR="00CB239D">
              <w:rPr>
                <w:rFonts w:ascii="Verdana" w:hAnsi="Verdana"/>
                <w:sz w:val="18"/>
                <w:szCs w:val="18"/>
              </w:rPr>
              <w:instrText>ADDIN F1000_CSL_CITATION&lt;~#@#~&gt;[{"DOI":"10.1136/bmjopen-2016-012884","First":false,"Last":false,"PMCID":"PMC5337732","PMID":"28242768","abstract":"&lt;strong&gt;INTRODUCTION:&lt;/strong&gt; The American Orthopaedic Foot and Ankle Society (AOFAS) Ankle-Hindfoot Score is among the most commonly used instruments for measuring the outcome of treatment in patients who sustained a complex ankle or hindfoot injury. It combines a clinician-reported and a patient-reported part. A valid Dutch version of this instrument is currently not available. Such a translated and validated instrument would allow objective comparison across hospitals or between patient groups, and with shown validity and reliability it may become a quality of care indicator in future. The main aims of this study are to translate and culturally adapt the AOFAS Ankle-Hindfoot Score questionnaire into Dutch according to international guidelines, and to evaluate the measurement properties of the AOFAS Ankle-Hindfoot Score-Dutch language version (DLV) in patients with a unilateral ankle or hindfoot fracture.&lt;br&gt;&lt;br&gt;&lt;strong&gt;METHODS AND ANALYSIS:&lt;/strong&gt; The design of the study will be a multicentre prospective observational study (case series) in patients who presented to the emergency department with a unilateral ankle or hindfoot fracture or (fracture) dislocation. A research physician or research assistant will complete the AOFAS Ankle-Hindfoot Score-DLV based on interview for the subjective part and a physical examination for the objective part. In addition, patients will be asked to complete the Foot Function Index (FFI) and the Short Form-36 (SF-36). Descriptive statistics (including floor and ceiling effects), internal consistency, construct validity, reproducibility (ie, test-retest reliability, agreement and smallest detectable change) and responsiveness will be assessed for the AOFAS DLV.&lt;br&gt;&lt;br&gt;&lt;strong&gt;ETHICS AND DISSEMINATION:&lt;/strong&gt; This study has been exempted by the Medical Research Ethics Committee (MREC) Erasmus MC (Rotterdam, the Netherlands). Each participant will provide written consent to participate and remain anonymised during the study. The results of the study are planned to be published in an international, peer-reviewed journal.&lt;br&gt;&lt;br&gt;&lt;strong&gt;TRIAL REGISTRATION NUMBER:&lt;/strong&gt; NTR5613. pre-result.&lt;br&gt;&lt;br&gt;Published by the BMJ Publishing Group Limited. For permission to use (where not already granted under a licence) please go to http://www.bmj.com/company/products-services/rights-and-licensing/.","author":[{"family":"Van Lieshout","given":"Esther M M"},{"family":"De Boer","given":"A Siebe"},{"family":"Meuffels","given":"Duncan E"},{"family":"Den Hoed","given":"P Ted"},{"family":"Van der Vlies","given":"Cornelis H"},{"family":"Tuinebreijer","given":"Wim E"},{"family":"Verhofstad","given":"Michael H J"}],"authorYearDisplayFormat":false,"citation-label":"4470098","container-title":"BMJ open","container-title-short":"BMJ Open","id":"4470098","invisible":false,"issue":"2","issued":{"date-parts":[["2017","2","27"]]},"journalAbbreviation":"BMJ Open","page":"e012884","suppress-author":false,"title":"American Orthopaedic Foot and Ankle Society (AOFAS) Ankle-Hindfoot Score: a study protocol for the translation and validation of the Dutch language version.","type":"article-journal","volume":"7"}]</w:instrText>
            </w:r>
            <w:r w:rsidR="00D43910" w:rsidRPr="00CB239D">
              <w:rPr>
                <w:rFonts w:ascii="Verdana" w:hAnsi="Verdana"/>
                <w:sz w:val="18"/>
                <w:szCs w:val="18"/>
              </w:rPr>
              <w:fldChar w:fldCharType="separate"/>
            </w:r>
            <w:r w:rsidR="00CB239D" w:rsidRPr="00CB239D">
              <w:rPr>
                <w:rFonts w:ascii="Verdana" w:hAnsi="Verdana"/>
                <w:noProof/>
                <w:sz w:val="18"/>
                <w:szCs w:val="18"/>
                <w:vertAlign w:val="superscript"/>
              </w:rPr>
              <w:t>14</w:t>
            </w:r>
            <w:r w:rsidR="00D43910" w:rsidRPr="00CB239D">
              <w:rPr>
                <w:rFonts w:ascii="Verdana" w:hAnsi="Verdana"/>
                <w:sz w:val="18"/>
                <w:szCs w:val="18"/>
              </w:rPr>
              <w:fldChar w:fldCharType="end"/>
            </w:r>
            <w:r w:rsidRPr="00CB239D">
              <w:rPr>
                <w:rFonts w:ascii="Verdana" w:hAnsi="Verdana"/>
                <w:sz w:val="18"/>
                <w:szCs w:val="18"/>
              </w:rPr>
              <w:t>. AOFAS is comprised of 3 sections that include pain (40 points), function (50 points), and alignment (10 points).</w:t>
            </w:r>
            <w:r w:rsidR="00D43910" w:rsidRPr="00CB239D">
              <w:rPr>
                <w:rFonts w:ascii="Verdana" w:hAnsi="Verdana"/>
                <w:sz w:val="18"/>
                <w:szCs w:val="18"/>
              </w:rPr>
              <w:t xml:space="preserve"> Measure is scored out of 100 points and higher the score the less impairment/pain.</w:t>
            </w:r>
          </w:p>
          <w:p w14:paraId="0EF6C742" w14:textId="663FEA58" w:rsidR="001835BB" w:rsidRPr="00CB239D" w:rsidRDefault="001835BB" w:rsidP="00A81B58">
            <w:pPr>
              <w:pStyle w:val="ListParagraph"/>
              <w:numPr>
                <w:ilvl w:val="0"/>
                <w:numId w:val="19"/>
              </w:numPr>
              <w:spacing w:before="120" w:after="120"/>
              <w:rPr>
                <w:rFonts w:ascii="Verdana" w:hAnsi="Verdana"/>
                <w:sz w:val="18"/>
                <w:szCs w:val="18"/>
              </w:rPr>
            </w:pPr>
            <w:r w:rsidRPr="00CB239D">
              <w:rPr>
                <w:rFonts w:ascii="Verdana" w:hAnsi="Verdana" w:cs="Arial"/>
                <w:color w:val="000000"/>
                <w:sz w:val="18"/>
                <w:szCs w:val="18"/>
                <w:shd w:val="clear" w:color="auto" w:fill="FFFFFF"/>
              </w:rPr>
              <w:t>MCID 7.9</w:t>
            </w:r>
            <w:r w:rsidRPr="00CB239D">
              <w:rPr>
                <w:rFonts w:ascii="Verdana" w:hAnsi="Verdana" w:cs="Arial"/>
                <w:color w:val="000000"/>
                <w:sz w:val="18"/>
                <w:szCs w:val="18"/>
                <w:shd w:val="clear" w:color="auto" w:fill="FFFFFF"/>
              </w:rPr>
              <w:fldChar w:fldCharType="begin"/>
            </w:r>
            <w:r w:rsidR="00CB239D">
              <w:rPr>
                <w:rFonts w:ascii="Verdana" w:hAnsi="Verdana" w:cs="Arial"/>
                <w:color w:val="000000"/>
                <w:sz w:val="18"/>
                <w:szCs w:val="18"/>
                <w:shd w:val="clear" w:color="auto" w:fill="FFFFFF"/>
              </w:rPr>
              <w:instrText>ADDIN F1000_CSL_CITATION&lt;~#@#~&gt;[{"DOI":"10.1177/1071100716688724","First":false,"Last":false,"PMID":"28193121","author":[{"family":"Chan","given":"Hiok Yang"},{"family":"Chen","given":"Jerry Yongqiang"},{"family":"Zainul-Abidin","given":"Suraya"},{"family":"Ying","given":"Hao"},{"family":"Koo","given":"Kevin"},{"family":"Rikhraj","given":"Inderjeet Singh"}],"authorYearDisplayFormat":false,"citation-label":"4504912","container-title":"Foot &amp; Ankle International","container-title-short":"Foot Ankle Int","id":"4504912","invisible":false,"issue":"5","issued":{"date-parts":[["2017","5"]]},"journalAbbreviation":"Foot Ankle Int","page":"551-557","suppress-author":false,"title":"Minimal clinically important differences for american orthopaedic foot &amp; ankle society score in hallux valgus surgery.","type":"article-journal","volume":"38"}]</w:instrText>
            </w:r>
            <w:r w:rsidRPr="00CB239D">
              <w:rPr>
                <w:rFonts w:ascii="Verdana" w:hAnsi="Verdana" w:cs="Arial"/>
                <w:color w:val="000000"/>
                <w:sz w:val="18"/>
                <w:szCs w:val="18"/>
                <w:shd w:val="clear" w:color="auto" w:fill="FFFFFF"/>
              </w:rPr>
              <w:fldChar w:fldCharType="separate"/>
            </w:r>
            <w:r w:rsidR="00CB239D" w:rsidRPr="00CB239D">
              <w:rPr>
                <w:rFonts w:ascii="Verdana" w:hAnsi="Verdana" w:cs="Arial"/>
                <w:noProof/>
                <w:color w:val="000000"/>
                <w:sz w:val="18"/>
                <w:szCs w:val="18"/>
                <w:shd w:val="clear" w:color="auto" w:fill="FFFFFF"/>
                <w:vertAlign w:val="superscript"/>
              </w:rPr>
              <w:t>15</w:t>
            </w:r>
            <w:r w:rsidRPr="00CB239D">
              <w:rPr>
                <w:rFonts w:ascii="Verdana" w:hAnsi="Verdana" w:cs="Arial"/>
                <w:color w:val="000000"/>
                <w:sz w:val="18"/>
                <w:szCs w:val="18"/>
                <w:shd w:val="clear" w:color="auto" w:fill="FFFFFF"/>
              </w:rPr>
              <w:fldChar w:fldCharType="end"/>
            </w:r>
          </w:p>
          <w:p w14:paraId="1947C605" w14:textId="323A6C3E" w:rsidR="00C77D32" w:rsidRPr="00CB239D" w:rsidRDefault="00C77D32" w:rsidP="00C77D32">
            <w:pPr>
              <w:pStyle w:val="ListParagraph"/>
              <w:spacing w:before="120" w:after="120"/>
              <w:rPr>
                <w:rFonts w:ascii="Verdana" w:hAnsi="Verdana"/>
                <w:sz w:val="18"/>
                <w:szCs w:val="18"/>
              </w:rPr>
            </w:pPr>
          </w:p>
          <w:p w14:paraId="782DC54B" w14:textId="77777777" w:rsidR="001835BB" w:rsidRPr="00CB239D" w:rsidRDefault="001835BB" w:rsidP="00C77D32">
            <w:pPr>
              <w:pStyle w:val="ListParagraph"/>
              <w:spacing w:before="120" w:after="120"/>
              <w:rPr>
                <w:rFonts w:ascii="Verdana" w:hAnsi="Verdana"/>
                <w:sz w:val="18"/>
                <w:szCs w:val="18"/>
              </w:rPr>
            </w:pPr>
          </w:p>
          <w:p w14:paraId="24C0C15D" w14:textId="49F1CC1F" w:rsidR="00C77D32" w:rsidRPr="00CB239D" w:rsidRDefault="00C77D32" w:rsidP="00C77D32">
            <w:pPr>
              <w:pStyle w:val="ListParagraph"/>
              <w:numPr>
                <w:ilvl w:val="0"/>
                <w:numId w:val="19"/>
              </w:numPr>
              <w:spacing w:before="120" w:after="120"/>
              <w:rPr>
                <w:rFonts w:ascii="Verdana" w:hAnsi="Verdana"/>
                <w:sz w:val="18"/>
                <w:szCs w:val="18"/>
              </w:rPr>
            </w:pPr>
            <w:r w:rsidRPr="00CB239D">
              <w:rPr>
                <w:rFonts w:ascii="Verdana" w:hAnsi="Verdana"/>
                <w:sz w:val="18"/>
                <w:szCs w:val="18"/>
              </w:rPr>
              <w:t xml:space="preserve">Patients were assessed at </w:t>
            </w:r>
            <w:r w:rsidR="00650B61" w:rsidRPr="00CB239D">
              <w:rPr>
                <w:rFonts w:ascii="Verdana" w:hAnsi="Verdana"/>
                <w:sz w:val="18"/>
                <w:szCs w:val="18"/>
              </w:rPr>
              <w:t xml:space="preserve">baseline, at </w:t>
            </w:r>
            <w:r w:rsidRPr="00CB239D">
              <w:rPr>
                <w:rFonts w:ascii="Verdana" w:hAnsi="Verdana"/>
                <w:sz w:val="18"/>
                <w:szCs w:val="18"/>
              </w:rPr>
              <w:t>3 weeks</w:t>
            </w:r>
            <w:r w:rsidR="00650B61" w:rsidRPr="00CB239D">
              <w:rPr>
                <w:rFonts w:ascii="Verdana" w:hAnsi="Verdana"/>
                <w:sz w:val="18"/>
                <w:szCs w:val="18"/>
              </w:rPr>
              <w:t>,</w:t>
            </w:r>
            <w:r w:rsidRPr="00CB239D">
              <w:rPr>
                <w:rFonts w:ascii="Verdana" w:hAnsi="Verdana"/>
                <w:sz w:val="18"/>
                <w:szCs w:val="18"/>
              </w:rPr>
              <w:t xml:space="preserve"> and at 3 months post injection by a blinded investigator.</w:t>
            </w:r>
          </w:p>
          <w:p w14:paraId="3C279681" w14:textId="2BBA224E" w:rsidR="00C77D32" w:rsidRPr="00CB239D" w:rsidRDefault="00C77D32" w:rsidP="00C77D32">
            <w:pPr>
              <w:pStyle w:val="ListParagraph"/>
              <w:spacing w:before="120" w:after="120"/>
              <w:rPr>
                <w:rFonts w:ascii="Verdana" w:hAnsi="Verdana"/>
                <w:sz w:val="18"/>
                <w:szCs w:val="18"/>
              </w:rPr>
            </w:pPr>
          </w:p>
        </w:tc>
      </w:tr>
      <w:tr w:rsidR="001D4F60" w:rsidRPr="00CB239D" w14:paraId="086488D5" w14:textId="77777777" w:rsidTr="001D4F60">
        <w:tc>
          <w:tcPr>
            <w:tcW w:w="10421" w:type="dxa"/>
            <w:tcBorders>
              <w:bottom w:val="single" w:sz="4" w:space="0" w:color="auto"/>
            </w:tcBorders>
            <w:shd w:val="clear" w:color="auto" w:fill="E6E6E6"/>
          </w:tcPr>
          <w:p w14:paraId="18B66723" w14:textId="77777777" w:rsidR="001D4F60" w:rsidRPr="00CB239D" w:rsidRDefault="001D4F60" w:rsidP="009E380F">
            <w:pPr>
              <w:spacing w:before="120" w:after="120"/>
              <w:rPr>
                <w:b/>
                <w:sz w:val="18"/>
                <w:szCs w:val="18"/>
              </w:rPr>
            </w:pPr>
            <w:r w:rsidRPr="00CB239D">
              <w:rPr>
                <w:b/>
                <w:sz w:val="18"/>
                <w:szCs w:val="18"/>
              </w:rPr>
              <w:t>Main Findings</w:t>
            </w:r>
          </w:p>
          <w:p w14:paraId="289F7552" w14:textId="77777777" w:rsidR="001D4F60" w:rsidRPr="00CB239D" w:rsidRDefault="00F81BE7" w:rsidP="009E380F">
            <w:pPr>
              <w:spacing w:before="120" w:after="120"/>
              <w:rPr>
                <w:sz w:val="18"/>
                <w:szCs w:val="18"/>
              </w:rPr>
            </w:pPr>
            <w:r w:rsidRPr="00CB239D">
              <w:rPr>
                <w:sz w:val="18"/>
                <w:szCs w:val="18"/>
              </w:rPr>
              <w:t>[Provide summary of mean scores/mean differences/treatment effect, 95% confidence intervals and p-values etc., where provided; you may calculate your own values if necessary/applicable</w:t>
            </w:r>
            <w:r w:rsidR="0000738B" w:rsidRPr="00CB239D">
              <w:rPr>
                <w:sz w:val="18"/>
                <w:szCs w:val="18"/>
              </w:rPr>
              <w:t>. Use a table to summarize results if possible.</w:t>
            </w:r>
            <w:r w:rsidRPr="00CB239D">
              <w:rPr>
                <w:sz w:val="18"/>
                <w:szCs w:val="18"/>
              </w:rPr>
              <w:t>]</w:t>
            </w:r>
          </w:p>
        </w:tc>
      </w:tr>
      <w:tr w:rsidR="001D4F60" w:rsidRPr="00CB239D" w14:paraId="0C961EB0" w14:textId="77777777" w:rsidTr="001D4F60">
        <w:tc>
          <w:tcPr>
            <w:tcW w:w="10421" w:type="dxa"/>
            <w:tcBorders>
              <w:bottom w:val="single" w:sz="4" w:space="0" w:color="auto"/>
            </w:tcBorders>
            <w:shd w:val="clear" w:color="auto" w:fill="auto"/>
          </w:tcPr>
          <w:p w14:paraId="13E21625" w14:textId="155C9AB7" w:rsidR="001D4F60" w:rsidRPr="00CB239D" w:rsidRDefault="00A20FC7" w:rsidP="00F806B4">
            <w:pPr>
              <w:pStyle w:val="ListParagraph"/>
              <w:numPr>
                <w:ilvl w:val="0"/>
                <w:numId w:val="23"/>
              </w:numPr>
              <w:spacing w:before="120" w:after="120"/>
              <w:rPr>
                <w:rFonts w:ascii="Verdana" w:hAnsi="Verdana"/>
                <w:sz w:val="18"/>
                <w:szCs w:val="18"/>
              </w:rPr>
            </w:pPr>
            <w:r w:rsidRPr="00CB239D">
              <w:rPr>
                <w:rFonts w:ascii="Verdana" w:hAnsi="Verdana"/>
                <w:sz w:val="18"/>
                <w:szCs w:val="18"/>
              </w:rPr>
              <w:t>At baseline:</w:t>
            </w:r>
            <w:r w:rsidR="001C65B9" w:rsidRPr="00CB239D">
              <w:rPr>
                <w:rFonts w:ascii="Verdana" w:hAnsi="Verdana"/>
                <w:sz w:val="18"/>
                <w:szCs w:val="18"/>
              </w:rPr>
              <w:t xml:space="preserve"> </w:t>
            </w:r>
            <w:r w:rsidR="00D915F3" w:rsidRPr="00CB239D">
              <w:rPr>
                <w:rFonts w:ascii="Verdana" w:hAnsi="Verdana"/>
                <w:sz w:val="18"/>
                <w:szCs w:val="18"/>
              </w:rPr>
              <w:t xml:space="preserve">Mean </w:t>
            </w:r>
            <w:r w:rsidR="001C65B9" w:rsidRPr="00CB239D">
              <w:rPr>
                <w:rFonts w:ascii="Verdana" w:hAnsi="Verdana"/>
                <w:sz w:val="18"/>
                <w:szCs w:val="18"/>
              </w:rPr>
              <w:t xml:space="preserve">VAS: group A </w:t>
            </w:r>
            <w:r w:rsidR="00D915F3" w:rsidRPr="00CB239D">
              <w:rPr>
                <w:rFonts w:ascii="Verdana" w:hAnsi="Verdana"/>
                <w:sz w:val="18"/>
                <w:szCs w:val="18"/>
              </w:rPr>
              <w:t xml:space="preserve">7.44 [95% CI, 7.85-7.03], group B 7.72 [95% CI, 8.18-7.26], </w:t>
            </w:r>
            <w:proofErr w:type="gramStart"/>
            <w:r w:rsidR="00D915F3" w:rsidRPr="00CB239D">
              <w:rPr>
                <w:rFonts w:ascii="Verdana" w:hAnsi="Verdana"/>
                <w:sz w:val="18"/>
                <w:szCs w:val="18"/>
              </w:rPr>
              <w:t>group C 7.56</w:t>
            </w:r>
            <w:proofErr w:type="gramEnd"/>
            <w:r w:rsidR="00D915F3" w:rsidRPr="00CB239D">
              <w:rPr>
                <w:rFonts w:ascii="Verdana" w:hAnsi="Verdana"/>
                <w:sz w:val="18"/>
                <w:szCs w:val="18"/>
              </w:rPr>
              <w:t xml:space="preserve"> [95% CI, 8.01-7.11]. Mean AOFAS: group A 51.56 [95% CI, 55.91-47.21], group B 55.72</w:t>
            </w:r>
            <w:r w:rsidR="005C7E0A" w:rsidRPr="00CB239D">
              <w:rPr>
                <w:rFonts w:ascii="Verdana" w:hAnsi="Verdana"/>
                <w:sz w:val="18"/>
                <w:szCs w:val="18"/>
              </w:rPr>
              <w:t xml:space="preserve"> [95% </w:t>
            </w:r>
            <w:r w:rsidR="005C7E0A" w:rsidRPr="00CB239D">
              <w:rPr>
                <w:rFonts w:ascii="Verdana" w:hAnsi="Verdana"/>
                <w:sz w:val="18"/>
                <w:szCs w:val="18"/>
              </w:rPr>
              <w:lastRenderedPageBreak/>
              <w:t xml:space="preserve">CI, 60.34-51.10], </w:t>
            </w:r>
            <w:proofErr w:type="gramStart"/>
            <w:r w:rsidR="005C7E0A" w:rsidRPr="00CB239D">
              <w:rPr>
                <w:rFonts w:ascii="Verdana" w:hAnsi="Verdana"/>
                <w:sz w:val="18"/>
                <w:szCs w:val="18"/>
              </w:rPr>
              <w:t>group C 50.28</w:t>
            </w:r>
            <w:proofErr w:type="gramEnd"/>
            <w:r w:rsidR="005C7E0A" w:rsidRPr="00CB239D">
              <w:rPr>
                <w:rFonts w:ascii="Verdana" w:hAnsi="Verdana"/>
                <w:sz w:val="18"/>
                <w:szCs w:val="18"/>
              </w:rPr>
              <w:t xml:space="preserve"> [95% CI, 54.60-45.96]</w:t>
            </w:r>
            <w:r w:rsidR="00B8504F">
              <w:rPr>
                <w:rFonts w:ascii="Verdana" w:hAnsi="Verdana"/>
                <w:sz w:val="18"/>
                <w:szCs w:val="18"/>
              </w:rPr>
              <w:t xml:space="preserve">. </w:t>
            </w:r>
            <w:r w:rsidR="00B8504F" w:rsidRPr="00CB239D">
              <w:rPr>
                <w:rFonts w:ascii="Verdana" w:hAnsi="Verdana"/>
                <w:sz w:val="18"/>
                <w:szCs w:val="18"/>
              </w:rPr>
              <w:t>All of the subjects were similar at baseline</w:t>
            </w:r>
          </w:p>
          <w:p w14:paraId="5216E4F3" w14:textId="21941C40" w:rsidR="00B904DF" w:rsidRPr="00CB239D" w:rsidRDefault="00A20FC7" w:rsidP="002773CD">
            <w:pPr>
              <w:pStyle w:val="ListParagraph"/>
              <w:numPr>
                <w:ilvl w:val="0"/>
                <w:numId w:val="23"/>
              </w:numPr>
              <w:spacing w:before="120" w:after="120"/>
              <w:rPr>
                <w:rFonts w:ascii="Verdana" w:hAnsi="Verdana"/>
                <w:sz w:val="18"/>
                <w:szCs w:val="18"/>
              </w:rPr>
            </w:pPr>
            <w:r w:rsidRPr="00CB239D">
              <w:rPr>
                <w:rFonts w:ascii="Verdana" w:hAnsi="Verdana"/>
                <w:sz w:val="18"/>
                <w:szCs w:val="18"/>
              </w:rPr>
              <w:t>At 3 weeks: Mean VAS: group A 3.76 [95% CI, 4.36</w:t>
            </w:r>
            <w:r w:rsidR="00F806B4" w:rsidRPr="00CB239D">
              <w:rPr>
                <w:rFonts w:ascii="Verdana" w:hAnsi="Verdana"/>
                <w:sz w:val="18"/>
                <w:szCs w:val="18"/>
              </w:rPr>
              <w:t xml:space="preserve"> </w:t>
            </w:r>
            <w:r w:rsidRPr="00CB239D">
              <w:rPr>
                <w:rFonts w:ascii="Verdana" w:hAnsi="Verdana"/>
                <w:sz w:val="18"/>
                <w:szCs w:val="18"/>
              </w:rPr>
              <w:t xml:space="preserve">-3.16], group B 2.84 [95% CI, 3.41-2.27], </w:t>
            </w:r>
            <w:proofErr w:type="gramStart"/>
            <w:r w:rsidRPr="00CB239D">
              <w:rPr>
                <w:rFonts w:ascii="Verdana" w:hAnsi="Verdana"/>
                <w:sz w:val="18"/>
                <w:szCs w:val="18"/>
              </w:rPr>
              <w:t>group C 7.12</w:t>
            </w:r>
            <w:proofErr w:type="gramEnd"/>
            <w:r w:rsidRPr="00CB239D">
              <w:rPr>
                <w:rFonts w:ascii="Verdana" w:hAnsi="Verdana"/>
                <w:sz w:val="18"/>
                <w:szCs w:val="18"/>
              </w:rPr>
              <w:t xml:space="preserve"> [95% CI,</w:t>
            </w:r>
            <w:r w:rsidR="00BF13E8" w:rsidRPr="00CB239D">
              <w:rPr>
                <w:rFonts w:ascii="Verdana" w:hAnsi="Verdana"/>
                <w:sz w:val="18"/>
                <w:szCs w:val="18"/>
              </w:rPr>
              <w:t xml:space="preserve"> </w:t>
            </w:r>
            <w:r w:rsidRPr="00CB239D">
              <w:rPr>
                <w:rFonts w:ascii="Verdana" w:hAnsi="Verdana"/>
                <w:sz w:val="18"/>
                <w:szCs w:val="18"/>
              </w:rPr>
              <w:t>7.56-6.68]. Mean AOFAS: group A 83.92 [95% CI,</w:t>
            </w:r>
            <w:r w:rsidR="00E645CF" w:rsidRPr="00CB239D">
              <w:rPr>
                <w:rFonts w:ascii="Verdana" w:hAnsi="Verdana"/>
                <w:sz w:val="18"/>
                <w:szCs w:val="18"/>
              </w:rPr>
              <w:t xml:space="preserve"> </w:t>
            </w:r>
            <w:r w:rsidRPr="00CB239D">
              <w:rPr>
                <w:rFonts w:ascii="Verdana" w:hAnsi="Verdana"/>
                <w:sz w:val="18"/>
                <w:szCs w:val="18"/>
              </w:rPr>
              <w:t>88.67-79.17], group B 86.6 [95% CI</w:t>
            </w:r>
            <w:proofErr w:type="gramStart"/>
            <w:r w:rsidRPr="00CB239D">
              <w:rPr>
                <w:rFonts w:ascii="Verdana" w:hAnsi="Verdana"/>
                <w:sz w:val="18"/>
                <w:szCs w:val="18"/>
              </w:rPr>
              <w:t>,89.25</w:t>
            </w:r>
            <w:proofErr w:type="gramEnd"/>
            <w:r w:rsidRPr="00CB239D">
              <w:rPr>
                <w:rFonts w:ascii="Verdana" w:hAnsi="Verdana"/>
                <w:sz w:val="18"/>
                <w:szCs w:val="18"/>
              </w:rPr>
              <w:t>-83.95], group C 53.88 [95% CI, 58.51-58.51-49.25]</w:t>
            </w:r>
            <w:r w:rsidR="00B904DF" w:rsidRPr="00CB239D">
              <w:rPr>
                <w:rFonts w:ascii="Verdana" w:hAnsi="Verdana"/>
                <w:sz w:val="18"/>
                <w:szCs w:val="18"/>
              </w:rPr>
              <w:t>. Mean VAS difference between group A and B: .92 [95% CI, 1.75-.09]. Mean AOFAS di</w:t>
            </w:r>
            <w:r w:rsidR="00E620B2" w:rsidRPr="00CB239D">
              <w:rPr>
                <w:rFonts w:ascii="Verdana" w:hAnsi="Verdana"/>
                <w:sz w:val="18"/>
                <w:szCs w:val="18"/>
              </w:rPr>
              <w:t>fference between group A and B:</w:t>
            </w:r>
            <w:r w:rsidR="000936C4" w:rsidRPr="00CB239D">
              <w:rPr>
                <w:rFonts w:ascii="Verdana" w:hAnsi="Verdana"/>
                <w:sz w:val="18"/>
                <w:szCs w:val="18"/>
              </w:rPr>
              <w:t xml:space="preserve"> </w:t>
            </w:r>
            <w:r w:rsidR="00B904DF" w:rsidRPr="00CB239D">
              <w:rPr>
                <w:rFonts w:ascii="Verdana" w:hAnsi="Verdana"/>
                <w:sz w:val="18"/>
                <w:szCs w:val="18"/>
              </w:rPr>
              <w:t>-2.68 [95% CI, 2.76-(-8.12)]</w:t>
            </w:r>
          </w:p>
          <w:p w14:paraId="78C9AD91" w14:textId="77777777" w:rsidR="00E620B2" w:rsidRPr="00CB239D" w:rsidRDefault="00A20FC7" w:rsidP="00E620B2">
            <w:pPr>
              <w:pStyle w:val="ListParagraph"/>
              <w:numPr>
                <w:ilvl w:val="0"/>
                <w:numId w:val="23"/>
              </w:numPr>
              <w:spacing w:before="120" w:after="120"/>
              <w:rPr>
                <w:rFonts w:ascii="Verdana" w:hAnsi="Verdana"/>
                <w:sz w:val="18"/>
                <w:szCs w:val="18"/>
              </w:rPr>
            </w:pPr>
            <w:r w:rsidRPr="00CB239D">
              <w:rPr>
                <w:rFonts w:ascii="Verdana" w:hAnsi="Verdana"/>
                <w:sz w:val="18"/>
                <w:szCs w:val="18"/>
              </w:rPr>
              <w:t>At 3 months: Mean VAS: group A 2.52 [95% CI,</w:t>
            </w:r>
            <w:r w:rsidR="004B0146" w:rsidRPr="00CB239D">
              <w:rPr>
                <w:rFonts w:ascii="Verdana" w:hAnsi="Verdana"/>
                <w:sz w:val="18"/>
                <w:szCs w:val="18"/>
              </w:rPr>
              <w:t xml:space="preserve"> 3.19-1.85], group B 3.64 [95% CI, 4.28-3.0], </w:t>
            </w:r>
            <w:proofErr w:type="gramStart"/>
            <w:r w:rsidR="004B0146" w:rsidRPr="00CB239D">
              <w:rPr>
                <w:rFonts w:ascii="Verdana" w:hAnsi="Verdana"/>
                <w:sz w:val="18"/>
                <w:szCs w:val="18"/>
              </w:rPr>
              <w:t>group C 3.64</w:t>
            </w:r>
            <w:proofErr w:type="gramEnd"/>
            <w:r w:rsidR="004B0146" w:rsidRPr="00CB239D">
              <w:rPr>
                <w:rFonts w:ascii="Verdana" w:hAnsi="Verdana"/>
                <w:sz w:val="18"/>
                <w:szCs w:val="18"/>
              </w:rPr>
              <w:t xml:space="preserve"> [95% CI, 4.28-3.0]. Mean AOFAS: group A 88.32 [95% CI,</w:t>
            </w:r>
            <w:r w:rsidR="00E645CF" w:rsidRPr="00CB239D">
              <w:rPr>
                <w:rFonts w:ascii="Verdana" w:hAnsi="Verdana"/>
                <w:sz w:val="18"/>
                <w:szCs w:val="18"/>
              </w:rPr>
              <w:t xml:space="preserve"> </w:t>
            </w:r>
            <w:r w:rsidR="004B0146" w:rsidRPr="00CB239D">
              <w:rPr>
                <w:rFonts w:ascii="Verdana" w:hAnsi="Verdana"/>
                <w:sz w:val="18"/>
                <w:szCs w:val="18"/>
              </w:rPr>
              <w:t xml:space="preserve">91.67-84.81], group B 81.32 [95% CI, 83.82-78.82], </w:t>
            </w:r>
            <w:proofErr w:type="gramStart"/>
            <w:r w:rsidR="004B0146" w:rsidRPr="00CB239D">
              <w:rPr>
                <w:rFonts w:ascii="Verdana" w:hAnsi="Verdana"/>
                <w:sz w:val="18"/>
                <w:szCs w:val="18"/>
              </w:rPr>
              <w:t>group C 50.84</w:t>
            </w:r>
            <w:proofErr w:type="gramEnd"/>
            <w:r w:rsidR="004B0146" w:rsidRPr="00CB239D">
              <w:rPr>
                <w:rFonts w:ascii="Verdana" w:hAnsi="Verdana"/>
                <w:sz w:val="18"/>
                <w:szCs w:val="18"/>
              </w:rPr>
              <w:t xml:space="preserve"> [95% CI, 55.06-46.62]</w:t>
            </w:r>
            <w:r w:rsidR="00B904DF" w:rsidRPr="00CB239D">
              <w:rPr>
                <w:rFonts w:ascii="Verdana" w:hAnsi="Verdana"/>
                <w:sz w:val="18"/>
                <w:szCs w:val="18"/>
              </w:rPr>
              <w:t>. Mean VAS di</w:t>
            </w:r>
            <w:r w:rsidR="000936C4" w:rsidRPr="00CB239D">
              <w:rPr>
                <w:rFonts w:ascii="Verdana" w:hAnsi="Verdana"/>
                <w:sz w:val="18"/>
                <w:szCs w:val="18"/>
              </w:rPr>
              <w:t xml:space="preserve">fference between group A and B: </w:t>
            </w:r>
            <w:r w:rsidR="00B904DF" w:rsidRPr="00CB239D">
              <w:rPr>
                <w:rFonts w:ascii="Verdana" w:hAnsi="Verdana"/>
                <w:sz w:val="18"/>
                <w:szCs w:val="18"/>
              </w:rPr>
              <w:t>1.12 [95% CI, 2.04-.20]</w:t>
            </w:r>
            <w:r w:rsidR="000936C4" w:rsidRPr="00CB239D">
              <w:rPr>
                <w:rFonts w:ascii="Verdana" w:hAnsi="Verdana"/>
                <w:sz w:val="18"/>
                <w:szCs w:val="18"/>
              </w:rPr>
              <w:t>. Mean AOFAS difference between group A and B: 6.92 [95% CI, 11.17-2.67]</w:t>
            </w:r>
          </w:p>
          <w:p w14:paraId="03FA7280" w14:textId="1CA818DA" w:rsidR="006740CC" w:rsidRPr="00CB239D" w:rsidRDefault="00331B35" w:rsidP="00E620B2">
            <w:pPr>
              <w:pStyle w:val="ListParagraph"/>
              <w:numPr>
                <w:ilvl w:val="0"/>
                <w:numId w:val="23"/>
              </w:numPr>
              <w:spacing w:before="120" w:after="120"/>
              <w:rPr>
                <w:rFonts w:ascii="Verdana" w:hAnsi="Verdana"/>
                <w:sz w:val="18"/>
                <w:szCs w:val="18"/>
              </w:rPr>
            </w:pPr>
            <w:r w:rsidRPr="00CB239D">
              <w:rPr>
                <w:rFonts w:ascii="Verdana" w:hAnsi="Verdana"/>
                <w:sz w:val="18"/>
                <w:szCs w:val="18"/>
              </w:rPr>
              <w:t>Group A and B demonstrated significant improvement</w:t>
            </w:r>
            <w:r w:rsidR="00BF13E8" w:rsidRPr="00CB239D">
              <w:rPr>
                <w:rFonts w:ascii="Verdana" w:hAnsi="Verdana"/>
                <w:sz w:val="18"/>
                <w:szCs w:val="18"/>
              </w:rPr>
              <w:t>s</w:t>
            </w:r>
            <w:r w:rsidRPr="00CB239D">
              <w:rPr>
                <w:rFonts w:ascii="Verdana" w:hAnsi="Verdana"/>
                <w:sz w:val="18"/>
                <w:szCs w:val="18"/>
              </w:rPr>
              <w:t xml:space="preserve"> in both VAS</w:t>
            </w:r>
            <w:r w:rsidR="00E22230" w:rsidRPr="00CB239D">
              <w:rPr>
                <w:rFonts w:ascii="Verdana" w:hAnsi="Verdana"/>
                <w:sz w:val="18"/>
                <w:szCs w:val="18"/>
              </w:rPr>
              <w:t xml:space="preserve"> (p=</w:t>
            </w:r>
            <w:proofErr w:type="gramStart"/>
            <w:r w:rsidR="00066C53" w:rsidRPr="00CB239D">
              <w:rPr>
                <w:rFonts w:ascii="Verdana" w:hAnsi="Verdana"/>
                <w:sz w:val="18"/>
                <w:szCs w:val="18"/>
              </w:rPr>
              <w:t>.</w:t>
            </w:r>
            <w:r w:rsidR="00E22230" w:rsidRPr="00CB239D">
              <w:rPr>
                <w:rFonts w:ascii="Verdana" w:hAnsi="Verdana"/>
                <w:sz w:val="18"/>
                <w:szCs w:val="18"/>
              </w:rPr>
              <w:t>0</w:t>
            </w:r>
            <w:r w:rsidR="00066C53" w:rsidRPr="00CB239D">
              <w:rPr>
                <w:rFonts w:ascii="Verdana" w:hAnsi="Verdana"/>
                <w:sz w:val="18"/>
                <w:szCs w:val="18"/>
              </w:rPr>
              <w:t>0</w:t>
            </w:r>
            <w:proofErr w:type="gramEnd"/>
            <w:r w:rsidR="00E22230" w:rsidRPr="00CB239D">
              <w:rPr>
                <w:rFonts w:ascii="Verdana" w:hAnsi="Verdana"/>
                <w:sz w:val="18"/>
                <w:szCs w:val="18"/>
              </w:rPr>
              <w:t>)</w:t>
            </w:r>
            <w:r w:rsidRPr="00CB239D">
              <w:rPr>
                <w:rFonts w:ascii="Verdana" w:hAnsi="Verdana"/>
                <w:sz w:val="18"/>
                <w:szCs w:val="18"/>
              </w:rPr>
              <w:t xml:space="preserve"> and AOFAS</w:t>
            </w:r>
            <w:r w:rsidR="00E22230" w:rsidRPr="00CB239D">
              <w:rPr>
                <w:rFonts w:ascii="Verdana" w:hAnsi="Verdana"/>
                <w:sz w:val="18"/>
                <w:szCs w:val="18"/>
              </w:rPr>
              <w:t xml:space="preserve"> (p=</w:t>
            </w:r>
            <w:r w:rsidR="00066C53" w:rsidRPr="00CB239D">
              <w:rPr>
                <w:rFonts w:ascii="Verdana" w:hAnsi="Verdana"/>
                <w:sz w:val="18"/>
                <w:szCs w:val="18"/>
              </w:rPr>
              <w:t>.0</w:t>
            </w:r>
            <w:r w:rsidR="00E22230" w:rsidRPr="00CB239D">
              <w:rPr>
                <w:rFonts w:ascii="Verdana" w:hAnsi="Verdana"/>
                <w:sz w:val="18"/>
                <w:szCs w:val="18"/>
              </w:rPr>
              <w:t>0)</w:t>
            </w:r>
            <w:r w:rsidRPr="00CB239D">
              <w:rPr>
                <w:rFonts w:ascii="Verdana" w:hAnsi="Verdana"/>
                <w:sz w:val="18"/>
                <w:szCs w:val="18"/>
              </w:rPr>
              <w:t xml:space="preserve"> scores at 3 weeks and 3 months. </w:t>
            </w:r>
            <w:r w:rsidR="006740CC" w:rsidRPr="00CB239D">
              <w:rPr>
                <w:rFonts w:ascii="Verdana" w:hAnsi="Verdana"/>
                <w:sz w:val="18"/>
                <w:szCs w:val="18"/>
              </w:rPr>
              <w:t>Group C did not have any significant improvements in</w:t>
            </w:r>
            <w:r w:rsidR="00940C68" w:rsidRPr="00CB239D">
              <w:rPr>
                <w:rFonts w:ascii="Verdana" w:hAnsi="Verdana"/>
                <w:sz w:val="18"/>
                <w:szCs w:val="18"/>
              </w:rPr>
              <w:t xml:space="preserve"> VAS at 3 weeks (p=</w:t>
            </w:r>
            <w:proofErr w:type="gramStart"/>
            <w:r w:rsidR="00940C68" w:rsidRPr="00CB239D">
              <w:rPr>
                <w:rFonts w:ascii="Verdana" w:hAnsi="Verdana"/>
                <w:sz w:val="18"/>
                <w:szCs w:val="18"/>
              </w:rPr>
              <w:t>.11</w:t>
            </w:r>
            <w:proofErr w:type="gramEnd"/>
            <w:r w:rsidR="00940C68" w:rsidRPr="00CB239D">
              <w:rPr>
                <w:rFonts w:ascii="Verdana" w:hAnsi="Verdana"/>
                <w:sz w:val="18"/>
                <w:szCs w:val="18"/>
              </w:rPr>
              <w:t>) or 3 months (p=.41) and AOFAS at 3 weeks (p=.06) or 3 months (p=.39)</w:t>
            </w:r>
            <w:r w:rsidR="0080138D" w:rsidRPr="00CB239D">
              <w:rPr>
                <w:rFonts w:ascii="Verdana" w:hAnsi="Verdana"/>
                <w:sz w:val="18"/>
                <w:szCs w:val="18"/>
              </w:rPr>
              <w:t>.</w:t>
            </w:r>
          </w:p>
          <w:p w14:paraId="1439809D" w14:textId="63C42D2B" w:rsidR="00387732" w:rsidRPr="00CB239D" w:rsidRDefault="00387732" w:rsidP="000936C4">
            <w:pPr>
              <w:pStyle w:val="ListParagraph"/>
              <w:numPr>
                <w:ilvl w:val="0"/>
                <w:numId w:val="23"/>
              </w:numPr>
              <w:spacing w:before="120" w:after="120"/>
              <w:rPr>
                <w:rFonts w:ascii="Verdana" w:hAnsi="Verdana"/>
                <w:sz w:val="18"/>
                <w:szCs w:val="18"/>
              </w:rPr>
            </w:pPr>
            <w:r w:rsidRPr="00CB239D">
              <w:rPr>
                <w:rFonts w:ascii="Verdana" w:hAnsi="Verdana"/>
                <w:sz w:val="18"/>
                <w:szCs w:val="18"/>
              </w:rPr>
              <w:t xml:space="preserve">At 3 weeks, group B had greater improvements in both </w:t>
            </w:r>
            <w:r w:rsidR="00BF13E8" w:rsidRPr="00CB239D">
              <w:rPr>
                <w:rFonts w:ascii="Verdana" w:hAnsi="Verdana"/>
                <w:sz w:val="18"/>
                <w:szCs w:val="18"/>
              </w:rPr>
              <w:t>VAS and AOFAS compared to the group A but these findings were</w:t>
            </w:r>
            <w:r w:rsidR="00B07F5C" w:rsidRPr="00CB239D">
              <w:rPr>
                <w:rFonts w:ascii="Verdana" w:hAnsi="Verdana"/>
                <w:sz w:val="18"/>
                <w:szCs w:val="18"/>
              </w:rPr>
              <w:t xml:space="preserve"> not significant, (p=</w:t>
            </w:r>
            <w:proofErr w:type="gramStart"/>
            <w:r w:rsidR="00B07F5C" w:rsidRPr="00CB239D">
              <w:rPr>
                <w:rFonts w:ascii="Verdana" w:hAnsi="Verdana"/>
                <w:sz w:val="18"/>
                <w:szCs w:val="18"/>
              </w:rPr>
              <w:t>.35</w:t>
            </w:r>
            <w:proofErr w:type="gramEnd"/>
            <w:r w:rsidR="00B07F5C" w:rsidRPr="00CB239D">
              <w:rPr>
                <w:rFonts w:ascii="Verdana" w:hAnsi="Verdana"/>
                <w:sz w:val="18"/>
                <w:szCs w:val="18"/>
              </w:rPr>
              <w:t>) and (p</w:t>
            </w:r>
            <w:r w:rsidR="00BF13E8" w:rsidRPr="00CB239D">
              <w:rPr>
                <w:rFonts w:ascii="Verdana" w:hAnsi="Verdana"/>
                <w:sz w:val="18"/>
                <w:szCs w:val="18"/>
              </w:rPr>
              <w:t>=.33) respectively.</w:t>
            </w:r>
          </w:p>
          <w:p w14:paraId="37FC72AA" w14:textId="6EB9964B" w:rsidR="001D4F60" w:rsidRPr="00CB239D" w:rsidRDefault="00BF13E8" w:rsidP="009E380F">
            <w:pPr>
              <w:pStyle w:val="ListParagraph"/>
              <w:numPr>
                <w:ilvl w:val="0"/>
                <w:numId w:val="23"/>
              </w:numPr>
              <w:spacing w:before="120" w:after="120"/>
              <w:rPr>
                <w:rFonts w:ascii="Verdana" w:hAnsi="Verdana"/>
                <w:sz w:val="18"/>
                <w:szCs w:val="18"/>
              </w:rPr>
            </w:pPr>
            <w:r w:rsidRPr="00CB239D">
              <w:rPr>
                <w:rFonts w:ascii="Verdana" w:hAnsi="Verdana"/>
                <w:sz w:val="18"/>
                <w:szCs w:val="18"/>
              </w:rPr>
              <w:t xml:space="preserve">At 3 months, there was not a significant difference </w:t>
            </w:r>
            <w:r w:rsidR="00250E77" w:rsidRPr="00CB239D">
              <w:rPr>
                <w:rFonts w:ascii="Verdana" w:hAnsi="Verdana"/>
                <w:sz w:val="18"/>
                <w:szCs w:val="18"/>
              </w:rPr>
              <w:t>in VAS score between group A and B</w:t>
            </w:r>
            <w:r w:rsidR="00940C68" w:rsidRPr="00CB239D">
              <w:rPr>
                <w:rFonts w:ascii="Verdana" w:hAnsi="Verdana"/>
                <w:sz w:val="18"/>
                <w:szCs w:val="18"/>
              </w:rPr>
              <w:t xml:space="preserve"> (p=</w:t>
            </w:r>
            <w:proofErr w:type="gramStart"/>
            <w:r w:rsidR="00940C68" w:rsidRPr="00CB239D">
              <w:rPr>
                <w:rFonts w:ascii="Verdana" w:hAnsi="Verdana"/>
                <w:sz w:val="18"/>
                <w:szCs w:val="18"/>
              </w:rPr>
              <w:t>.22</w:t>
            </w:r>
            <w:proofErr w:type="gramEnd"/>
            <w:r w:rsidR="00940C68" w:rsidRPr="00CB239D">
              <w:rPr>
                <w:rFonts w:ascii="Verdana" w:hAnsi="Verdana"/>
                <w:sz w:val="18"/>
                <w:szCs w:val="18"/>
              </w:rPr>
              <w:t>)</w:t>
            </w:r>
            <w:r w:rsidR="00250E77" w:rsidRPr="00CB239D">
              <w:rPr>
                <w:rFonts w:ascii="Verdana" w:hAnsi="Verdana"/>
                <w:sz w:val="18"/>
                <w:szCs w:val="18"/>
              </w:rPr>
              <w:t>, however group A had a s</w:t>
            </w:r>
            <w:r w:rsidR="00C83339" w:rsidRPr="00CB239D">
              <w:rPr>
                <w:rFonts w:ascii="Verdana" w:hAnsi="Verdana"/>
                <w:sz w:val="18"/>
                <w:szCs w:val="18"/>
              </w:rPr>
              <w:t>ignificantly higher AOFAS score</w:t>
            </w:r>
            <w:r w:rsidR="00940C68" w:rsidRPr="00CB239D">
              <w:rPr>
                <w:rFonts w:ascii="Verdana" w:hAnsi="Verdana"/>
                <w:sz w:val="18"/>
                <w:szCs w:val="18"/>
              </w:rPr>
              <w:t xml:space="preserve"> (p=.00)</w:t>
            </w:r>
            <w:r w:rsidR="00C83339" w:rsidRPr="00CB239D">
              <w:rPr>
                <w:rFonts w:ascii="Verdana" w:hAnsi="Verdana"/>
                <w:sz w:val="18"/>
                <w:szCs w:val="18"/>
              </w:rPr>
              <w:t>.</w:t>
            </w:r>
          </w:p>
          <w:p w14:paraId="6AC7C324" w14:textId="77777777" w:rsidR="001D4F60" w:rsidRPr="00CB239D" w:rsidRDefault="001D4F60" w:rsidP="009E380F">
            <w:pPr>
              <w:spacing w:before="120" w:after="120"/>
              <w:jc w:val="right"/>
              <w:rPr>
                <w:sz w:val="18"/>
                <w:szCs w:val="18"/>
              </w:rPr>
            </w:pPr>
          </w:p>
        </w:tc>
      </w:tr>
      <w:tr w:rsidR="001D4F60" w:rsidRPr="00CB239D" w14:paraId="6CCCE910" w14:textId="77777777" w:rsidTr="001D4F60">
        <w:tc>
          <w:tcPr>
            <w:tcW w:w="10421" w:type="dxa"/>
            <w:shd w:val="clear" w:color="auto" w:fill="E6E6E6"/>
          </w:tcPr>
          <w:p w14:paraId="7623FAE9" w14:textId="77777777" w:rsidR="001D4F60" w:rsidRPr="00CB239D" w:rsidRDefault="001D4F60" w:rsidP="009E380F">
            <w:pPr>
              <w:spacing w:before="120" w:after="120"/>
              <w:rPr>
                <w:b/>
                <w:sz w:val="18"/>
                <w:szCs w:val="18"/>
              </w:rPr>
            </w:pPr>
            <w:r w:rsidRPr="00CB239D">
              <w:rPr>
                <w:b/>
                <w:sz w:val="18"/>
                <w:szCs w:val="18"/>
              </w:rPr>
              <w:lastRenderedPageBreak/>
              <w:t>Original Authors’ Conclusions</w:t>
            </w:r>
          </w:p>
          <w:p w14:paraId="5D5DA697" w14:textId="77777777" w:rsidR="001D4F60" w:rsidRPr="00CB239D" w:rsidRDefault="001D4F60" w:rsidP="009E380F">
            <w:pPr>
              <w:spacing w:before="120" w:after="120"/>
              <w:rPr>
                <w:sz w:val="18"/>
                <w:szCs w:val="18"/>
              </w:rPr>
            </w:pPr>
            <w:r w:rsidRPr="00CB239D">
              <w:rPr>
                <w:sz w:val="18"/>
                <w:szCs w:val="18"/>
              </w:rPr>
              <w:t>[Paraphrase as required.  If providing a direct quote, add page number]</w:t>
            </w:r>
          </w:p>
        </w:tc>
      </w:tr>
      <w:tr w:rsidR="001D4F60" w:rsidRPr="00CB239D" w14:paraId="0BA33318" w14:textId="77777777" w:rsidTr="001D4F60">
        <w:tc>
          <w:tcPr>
            <w:tcW w:w="10421" w:type="dxa"/>
            <w:tcBorders>
              <w:bottom w:val="single" w:sz="4" w:space="0" w:color="auto"/>
            </w:tcBorders>
            <w:shd w:val="clear" w:color="auto" w:fill="auto"/>
          </w:tcPr>
          <w:p w14:paraId="03DB9A19" w14:textId="3DBDA9DE" w:rsidR="00040083" w:rsidRPr="00CB239D" w:rsidRDefault="00C83339" w:rsidP="00FA3265">
            <w:pPr>
              <w:pStyle w:val="ListParagraph"/>
              <w:widowControl w:val="0"/>
              <w:numPr>
                <w:ilvl w:val="0"/>
                <w:numId w:val="21"/>
              </w:numPr>
              <w:autoSpaceDE w:val="0"/>
              <w:autoSpaceDN w:val="0"/>
              <w:adjustRightInd w:val="0"/>
              <w:spacing w:after="240"/>
              <w:rPr>
                <w:rFonts w:ascii="Verdana" w:hAnsi="Verdana" w:cs="Times"/>
                <w:color w:val="000000"/>
                <w:sz w:val="18"/>
                <w:szCs w:val="18"/>
              </w:rPr>
            </w:pPr>
            <w:r w:rsidRPr="00CB239D">
              <w:rPr>
                <w:rFonts w:ascii="Verdana" w:hAnsi="Verdana" w:cs="Times"/>
                <w:color w:val="000000"/>
                <w:sz w:val="18"/>
                <w:szCs w:val="18"/>
              </w:rPr>
              <w:t>Authors concluded that both PRP and corticosteroid injections are effective at improving pain and</w:t>
            </w:r>
            <w:r w:rsidR="00040083" w:rsidRPr="00CB239D">
              <w:rPr>
                <w:rFonts w:ascii="Verdana" w:hAnsi="Verdana" w:cs="Times"/>
                <w:color w:val="000000"/>
                <w:sz w:val="18"/>
                <w:szCs w:val="18"/>
              </w:rPr>
              <w:t xml:space="preserve"> physical</w:t>
            </w:r>
            <w:r w:rsidRPr="00CB239D">
              <w:rPr>
                <w:rFonts w:ascii="Verdana" w:hAnsi="Verdana" w:cs="Times"/>
                <w:color w:val="000000"/>
                <w:sz w:val="18"/>
                <w:szCs w:val="18"/>
              </w:rPr>
              <w:t xml:space="preserve"> function in patients at 3 weeks and 3 months. There were no improvements in the placebo group. </w:t>
            </w:r>
            <w:r w:rsidR="00040083" w:rsidRPr="00CB239D">
              <w:rPr>
                <w:rFonts w:ascii="Verdana" w:hAnsi="Verdana" w:cs="Times"/>
                <w:color w:val="000000"/>
                <w:sz w:val="18"/>
                <w:szCs w:val="18"/>
              </w:rPr>
              <w:t>Both groups had similar outcomes in their VAS score but the PRP brought significantly improved AOFAS scores</w:t>
            </w:r>
            <w:r w:rsidR="009278CA" w:rsidRPr="00CB239D">
              <w:rPr>
                <w:rFonts w:ascii="Verdana" w:hAnsi="Verdana" w:cs="Times"/>
                <w:color w:val="000000"/>
                <w:sz w:val="18"/>
                <w:szCs w:val="18"/>
              </w:rPr>
              <w:t xml:space="preserve"> at 3 months</w:t>
            </w:r>
            <w:r w:rsidR="00040083" w:rsidRPr="00CB239D">
              <w:rPr>
                <w:rFonts w:ascii="Verdana" w:hAnsi="Verdana" w:cs="Times"/>
                <w:color w:val="000000"/>
                <w:sz w:val="18"/>
                <w:szCs w:val="18"/>
              </w:rPr>
              <w:t>.</w:t>
            </w:r>
            <w:r w:rsidR="004E343F" w:rsidRPr="00CB239D">
              <w:rPr>
                <w:rFonts w:ascii="Verdana" w:hAnsi="Verdana" w:cs="Times"/>
                <w:color w:val="000000"/>
                <w:sz w:val="18"/>
                <w:szCs w:val="18"/>
              </w:rPr>
              <w:t xml:space="preserve"> “Platelet rich plasma injection is effective as or more effective than corticosteroid injection” (p. 289).</w:t>
            </w:r>
            <w:r w:rsidR="00040083" w:rsidRPr="00CB239D">
              <w:rPr>
                <w:rFonts w:ascii="Verdana" w:hAnsi="Verdana" w:cs="Times"/>
                <w:color w:val="000000"/>
                <w:sz w:val="18"/>
                <w:szCs w:val="18"/>
              </w:rPr>
              <w:t xml:space="preserve"> </w:t>
            </w:r>
          </w:p>
          <w:p w14:paraId="487A01C8" w14:textId="4EB08636" w:rsidR="001D4F60" w:rsidRPr="00CB239D" w:rsidRDefault="001D4F60" w:rsidP="00CD09D5">
            <w:pPr>
              <w:widowControl w:val="0"/>
              <w:autoSpaceDE w:val="0"/>
              <w:autoSpaceDN w:val="0"/>
              <w:adjustRightInd w:val="0"/>
              <w:spacing w:after="240" w:line="300" w:lineRule="atLeast"/>
              <w:rPr>
                <w:rFonts w:cs="Times"/>
                <w:color w:val="000000"/>
                <w:sz w:val="18"/>
                <w:szCs w:val="18"/>
              </w:rPr>
            </w:pPr>
          </w:p>
        </w:tc>
      </w:tr>
      <w:tr w:rsidR="001D4F60" w:rsidRPr="00CB239D" w14:paraId="0AFA7558" w14:textId="77777777" w:rsidTr="001D4F60">
        <w:tc>
          <w:tcPr>
            <w:tcW w:w="10421" w:type="dxa"/>
            <w:shd w:val="clear" w:color="auto" w:fill="E6E6E6"/>
          </w:tcPr>
          <w:p w14:paraId="0EEBE69B" w14:textId="77777777" w:rsidR="001D4F60" w:rsidRPr="00CB239D" w:rsidRDefault="001D4F60" w:rsidP="009E380F">
            <w:pPr>
              <w:spacing w:before="120" w:after="120"/>
              <w:rPr>
                <w:b/>
                <w:sz w:val="18"/>
                <w:szCs w:val="18"/>
              </w:rPr>
            </w:pPr>
            <w:r w:rsidRPr="00CB239D">
              <w:rPr>
                <w:b/>
                <w:sz w:val="18"/>
                <w:szCs w:val="18"/>
              </w:rPr>
              <w:t>Critical Appraisal</w:t>
            </w:r>
          </w:p>
        </w:tc>
      </w:tr>
      <w:tr w:rsidR="001D4F60" w:rsidRPr="00CB239D" w14:paraId="14CEBD17" w14:textId="77777777" w:rsidTr="001D4F60">
        <w:tc>
          <w:tcPr>
            <w:tcW w:w="10421" w:type="dxa"/>
            <w:shd w:val="clear" w:color="auto" w:fill="auto"/>
          </w:tcPr>
          <w:p w14:paraId="45746AD0" w14:textId="77777777" w:rsidR="001D4F60" w:rsidRPr="00CB239D" w:rsidRDefault="001D4F60" w:rsidP="009E380F">
            <w:pPr>
              <w:spacing w:before="120" w:after="120"/>
              <w:rPr>
                <w:b/>
                <w:sz w:val="18"/>
                <w:szCs w:val="18"/>
              </w:rPr>
            </w:pPr>
            <w:r w:rsidRPr="00CB239D">
              <w:rPr>
                <w:b/>
                <w:sz w:val="18"/>
                <w:szCs w:val="18"/>
              </w:rPr>
              <w:t>Validity</w:t>
            </w:r>
          </w:p>
          <w:p w14:paraId="1E329018" w14:textId="77777777" w:rsidR="001D4F60" w:rsidRPr="00CB239D" w:rsidRDefault="0000738B" w:rsidP="0000738B">
            <w:pPr>
              <w:spacing w:before="120" w:after="120"/>
              <w:rPr>
                <w:sz w:val="18"/>
                <w:szCs w:val="18"/>
              </w:rPr>
            </w:pPr>
            <w:r w:rsidRPr="00CB239D">
              <w:rPr>
                <w:sz w:val="18"/>
                <w:szCs w:val="18"/>
              </w:rPr>
              <w:t>[Summarize the internal and external validity of the study. Highlight key strengths and weaknesses. Comment on the overall evidence quality provided by this study.]</w:t>
            </w:r>
          </w:p>
        </w:tc>
      </w:tr>
      <w:tr w:rsidR="001D4F60" w:rsidRPr="00CB239D" w14:paraId="7C4A71C3" w14:textId="77777777" w:rsidTr="001D4F60">
        <w:tc>
          <w:tcPr>
            <w:tcW w:w="10421" w:type="dxa"/>
            <w:shd w:val="clear" w:color="auto" w:fill="auto"/>
          </w:tcPr>
          <w:p w14:paraId="6550E197" w14:textId="21497F2A" w:rsidR="001D4F60" w:rsidRPr="00CB239D" w:rsidRDefault="00FF658E" w:rsidP="002531CA">
            <w:pPr>
              <w:pStyle w:val="ListParagraph"/>
              <w:numPr>
                <w:ilvl w:val="0"/>
                <w:numId w:val="21"/>
              </w:numPr>
              <w:spacing w:before="120" w:after="120"/>
              <w:rPr>
                <w:rFonts w:ascii="Verdana" w:hAnsi="Verdana"/>
                <w:sz w:val="18"/>
                <w:szCs w:val="18"/>
              </w:rPr>
            </w:pPr>
            <w:proofErr w:type="spellStart"/>
            <w:r w:rsidRPr="00CB239D">
              <w:rPr>
                <w:rFonts w:ascii="Verdana" w:hAnsi="Verdana"/>
                <w:sz w:val="18"/>
                <w:szCs w:val="18"/>
              </w:rPr>
              <w:t>PEDro</w:t>
            </w:r>
            <w:proofErr w:type="spellEnd"/>
            <w:r w:rsidRPr="00CB239D">
              <w:rPr>
                <w:rFonts w:ascii="Verdana" w:hAnsi="Verdana"/>
                <w:sz w:val="18"/>
                <w:szCs w:val="18"/>
              </w:rPr>
              <w:t xml:space="preserve"> Scale Score: 10/10 based on eligibility criteria: Yes; Random Allocation: Yes; Concealed </w:t>
            </w:r>
            <w:r w:rsidR="00E620B2" w:rsidRPr="00CB239D">
              <w:rPr>
                <w:rFonts w:ascii="Verdana" w:hAnsi="Verdana"/>
                <w:sz w:val="18"/>
                <w:szCs w:val="18"/>
              </w:rPr>
              <w:t>Allocation</w:t>
            </w:r>
            <w:r w:rsidRPr="00CB239D">
              <w:rPr>
                <w:rFonts w:ascii="Verdana" w:hAnsi="Verdana"/>
                <w:sz w:val="18"/>
                <w:szCs w:val="18"/>
              </w:rPr>
              <w:t xml:space="preserve">: Yes; Baseline </w:t>
            </w:r>
            <w:r w:rsidR="00E620B2" w:rsidRPr="00CB239D">
              <w:rPr>
                <w:rFonts w:ascii="Verdana" w:hAnsi="Verdana"/>
                <w:sz w:val="18"/>
                <w:szCs w:val="18"/>
              </w:rPr>
              <w:t>comparison</w:t>
            </w:r>
            <w:r w:rsidRPr="00CB239D">
              <w:rPr>
                <w:rFonts w:ascii="Verdana" w:hAnsi="Verdana"/>
                <w:sz w:val="18"/>
                <w:szCs w:val="18"/>
              </w:rPr>
              <w:t xml:space="preserve">: Yes; Blinding of subjects: Yes; Blinding of assessors/investigators: Yes; &gt;85% participant outcomes: Yes; Intention to treat analysis: Yes; </w:t>
            </w:r>
            <w:proofErr w:type="gramStart"/>
            <w:r w:rsidRPr="00CB239D">
              <w:rPr>
                <w:rFonts w:ascii="Verdana" w:hAnsi="Verdana"/>
                <w:sz w:val="18"/>
                <w:szCs w:val="18"/>
              </w:rPr>
              <w:t>Between</w:t>
            </w:r>
            <w:proofErr w:type="gramEnd"/>
            <w:r w:rsidRPr="00CB239D">
              <w:rPr>
                <w:rFonts w:ascii="Verdana" w:hAnsi="Verdana"/>
                <w:sz w:val="18"/>
                <w:szCs w:val="18"/>
              </w:rPr>
              <w:t xml:space="preserve"> group comparison: Yes; Point measures: Yes. (</w:t>
            </w:r>
            <w:r w:rsidR="009A09C7" w:rsidRPr="00CB239D">
              <w:rPr>
                <w:rFonts w:ascii="Verdana" w:hAnsi="Verdana"/>
                <w:sz w:val="18"/>
                <w:szCs w:val="18"/>
              </w:rPr>
              <w:t xml:space="preserve">Scoring does not include </w:t>
            </w:r>
            <w:r w:rsidR="00E620B2" w:rsidRPr="00CB239D">
              <w:rPr>
                <w:rFonts w:ascii="Verdana" w:hAnsi="Verdana"/>
                <w:sz w:val="18"/>
                <w:szCs w:val="18"/>
              </w:rPr>
              <w:t>therapist-administered</w:t>
            </w:r>
            <w:r w:rsidR="009A09C7" w:rsidRPr="00CB239D">
              <w:rPr>
                <w:rFonts w:ascii="Verdana" w:hAnsi="Verdana"/>
                <w:sz w:val="18"/>
                <w:szCs w:val="18"/>
              </w:rPr>
              <w:t xml:space="preserve"> therapy because it does not apply to study).</w:t>
            </w:r>
          </w:p>
          <w:p w14:paraId="52FB3932" w14:textId="49DCE14E" w:rsidR="00AA5262" w:rsidRPr="00CB239D" w:rsidRDefault="00AA5262" w:rsidP="002531CA">
            <w:pPr>
              <w:pStyle w:val="ListParagraph"/>
              <w:numPr>
                <w:ilvl w:val="0"/>
                <w:numId w:val="21"/>
              </w:numPr>
              <w:spacing w:before="120" w:after="120"/>
              <w:rPr>
                <w:rFonts w:ascii="Verdana" w:hAnsi="Verdana"/>
                <w:sz w:val="18"/>
                <w:szCs w:val="18"/>
              </w:rPr>
            </w:pPr>
            <w:r w:rsidRPr="00CB239D">
              <w:rPr>
                <w:rFonts w:ascii="Verdana" w:hAnsi="Verdana"/>
                <w:sz w:val="18"/>
                <w:szCs w:val="18"/>
              </w:rPr>
              <w:t>S</w:t>
            </w:r>
            <w:r w:rsidR="00FA3265" w:rsidRPr="00CB239D">
              <w:rPr>
                <w:rFonts w:ascii="Verdana" w:hAnsi="Verdana"/>
                <w:sz w:val="18"/>
                <w:szCs w:val="18"/>
              </w:rPr>
              <w:t xml:space="preserve">ignificant strengths of this study </w:t>
            </w:r>
            <w:r w:rsidRPr="00CB239D">
              <w:rPr>
                <w:rFonts w:ascii="Verdana" w:hAnsi="Verdana"/>
                <w:sz w:val="18"/>
                <w:szCs w:val="18"/>
              </w:rPr>
              <w:t>are</w:t>
            </w:r>
            <w:r w:rsidR="00940C68" w:rsidRPr="00CB239D">
              <w:rPr>
                <w:rFonts w:ascii="Verdana" w:hAnsi="Verdana"/>
                <w:sz w:val="18"/>
                <w:szCs w:val="18"/>
              </w:rPr>
              <w:t xml:space="preserve"> its double blind setup</w:t>
            </w:r>
            <w:r w:rsidR="00FA3265" w:rsidRPr="00CB239D">
              <w:rPr>
                <w:rFonts w:ascii="Verdana" w:hAnsi="Verdana"/>
                <w:sz w:val="18"/>
                <w:szCs w:val="18"/>
              </w:rPr>
              <w:t xml:space="preserve">, randomization, and its inclusion of </w:t>
            </w:r>
            <w:r w:rsidRPr="00CB239D">
              <w:rPr>
                <w:rFonts w:ascii="Verdana" w:hAnsi="Verdana"/>
                <w:sz w:val="18"/>
                <w:szCs w:val="18"/>
              </w:rPr>
              <w:t>a</w:t>
            </w:r>
            <w:r w:rsidR="00FA3265" w:rsidRPr="00CB239D">
              <w:rPr>
                <w:rFonts w:ascii="Verdana" w:hAnsi="Verdana"/>
                <w:sz w:val="18"/>
                <w:szCs w:val="18"/>
              </w:rPr>
              <w:t xml:space="preserve"> control group. This is the only related study that compared PRP and corticosteroids against a placebo. </w:t>
            </w:r>
            <w:r w:rsidRPr="00CB239D">
              <w:rPr>
                <w:rFonts w:ascii="Verdana" w:hAnsi="Verdana"/>
                <w:sz w:val="18"/>
                <w:szCs w:val="18"/>
              </w:rPr>
              <w:t xml:space="preserve">This further validates these findings because they are not due to the </w:t>
            </w:r>
            <w:r w:rsidR="00BB54BC" w:rsidRPr="00CB239D">
              <w:rPr>
                <w:rFonts w:ascii="Verdana" w:hAnsi="Verdana"/>
                <w:sz w:val="18"/>
                <w:szCs w:val="18"/>
              </w:rPr>
              <w:t>subjects</w:t>
            </w:r>
            <w:r w:rsidRPr="00CB239D">
              <w:rPr>
                <w:rFonts w:ascii="Verdana" w:hAnsi="Verdana"/>
                <w:sz w:val="18"/>
                <w:szCs w:val="18"/>
              </w:rPr>
              <w:t xml:space="preserve"> spontaneously recovering over time.</w:t>
            </w:r>
          </w:p>
          <w:p w14:paraId="7C86F9AF" w14:textId="3F959577" w:rsidR="00BB54BC" w:rsidRPr="00CB239D" w:rsidRDefault="00BB54BC" w:rsidP="00FA0061">
            <w:pPr>
              <w:pStyle w:val="ListParagraph"/>
              <w:numPr>
                <w:ilvl w:val="0"/>
                <w:numId w:val="21"/>
              </w:numPr>
              <w:spacing w:before="120" w:after="120"/>
              <w:rPr>
                <w:rFonts w:ascii="Verdana" w:hAnsi="Verdana"/>
                <w:sz w:val="18"/>
                <w:szCs w:val="18"/>
              </w:rPr>
            </w:pPr>
            <w:r w:rsidRPr="00CB239D">
              <w:rPr>
                <w:rFonts w:ascii="Verdana" w:hAnsi="Verdana"/>
                <w:sz w:val="18"/>
                <w:szCs w:val="18"/>
              </w:rPr>
              <w:t>Assessments were made with a blinded observer, a screen was used so the subjects could not see the content of the injection they</w:t>
            </w:r>
            <w:r w:rsidR="00C35EC4" w:rsidRPr="00CB239D">
              <w:rPr>
                <w:rFonts w:ascii="Verdana" w:hAnsi="Verdana"/>
                <w:sz w:val="18"/>
                <w:szCs w:val="18"/>
              </w:rPr>
              <w:t xml:space="preserve"> were</w:t>
            </w:r>
            <w:r w:rsidRPr="00CB239D">
              <w:rPr>
                <w:rFonts w:ascii="Verdana" w:hAnsi="Verdana"/>
                <w:sz w:val="18"/>
                <w:szCs w:val="18"/>
              </w:rPr>
              <w:t xml:space="preserve"> receiving,</w:t>
            </w:r>
            <w:r w:rsidR="004F1BB2" w:rsidRPr="00CB239D">
              <w:rPr>
                <w:rFonts w:ascii="Verdana" w:hAnsi="Verdana"/>
                <w:sz w:val="18"/>
                <w:szCs w:val="18"/>
              </w:rPr>
              <w:t xml:space="preserve"> blood was drawn from all subjects,</w:t>
            </w:r>
            <w:r w:rsidR="004B1F2D" w:rsidRPr="00CB239D">
              <w:rPr>
                <w:rFonts w:ascii="Verdana" w:hAnsi="Verdana"/>
                <w:sz w:val="18"/>
                <w:szCs w:val="18"/>
              </w:rPr>
              <w:t xml:space="preserve"> and </w:t>
            </w:r>
            <w:proofErr w:type="gramStart"/>
            <w:r w:rsidR="004B1F2D" w:rsidRPr="00CB239D">
              <w:rPr>
                <w:rFonts w:ascii="Verdana" w:hAnsi="Verdana"/>
                <w:sz w:val="18"/>
                <w:szCs w:val="18"/>
              </w:rPr>
              <w:t xml:space="preserve">the injections were </w:t>
            </w:r>
            <w:r w:rsidR="00C35EC4" w:rsidRPr="00CB239D">
              <w:rPr>
                <w:rFonts w:ascii="Verdana" w:hAnsi="Verdana"/>
                <w:sz w:val="18"/>
                <w:szCs w:val="18"/>
              </w:rPr>
              <w:t>administered</w:t>
            </w:r>
            <w:r w:rsidR="004B1F2D" w:rsidRPr="00CB239D">
              <w:rPr>
                <w:rFonts w:ascii="Verdana" w:hAnsi="Verdana"/>
                <w:sz w:val="18"/>
                <w:szCs w:val="18"/>
              </w:rPr>
              <w:t xml:space="preserve"> by an investigator that was not involved in the assessments</w:t>
            </w:r>
            <w:proofErr w:type="gramEnd"/>
            <w:r w:rsidR="004B1F2D" w:rsidRPr="00CB239D">
              <w:rPr>
                <w:rFonts w:ascii="Verdana" w:hAnsi="Verdana"/>
                <w:sz w:val="18"/>
                <w:szCs w:val="18"/>
              </w:rPr>
              <w:t>.</w:t>
            </w:r>
          </w:p>
          <w:p w14:paraId="46A5455D" w14:textId="593CADE4" w:rsidR="00BB54BC" w:rsidRPr="00CB239D" w:rsidRDefault="009F2907" w:rsidP="00FA0061">
            <w:pPr>
              <w:pStyle w:val="ListParagraph"/>
              <w:numPr>
                <w:ilvl w:val="0"/>
                <w:numId w:val="21"/>
              </w:numPr>
              <w:spacing w:before="120" w:after="120"/>
              <w:rPr>
                <w:rFonts w:ascii="Verdana" w:hAnsi="Verdana"/>
                <w:sz w:val="18"/>
                <w:szCs w:val="18"/>
              </w:rPr>
            </w:pPr>
            <w:r w:rsidRPr="00CB239D">
              <w:rPr>
                <w:rFonts w:ascii="Verdana" w:hAnsi="Verdana"/>
                <w:sz w:val="18"/>
                <w:szCs w:val="18"/>
              </w:rPr>
              <w:t>Using both the VAS and AOFAS</w:t>
            </w:r>
            <w:r w:rsidR="00B1606E" w:rsidRPr="00CB239D">
              <w:rPr>
                <w:rFonts w:ascii="Verdana" w:hAnsi="Verdana"/>
                <w:sz w:val="18"/>
                <w:szCs w:val="18"/>
              </w:rPr>
              <w:t xml:space="preserve"> outcome measures provides a clear picture of the </w:t>
            </w:r>
            <w:r w:rsidR="00BB54BC" w:rsidRPr="00CB239D">
              <w:rPr>
                <w:rFonts w:ascii="Verdana" w:hAnsi="Verdana"/>
                <w:sz w:val="18"/>
                <w:szCs w:val="18"/>
              </w:rPr>
              <w:t>subjects’</w:t>
            </w:r>
            <w:r w:rsidR="00B1606E" w:rsidRPr="00CB239D">
              <w:rPr>
                <w:rFonts w:ascii="Verdana" w:hAnsi="Verdana"/>
                <w:sz w:val="18"/>
                <w:szCs w:val="18"/>
              </w:rPr>
              <w:t xml:space="preserve"> presentation and the effects that the interventions had on their pain and overall function.</w:t>
            </w:r>
          </w:p>
          <w:p w14:paraId="39BC3BC9" w14:textId="6DE7DCED" w:rsidR="00940C68" w:rsidRPr="00CB239D" w:rsidRDefault="00AA5262" w:rsidP="002531CA">
            <w:pPr>
              <w:pStyle w:val="ListParagraph"/>
              <w:numPr>
                <w:ilvl w:val="0"/>
                <w:numId w:val="21"/>
              </w:numPr>
              <w:spacing w:before="120" w:after="120"/>
              <w:rPr>
                <w:rFonts w:ascii="Verdana" w:hAnsi="Verdana"/>
                <w:sz w:val="18"/>
                <w:szCs w:val="18"/>
              </w:rPr>
            </w:pPr>
            <w:r w:rsidRPr="00CB239D">
              <w:rPr>
                <w:rFonts w:ascii="Verdana" w:hAnsi="Verdana"/>
                <w:sz w:val="18"/>
                <w:szCs w:val="18"/>
              </w:rPr>
              <w:t>A limitation of this study is that the authors</w:t>
            </w:r>
            <w:r w:rsidR="003C5719" w:rsidRPr="00CB239D">
              <w:rPr>
                <w:rFonts w:ascii="Verdana" w:hAnsi="Verdana"/>
                <w:sz w:val="18"/>
                <w:szCs w:val="18"/>
              </w:rPr>
              <w:t xml:space="preserve"> only inform the reader of the subjects’ age and gender. </w:t>
            </w:r>
            <w:r w:rsidR="002F6BAA" w:rsidRPr="00CB239D">
              <w:rPr>
                <w:rFonts w:ascii="Verdana" w:hAnsi="Verdana"/>
                <w:sz w:val="18"/>
                <w:szCs w:val="18"/>
              </w:rPr>
              <w:t xml:space="preserve">The severity of plantar fasciitis is influenced by a number of factors such as obesity, job occupation, excessive pronation, </w:t>
            </w:r>
            <w:r w:rsidR="009F2907" w:rsidRPr="00CB239D">
              <w:rPr>
                <w:rFonts w:ascii="Verdana" w:hAnsi="Verdana"/>
                <w:sz w:val="18"/>
                <w:szCs w:val="18"/>
              </w:rPr>
              <w:t xml:space="preserve">reduced </w:t>
            </w:r>
            <w:r w:rsidR="002F6BAA" w:rsidRPr="00CB239D">
              <w:rPr>
                <w:rFonts w:ascii="Verdana" w:hAnsi="Verdana"/>
                <w:sz w:val="18"/>
                <w:szCs w:val="18"/>
              </w:rPr>
              <w:t>ankle dorsiflexion, and activity level</w:t>
            </w:r>
            <w:r w:rsidR="002F6BAA" w:rsidRPr="00CB239D">
              <w:rPr>
                <w:rFonts w:ascii="Verdana" w:hAnsi="Verdana"/>
                <w:sz w:val="18"/>
                <w:szCs w:val="18"/>
              </w:rPr>
              <w:fldChar w:fldCharType="begin"/>
            </w:r>
            <w:r w:rsidR="00CB239D">
              <w:rPr>
                <w:rFonts w:ascii="Verdana" w:hAnsi="Verdana"/>
                <w:sz w:val="18"/>
                <w:szCs w:val="18"/>
              </w:rPr>
              <w:instrText>ADDIN F1000_CSL_CITATION&lt;~#@#~&gt;[{"First":false,"Last":false,"PMID":"12728038","abstract":"&lt;strong&gt;BACKGROUND:&lt;/strong&gt; Plantar fasciitis is one of the more common soft-tissue disorders of the foot, yet little is known about its etiology. The purpose of the present study was to use an epidemiological design to determine whether risk factors for plantar fasciitis could be identified. Specifically, we examined the risk factors of limited ankle dorsiflexion with the knee extended, obesity, and time spent weight-bearing.&lt;br&gt;&lt;br&gt;&lt;strong&gt;METHODS:&lt;/strong&gt; We used a matched case-control design, with two controls for each patient. The matching criteria were age and gender. We identified fifty consecutive patients with unilateral plantar fasciitis who met the inclusion criteria. The data that were collected included height, weight, whether the subject spent the majority of the workday weight-bearing, and whether the subject was a jogger or runner. We used a reliable goniometric method to measure passive ankle dorsiflexion bilaterally. The main outcome measure was the adjusted odds ratio of plantar fasciitis associated with varying degrees of limitation of ankle dorsiflexion, different levels of body mass, and the subjects' reports on weight-bearing.&lt;br&gt;&lt;br&gt;&lt;strong&gt;RESULTS:&lt;/strong&gt; Individuals with &lt; /=0 degrees of dorsiflexion had an odds ratio of 23.3 (95% confidence interval, 4.3 to 124.4) when compared with the referent group of individuals who had &gt;10 degrees of ankle dorsiflexion. Individuals who had a body-mass index of &gt;30 kg/m (2) had an odds ratio of 5.6 (95% confidence interval, 1.9 to 16.6) when compared with the referent group of individuals who had a body-mass index of &lt; /=25 kg/m (2). Individuals who reported that they spent the majority of their workday on their feet had an odds ratio of 3.6 (95% confidence interval, 1.3 to 10.1) when compared with the referent group of those who did not.&lt;br&gt;&lt;br&gt;&lt;strong&gt;CONCLUSIONS:&lt;/strong&gt; The risk of plantar fasciitis increases as the range of ankle dorsiflexion decreases. Individuals who spend the majority of their workday on their feet and those whose body-mass index is &gt;30 kg/m (2) are also at increased risk for the development of plantar fasciitis. Reduced ankle dorsiflexion, obesity, and work-related weight-bearing appear to be independent risk factors for plantar fasciitis. Reduced ankle dorsiflexion appears to be the most important risk factor.","author":[{"family":"Riddle","given":"Daniel L"},{"family":"Pulisic","given":"Matthew"},{"family":"Pidcoe","given":"Peter"},{"family":"Johnson","given":"Robert E"}],"authorYearDisplayFormat":false,"citation-label":"4471595","container-title":"The Journal of Bone and Joint Surgery. American Volume","container-title-short":"J Bone Joint Surg Am","id":"4471595","invisible":false,"issue":"5","issued":{"date-parts":[["2003","5"]]},"journalAbbreviation":"J Bone Joint Surg Am","page":"872-877","suppress-author":false,"title":"Risk factors for Plantar fasciitis: a matched case-control study.","type":"article-journal","volume":"85-A"}]</w:instrText>
            </w:r>
            <w:r w:rsidR="002F6BAA" w:rsidRPr="00CB239D">
              <w:rPr>
                <w:rFonts w:ascii="Verdana" w:hAnsi="Verdana"/>
                <w:sz w:val="18"/>
                <w:szCs w:val="18"/>
              </w:rPr>
              <w:fldChar w:fldCharType="separate"/>
            </w:r>
            <w:r w:rsidR="00CB239D" w:rsidRPr="00CB239D">
              <w:rPr>
                <w:rFonts w:ascii="Verdana" w:hAnsi="Verdana"/>
                <w:noProof/>
                <w:sz w:val="18"/>
                <w:szCs w:val="18"/>
                <w:vertAlign w:val="superscript"/>
              </w:rPr>
              <w:t>16</w:t>
            </w:r>
            <w:r w:rsidR="002F6BAA" w:rsidRPr="00CB239D">
              <w:rPr>
                <w:rFonts w:ascii="Verdana" w:hAnsi="Verdana"/>
                <w:sz w:val="18"/>
                <w:szCs w:val="18"/>
              </w:rPr>
              <w:fldChar w:fldCharType="end"/>
            </w:r>
            <w:r w:rsidR="002F6BAA" w:rsidRPr="00CB239D">
              <w:rPr>
                <w:rFonts w:ascii="Verdana" w:hAnsi="Verdana"/>
                <w:sz w:val="18"/>
                <w:szCs w:val="18"/>
              </w:rPr>
              <w:t xml:space="preserve">. </w:t>
            </w:r>
            <w:r w:rsidR="00940C68" w:rsidRPr="00CB239D">
              <w:rPr>
                <w:rFonts w:ascii="Verdana" w:hAnsi="Verdana"/>
                <w:sz w:val="18"/>
                <w:szCs w:val="18"/>
              </w:rPr>
              <w:t>Knowing more of these factors would help us better apply these finding to our patient</w:t>
            </w:r>
            <w:r w:rsidR="00E620B2" w:rsidRPr="00CB239D">
              <w:rPr>
                <w:rFonts w:ascii="Verdana" w:hAnsi="Verdana"/>
                <w:sz w:val="18"/>
                <w:szCs w:val="18"/>
              </w:rPr>
              <w:t>s.</w:t>
            </w:r>
          </w:p>
          <w:p w14:paraId="5EB00338" w14:textId="0BB313BC" w:rsidR="001D4F60" w:rsidRPr="00CB239D" w:rsidRDefault="00FA3265" w:rsidP="00A54CD5">
            <w:pPr>
              <w:widowControl w:val="0"/>
              <w:numPr>
                <w:ilvl w:val="0"/>
                <w:numId w:val="24"/>
              </w:numPr>
              <w:tabs>
                <w:tab w:val="left" w:pos="220"/>
                <w:tab w:val="left" w:pos="720"/>
              </w:tabs>
              <w:autoSpaceDE w:val="0"/>
              <w:autoSpaceDN w:val="0"/>
              <w:adjustRightInd w:val="0"/>
              <w:spacing w:after="240" w:line="240" w:lineRule="atLeast"/>
              <w:ind w:hanging="720"/>
              <w:rPr>
                <w:rFonts w:cs="Times"/>
                <w:color w:val="000000"/>
                <w:sz w:val="18"/>
                <w:szCs w:val="18"/>
                <w:lang w:val="en-US"/>
              </w:rPr>
            </w:pPr>
            <w:r w:rsidRPr="00CB239D">
              <w:rPr>
                <w:rFonts w:cs="Symbol"/>
                <w:color w:val="000000"/>
                <w:kern w:val="1"/>
                <w:sz w:val="18"/>
                <w:szCs w:val="18"/>
                <w:lang w:val="en-US"/>
              </w:rPr>
              <w:tab/>
            </w:r>
          </w:p>
          <w:p w14:paraId="68BBAB01" w14:textId="77777777" w:rsidR="001D4F60" w:rsidRPr="00CB239D" w:rsidRDefault="001D4F60" w:rsidP="009E380F">
            <w:pPr>
              <w:spacing w:before="120" w:after="120"/>
              <w:rPr>
                <w:sz w:val="18"/>
                <w:szCs w:val="18"/>
              </w:rPr>
            </w:pPr>
          </w:p>
          <w:p w14:paraId="60C7B514" w14:textId="77777777" w:rsidR="00E620B2" w:rsidRPr="00CB239D" w:rsidRDefault="00E620B2" w:rsidP="009E380F">
            <w:pPr>
              <w:spacing w:before="120" w:after="120"/>
              <w:rPr>
                <w:sz w:val="18"/>
                <w:szCs w:val="18"/>
              </w:rPr>
            </w:pPr>
          </w:p>
          <w:p w14:paraId="029C3E00" w14:textId="77777777" w:rsidR="001D4F60" w:rsidRPr="00CB239D" w:rsidRDefault="001D4F60" w:rsidP="009E380F">
            <w:pPr>
              <w:spacing w:before="120" w:after="120"/>
              <w:rPr>
                <w:sz w:val="18"/>
                <w:szCs w:val="18"/>
              </w:rPr>
            </w:pPr>
          </w:p>
          <w:p w14:paraId="3F034A69" w14:textId="77777777" w:rsidR="001D4F60" w:rsidRPr="00CB239D" w:rsidRDefault="001D4F60" w:rsidP="009E380F">
            <w:pPr>
              <w:spacing w:before="120" w:after="120"/>
              <w:jc w:val="right"/>
              <w:rPr>
                <w:sz w:val="18"/>
                <w:szCs w:val="18"/>
              </w:rPr>
            </w:pPr>
          </w:p>
        </w:tc>
      </w:tr>
      <w:tr w:rsidR="001D4F60" w:rsidRPr="00CB239D" w14:paraId="52CB2EDE" w14:textId="77777777" w:rsidTr="001D4F60">
        <w:tc>
          <w:tcPr>
            <w:tcW w:w="10421" w:type="dxa"/>
            <w:shd w:val="clear" w:color="auto" w:fill="auto"/>
          </w:tcPr>
          <w:p w14:paraId="4EFB51F5" w14:textId="77777777" w:rsidR="001D4F60" w:rsidRPr="00CB239D" w:rsidRDefault="001D4F60" w:rsidP="009E380F">
            <w:pPr>
              <w:spacing w:before="120" w:after="120"/>
              <w:jc w:val="both"/>
              <w:rPr>
                <w:b/>
                <w:sz w:val="18"/>
                <w:szCs w:val="18"/>
              </w:rPr>
            </w:pPr>
            <w:r w:rsidRPr="00CB239D">
              <w:rPr>
                <w:b/>
                <w:sz w:val="18"/>
                <w:szCs w:val="18"/>
              </w:rPr>
              <w:t>Interpretation of Results</w:t>
            </w:r>
          </w:p>
          <w:p w14:paraId="1A83F142" w14:textId="77777777" w:rsidR="001D4F60" w:rsidRPr="00CB239D" w:rsidRDefault="00F81BE7" w:rsidP="009E380F">
            <w:pPr>
              <w:spacing w:before="120" w:after="120"/>
              <w:jc w:val="both"/>
              <w:rPr>
                <w:sz w:val="18"/>
                <w:szCs w:val="18"/>
              </w:rPr>
            </w:pPr>
            <w:r w:rsidRPr="00CB239D">
              <w:rPr>
                <w:sz w:val="18"/>
                <w:szCs w:val="18"/>
              </w:rPr>
              <w:t xml:space="preserve">[This is YOUR interpretation of the results taking into consideration the strengths and limitations as you discussed above.  Please comment on clinical significance of effect size / study findings. Describe in your own </w:t>
            </w:r>
            <w:r w:rsidRPr="00CB239D">
              <w:rPr>
                <w:sz w:val="18"/>
                <w:szCs w:val="18"/>
              </w:rPr>
              <w:lastRenderedPageBreak/>
              <w:t>words what the results mean.]</w:t>
            </w:r>
          </w:p>
        </w:tc>
      </w:tr>
      <w:tr w:rsidR="001D4F60" w:rsidRPr="00CB239D" w14:paraId="3C90388A" w14:textId="77777777" w:rsidTr="0000738B">
        <w:trPr>
          <w:trHeight w:val="1365"/>
        </w:trPr>
        <w:tc>
          <w:tcPr>
            <w:tcW w:w="10421" w:type="dxa"/>
            <w:shd w:val="clear" w:color="auto" w:fill="auto"/>
          </w:tcPr>
          <w:p w14:paraId="6893CEA5" w14:textId="30328DF9" w:rsidR="00C35EC4" w:rsidRPr="00CB239D" w:rsidRDefault="00FC00A5" w:rsidP="00FC00A5">
            <w:pPr>
              <w:pStyle w:val="ListParagraph"/>
              <w:numPr>
                <w:ilvl w:val="0"/>
                <w:numId w:val="25"/>
              </w:numPr>
              <w:spacing w:before="120" w:after="120"/>
              <w:rPr>
                <w:rFonts w:ascii="Verdana" w:hAnsi="Verdana"/>
                <w:sz w:val="18"/>
                <w:szCs w:val="18"/>
              </w:rPr>
            </w:pPr>
            <w:r w:rsidRPr="00CB239D">
              <w:rPr>
                <w:rFonts w:ascii="Verdana" w:hAnsi="Verdana"/>
                <w:sz w:val="18"/>
                <w:szCs w:val="18"/>
              </w:rPr>
              <w:lastRenderedPageBreak/>
              <w:t>Currently, this is the best study that</w:t>
            </w:r>
            <w:r w:rsidR="00906CEA" w:rsidRPr="00CB239D">
              <w:rPr>
                <w:rFonts w:ascii="Verdana" w:hAnsi="Verdana"/>
                <w:sz w:val="18"/>
                <w:szCs w:val="18"/>
              </w:rPr>
              <w:t xml:space="preserve"> truly</w:t>
            </w:r>
            <w:r w:rsidRPr="00CB239D">
              <w:rPr>
                <w:rFonts w:ascii="Verdana" w:hAnsi="Verdana"/>
                <w:sz w:val="18"/>
                <w:szCs w:val="18"/>
              </w:rPr>
              <w:t xml:space="preserve"> validate</w:t>
            </w:r>
            <w:r w:rsidR="00142FB1" w:rsidRPr="00CB239D">
              <w:rPr>
                <w:rFonts w:ascii="Verdana" w:hAnsi="Verdana"/>
                <w:sz w:val="18"/>
                <w:szCs w:val="18"/>
              </w:rPr>
              <w:t>s the effects of corticosteroid and PRP injections</w:t>
            </w:r>
            <w:r w:rsidRPr="00CB239D">
              <w:rPr>
                <w:rFonts w:ascii="Verdana" w:hAnsi="Verdana"/>
                <w:sz w:val="18"/>
                <w:szCs w:val="18"/>
              </w:rPr>
              <w:t xml:space="preserve"> by having a placeb</w:t>
            </w:r>
            <w:r w:rsidR="00906CEA" w:rsidRPr="00CB239D">
              <w:rPr>
                <w:rFonts w:ascii="Verdana" w:hAnsi="Verdana"/>
                <w:sz w:val="18"/>
                <w:szCs w:val="18"/>
              </w:rPr>
              <w:t xml:space="preserve">o group. This is a high quality study that has a very low risk of bias as evidenced by the </w:t>
            </w:r>
            <w:proofErr w:type="spellStart"/>
            <w:r w:rsidR="00906CEA" w:rsidRPr="00CB239D">
              <w:rPr>
                <w:rFonts w:ascii="Verdana" w:hAnsi="Verdana"/>
                <w:sz w:val="18"/>
                <w:szCs w:val="18"/>
              </w:rPr>
              <w:t>PEDro</w:t>
            </w:r>
            <w:proofErr w:type="spellEnd"/>
            <w:r w:rsidR="00906CEA" w:rsidRPr="00CB239D">
              <w:rPr>
                <w:rFonts w:ascii="Verdana" w:hAnsi="Verdana"/>
                <w:sz w:val="18"/>
                <w:szCs w:val="18"/>
              </w:rPr>
              <w:t xml:space="preserve"> scale. Authors took every possible step to ensure blinding and also </w:t>
            </w:r>
            <w:r w:rsidR="00065C23" w:rsidRPr="00CB239D">
              <w:rPr>
                <w:rFonts w:ascii="Verdana" w:hAnsi="Verdana"/>
                <w:sz w:val="18"/>
                <w:szCs w:val="18"/>
              </w:rPr>
              <w:t xml:space="preserve">noted </w:t>
            </w:r>
            <w:r w:rsidR="00906CEA" w:rsidRPr="00CB239D">
              <w:rPr>
                <w:rFonts w:ascii="Verdana" w:hAnsi="Verdana"/>
                <w:sz w:val="18"/>
                <w:szCs w:val="18"/>
              </w:rPr>
              <w:t xml:space="preserve">results found from </w:t>
            </w:r>
            <w:r w:rsidR="00C461A6" w:rsidRPr="00CB239D">
              <w:rPr>
                <w:rFonts w:ascii="Verdana" w:hAnsi="Verdana"/>
                <w:sz w:val="18"/>
                <w:szCs w:val="18"/>
              </w:rPr>
              <w:t>similar</w:t>
            </w:r>
            <w:r w:rsidR="00906CEA" w:rsidRPr="00CB239D">
              <w:rPr>
                <w:rFonts w:ascii="Verdana" w:hAnsi="Verdana"/>
                <w:sz w:val="18"/>
                <w:szCs w:val="18"/>
              </w:rPr>
              <w:t xml:space="preserve"> studies.</w:t>
            </w:r>
            <w:r w:rsidR="00065C23" w:rsidRPr="00CB239D">
              <w:rPr>
                <w:rFonts w:ascii="Verdana" w:hAnsi="Verdana"/>
                <w:sz w:val="18"/>
                <w:szCs w:val="18"/>
              </w:rPr>
              <w:t xml:space="preserve"> When comparing </w:t>
            </w:r>
            <w:r w:rsidR="00C93708" w:rsidRPr="00CB239D">
              <w:rPr>
                <w:rFonts w:ascii="Verdana" w:hAnsi="Verdana"/>
                <w:sz w:val="18"/>
                <w:szCs w:val="18"/>
              </w:rPr>
              <w:t>PRP injections versus corticosteroid injections</w:t>
            </w:r>
            <w:r w:rsidR="00065C23" w:rsidRPr="00CB239D">
              <w:rPr>
                <w:rFonts w:ascii="Verdana" w:hAnsi="Verdana"/>
                <w:sz w:val="18"/>
                <w:szCs w:val="18"/>
              </w:rPr>
              <w:t>, these results indicate that PRP</w:t>
            </w:r>
            <w:r w:rsidR="00C93708" w:rsidRPr="00CB239D">
              <w:rPr>
                <w:rFonts w:ascii="Verdana" w:hAnsi="Verdana"/>
                <w:sz w:val="18"/>
                <w:szCs w:val="18"/>
              </w:rPr>
              <w:t xml:space="preserve"> injections have similar pain outcomes and a significant improve in function over corticosteroid injections. </w:t>
            </w:r>
          </w:p>
          <w:p w14:paraId="35ACADB1" w14:textId="5EFD9FAE" w:rsidR="001D4F60" w:rsidRPr="00CB239D" w:rsidRDefault="001D4F60" w:rsidP="00B86EA6">
            <w:pPr>
              <w:widowControl w:val="0"/>
              <w:tabs>
                <w:tab w:val="left" w:pos="220"/>
                <w:tab w:val="left" w:pos="720"/>
              </w:tabs>
              <w:autoSpaceDE w:val="0"/>
              <w:autoSpaceDN w:val="0"/>
              <w:adjustRightInd w:val="0"/>
              <w:spacing w:after="240" w:line="300" w:lineRule="atLeast"/>
              <w:rPr>
                <w:sz w:val="18"/>
                <w:szCs w:val="18"/>
              </w:rPr>
            </w:pPr>
          </w:p>
        </w:tc>
      </w:tr>
      <w:tr w:rsidR="0000738B" w:rsidRPr="00CB239D" w14:paraId="5FEBF7AE" w14:textId="77777777" w:rsidTr="0000738B">
        <w:trPr>
          <w:trHeight w:val="759"/>
        </w:trPr>
        <w:tc>
          <w:tcPr>
            <w:tcW w:w="10421" w:type="dxa"/>
            <w:shd w:val="clear" w:color="auto" w:fill="auto"/>
          </w:tcPr>
          <w:p w14:paraId="03D5ECCA" w14:textId="77777777" w:rsidR="0000738B" w:rsidRPr="00CB239D" w:rsidRDefault="0000738B" w:rsidP="0000738B">
            <w:pPr>
              <w:spacing w:before="120" w:after="120"/>
              <w:jc w:val="both"/>
              <w:rPr>
                <w:b/>
                <w:sz w:val="18"/>
                <w:szCs w:val="18"/>
              </w:rPr>
            </w:pPr>
            <w:r w:rsidRPr="00CB239D">
              <w:rPr>
                <w:b/>
                <w:sz w:val="18"/>
                <w:szCs w:val="18"/>
              </w:rPr>
              <w:t>Applicability of Study Results</w:t>
            </w:r>
          </w:p>
          <w:p w14:paraId="40E9AF04" w14:textId="77777777" w:rsidR="0000738B" w:rsidRPr="00CB239D" w:rsidRDefault="0000738B" w:rsidP="00D66665">
            <w:pPr>
              <w:spacing w:before="120" w:after="120"/>
              <w:rPr>
                <w:sz w:val="18"/>
                <w:szCs w:val="18"/>
              </w:rPr>
            </w:pPr>
            <w:r w:rsidRPr="00CB239D">
              <w:rPr>
                <w:sz w:val="18"/>
                <w:szCs w:val="18"/>
              </w:rPr>
              <w:t xml:space="preserve">[Describe </w:t>
            </w:r>
            <w:r w:rsidR="00D66665" w:rsidRPr="00CB239D">
              <w:rPr>
                <w:sz w:val="18"/>
                <w:szCs w:val="18"/>
              </w:rPr>
              <w:t>the relevance and applicability of the study</w:t>
            </w:r>
            <w:r w:rsidRPr="00CB239D">
              <w:rPr>
                <w:sz w:val="18"/>
                <w:szCs w:val="18"/>
              </w:rPr>
              <w:t xml:space="preserve"> to your clinical question and scenario</w:t>
            </w:r>
            <w:r w:rsidR="00D66665" w:rsidRPr="00CB239D">
              <w:rPr>
                <w:sz w:val="18"/>
                <w:szCs w:val="18"/>
              </w:rPr>
              <w:t>. Consider the practicality and feasibility of the intervention in your discussion of the evidence applicability.</w:t>
            </w:r>
            <w:r w:rsidRPr="00CB239D">
              <w:rPr>
                <w:sz w:val="18"/>
                <w:szCs w:val="18"/>
              </w:rPr>
              <w:t>]</w:t>
            </w:r>
          </w:p>
        </w:tc>
      </w:tr>
      <w:tr w:rsidR="0000738B" w:rsidRPr="00CB239D" w14:paraId="1DBDD7DC" w14:textId="77777777" w:rsidTr="001D4F60">
        <w:trPr>
          <w:trHeight w:val="1594"/>
        </w:trPr>
        <w:tc>
          <w:tcPr>
            <w:tcW w:w="10421" w:type="dxa"/>
            <w:tcBorders>
              <w:bottom w:val="single" w:sz="4" w:space="0" w:color="auto"/>
            </w:tcBorders>
            <w:shd w:val="clear" w:color="auto" w:fill="auto"/>
          </w:tcPr>
          <w:p w14:paraId="7189ECA9" w14:textId="143FF352" w:rsidR="00CD2B38" w:rsidRPr="00CB239D" w:rsidRDefault="007E4BD7" w:rsidP="0068679F">
            <w:pPr>
              <w:pStyle w:val="ListParagraph"/>
              <w:numPr>
                <w:ilvl w:val="0"/>
                <w:numId w:val="26"/>
              </w:numPr>
              <w:spacing w:before="120" w:after="120"/>
              <w:rPr>
                <w:rFonts w:ascii="Verdana" w:hAnsi="Verdana"/>
                <w:sz w:val="18"/>
                <w:szCs w:val="18"/>
              </w:rPr>
            </w:pPr>
            <w:r w:rsidRPr="00CB239D">
              <w:rPr>
                <w:rFonts w:ascii="Verdana" w:hAnsi="Verdana"/>
                <w:sz w:val="18"/>
                <w:szCs w:val="18"/>
              </w:rPr>
              <w:t xml:space="preserve">The majority of the subjects in this study </w:t>
            </w:r>
            <w:r w:rsidR="005F332F" w:rsidRPr="00CB239D">
              <w:rPr>
                <w:rFonts w:ascii="Verdana" w:hAnsi="Verdana"/>
                <w:sz w:val="18"/>
                <w:szCs w:val="18"/>
              </w:rPr>
              <w:t>were</w:t>
            </w:r>
            <w:r w:rsidRPr="00CB239D">
              <w:rPr>
                <w:rFonts w:ascii="Verdana" w:hAnsi="Verdana"/>
                <w:sz w:val="18"/>
                <w:szCs w:val="18"/>
              </w:rPr>
              <w:t xml:space="preserve"> female and the average age of the participants was 33.37 years</w:t>
            </w:r>
            <w:r w:rsidR="005F332F" w:rsidRPr="00CB239D">
              <w:rPr>
                <w:rFonts w:ascii="Verdana" w:hAnsi="Verdana"/>
                <w:sz w:val="18"/>
                <w:szCs w:val="18"/>
              </w:rPr>
              <w:t xml:space="preserve"> old</w:t>
            </w:r>
            <w:r w:rsidRPr="00CB239D">
              <w:rPr>
                <w:rFonts w:ascii="Verdana" w:hAnsi="Verdana"/>
                <w:sz w:val="18"/>
                <w:szCs w:val="18"/>
              </w:rPr>
              <w:t xml:space="preserve">. This is close to the age of the patient in the scenario. The study did not provide </w:t>
            </w:r>
            <w:r w:rsidR="00824731" w:rsidRPr="00CB239D">
              <w:rPr>
                <w:rFonts w:ascii="Verdana" w:hAnsi="Verdana"/>
                <w:sz w:val="18"/>
                <w:szCs w:val="18"/>
              </w:rPr>
              <w:t>much</w:t>
            </w:r>
            <w:r w:rsidRPr="00CB239D">
              <w:rPr>
                <w:rFonts w:ascii="Verdana" w:hAnsi="Verdana"/>
                <w:sz w:val="18"/>
                <w:szCs w:val="18"/>
              </w:rPr>
              <w:t xml:space="preserve"> information on the characteristics of their subjects so </w:t>
            </w:r>
            <w:r w:rsidR="0068679F" w:rsidRPr="00CB239D">
              <w:rPr>
                <w:rFonts w:ascii="Verdana" w:hAnsi="Verdana"/>
                <w:sz w:val="18"/>
                <w:szCs w:val="18"/>
              </w:rPr>
              <w:t xml:space="preserve">readers can </w:t>
            </w:r>
            <w:r w:rsidR="00220C85" w:rsidRPr="00CB239D">
              <w:rPr>
                <w:rFonts w:ascii="Verdana" w:hAnsi="Verdana"/>
                <w:sz w:val="18"/>
                <w:szCs w:val="18"/>
              </w:rPr>
              <w:t>only generalize these finding</w:t>
            </w:r>
            <w:r w:rsidR="0068679F" w:rsidRPr="00CB239D">
              <w:rPr>
                <w:rFonts w:ascii="Verdana" w:hAnsi="Verdana"/>
                <w:sz w:val="18"/>
                <w:szCs w:val="18"/>
              </w:rPr>
              <w:t>s</w:t>
            </w:r>
            <w:r w:rsidR="00220C85" w:rsidRPr="00CB239D">
              <w:rPr>
                <w:rFonts w:ascii="Verdana" w:hAnsi="Verdana"/>
                <w:sz w:val="18"/>
                <w:szCs w:val="18"/>
              </w:rPr>
              <w:t xml:space="preserve"> to patients that have failed conservative treatment for at least 3 months</w:t>
            </w:r>
            <w:r w:rsidR="00CD2B38" w:rsidRPr="00CB239D">
              <w:rPr>
                <w:rFonts w:ascii="Verdana" w:hAnsi="Verdana"/>
                <w:sz w:val="18"/>
                <w:szCs w:val="18"/>
              </w:rPr>
              <w:t>, have moderate-severe pain,</w:t>
            </w:r>
            <w:r w:rsidR="00220C85" w:rsidRPr="00CB239D">
              <w:rPr>
                <w:rFonts w:ascii="Verdana" w:hAnsi="Verdana"/>
                <w:sz w:val="18"/>
                <w:szCs w:val="18"/>
              </w:rPr>
              <w:t xml:space="preserve"> and that are between the ages of 23.3-45.02 years old. </w:t>
            </w:r>
            <w:r w:rsidR="00CD2B38" w:rsidRPr="00CB239D">
              <w:rPr>
                <w:rFonts w:ascii="Verdana" w:hAnsi="Verdana"/>
                <w:sz w:val="18"/>
                <w:szCs w:val="18"/>
              </w:rPr>
              <w:t>The</w:t>
            </w:r>
            <w:r w:rsidR="005F332F" w:rsidRPr="00CB239D">
              <w:rPr>
                <w:rFonts w:ascii="Verdana" w:hAnsi="Verdana"/>
                <w:sz w:val="18"/>
                <w:szCs w:val="18"/>
              </w:rPr>
              <w:t xml:space="preserve"> lack of information limits our </w:t>
            </w:r>
            <w:r w:rsidR="00824731" w:rsidRPr="00CB239D">
              <w:rPr>
                <w:rFonts w:ascii="Verdana" w:hAnsi="Verdana"/>
                <w:sz w:val="18"/>
                <w:szCs w:val="18"/>
              </w:rPr>
              <w:t>ability to apply these findings to</w:t>
            </w:r>
            <w:r w:rsidR="005F332F" w:rsidRPr="00CB239D">
              <w:rPr>
                <w:rFonts w:ascii="Verdana" w:hAnsi="Verdana"/>
                <w:sz w:val="18"/>
                <w:szCs w:val="18"/>
              </w:rPr>
              <w:t xml:space="preserve"> specific patients.</w:t>
            </w:r>
            <w:r w:rsidR="00824731" w:rsidRPr="00CB239D">
              <w:rPr>
                <w:rFonts w:ascii="Verdana" w:hAnsi="Verdana"/>
                <w:sz w:val="18"/>
                <w:szCs w:val="18"/>
              </w:rPr>
              <w:t xml:space="preserve"> </w:t>
            </w:r>
            <w:r w:rsidR="005F332F" w:rsidRPr="00CB239D">
              <w:rPr>
                <w:rFonts w:ascii="Verdana" w:hAnsi="Verdana"/>
                <w:sz w:val="18"/>
                <w:szCs w:val="18"/>
              </w:rPr>
              <w:t xml:space="preserve">The study addressed the benefits that PRP </w:t>
            </w:r>
            <w:r w:rsidR="00113898" w:rsidRPr="00CB239D">
              <w:rPr>
                <w:rFonts w:ascii="Verdana" w:hAnsi="Verdana"/>
                <w:sz w:val="18"/>
                <w:szCs w:val="18"/>
              </w:rPr>
              <w:t>injections and corticosteroid injections</w:t>
            </w:r>
            <w:r w:rsidR="005F332F" w:rsidRPr="00CB239D">
              <w:rPr>
                <w:rFonts w:ascii="Verdana" w:hAnsi="Verdana"/>
                <w:sz w:val="18"/>
                <w:szCs w:val="18"/>
              </w:rPr>
              <w:t xml:space="preserve"> have on pain and function in the short term, however it does not address their long-term outcomes. With this being unknown, it only ans</w:t>
            </w:r>
            <w:r w:rsidR="00CD2B38" w:rsidRPr="00CB239D">
              <w:rPr>
                <w:rFonts w:ascii="Verdana" w:hAnsi="Verdana"/>
                <w:sz w:val="18"/>
                <w:szCs w:val="18"/>
              </w:rPr>
              <w:t>wers half of the PICO question. The results from this study demonstrate that both injections are effective at improving pain and function but it would be</w:t>
            </w:r>
            <w:r w:rsidR="00780DDF" w:rsidRPr="00CB239D">
              <w:rPr>
                <w:rFonts w:ascii="Verdana" w:hAnsi="Verdana"/>
                <w:sz w:val="18"/>
                <w:szCs w:val="18"/>
              </w:rPr>
              <w:t xml:space="preserve"> better </w:t>
            </w:r>
            <w:r w:rsidR="00C74C4A" w:rsidRPr="00CB239D">
              <w:rPr>
                <w:rFonts w:ascii="Verdana" w:hAnsi="Verdana"/>
                <w:sz w:val="18"/>
                <w:szCs w:val="18"/>
              </w:rPr>
              <w:t xml:space="preserve">to receive the </w:t>
            </w:r>
            <w:r w:rsidR="00CD2B38" w:rsidRPr="00CB239D">
              <w:rPr>
                <w:rFonts w:ascii="Verdana" w:hAnsi="Verdana"/>
                <w:sz w:val="18"/>
                <w:szCs w:val="18"/>
              </w:rPr>
              <w:t xml:space="preserve">PRP injection because of the significant improvement </w:t>
            </w:r>
            <w:r w:rsidR="00780DDF" w:rsidRPr="00CB239D">
              <w:rPr>
                <w:rFonts w:ascii="Verdana" w:hAnsi="Verdana"/>
                <w:sz w:val="18"/>
                <w:szCs w:val="18"/>
              </w:rPr>
              <w:t xml:space="preserve">in function </w:t>
            </w:r>
            <w:r w:rsidR="00CD2B38" w:rsidRPr="00CB239D">
              <w:rPr>
                <w:rFonts w:ascii="Verdana" w:hAnsi="Verdana"/>
                <w:sz w:val="18"/>
                <w:szCs w:val="18"/>
              </w:rPr>
              <w:t>at 3 months.</w:t>
            </w:r>
          </w:p>
          <w:p w14:paraId="343E99E3" w14:textId="77777777" w:rsidR="00CD2B38" w:rsidRPr="00CB239D" w:rsidRDefault="00CD2B38" w:rsidP="00C74C4A">
            <w:pPr>
              <w:pStyle w:val="ListParagraph"/>
              <w:spacing w:before="120" w:after="120"/>
              <w:rPr>
                <w:rFonts w:ascii="Verdana" w:hAnsi="Verdana"/>
                <w:sz w:val="18"/>
                <w:szCs w:val="18"/>
              </w:rPr>
            </w:pPr>
          </w:p>
          <w:p w14:paraId="081EB978" w14:textId="77777777" w:rsidR="0000738B" w:rsidRPr="00CB239D" w:rsidRDefault="0000738B" w:rsidP="00113898">
            <w:pPr>
              <w:spacing w:before="120" w:after="120"/>
              <w:rPr>
                <w:b/>
                <w:sz w:val="18"/>
                <w:szCs w:val="18"/>
              </w:rPr>
            </w:pPr>
          </w:p>
        </w:tc>
      </w:tr>
    </w:tbl>
    <w:p w14:paraId="170ECD4B" w14:textId="77777777" w:rsidR="001D4F60" w:rsidRPr="00CB239D" w:rsidRDefault="001D4F60" w:rsidP="001D4F60">
      <w:pPr>
        <w:spacing w:before="240" w:after="240"/>
        <w:rPr>
          <w:b/>
          <w:sz w:val="18"/>
          <w:szCs w:val="18"/>
        </w:rPr>
      </w:pPr>
    </w:p>
    <w:p w14:paraId="2DE67CD4" w14:textId="11A2C0D3" w:rsidR="001D4F60" w:rsidRPr="00CB239D" w:rsidRDefault="001D4F60" w:rsidP="001D4F60">
      <w:pPr>
        <w:spacing w:before="240" w:after="240"/>
        <w:rPr>
          <w:b/>
          <w:sz w:val="18"/>
          <w:szCs w:val="18"/>
        </w:rPr>
      </w:pPr>
      <w:r w:rsidRPr="00CB239D">
        <w:rPr>
          <w:b/>
          <w:sz w:val="18"/>
          <w:szCs w:val="18"/>
        </w:rPr>
        <w:t xml:space="preserve">(2) Description and appraisal of </w:t>
      </w:r>
      <w:r w:rsidR="00ED4CA1" w:rsidRPr="00CB239D">
        <w:rPr>
          <w:b/>
          <w:sz w:val="18"/>
          <w:szCs w:val="18"/>
        </w:rPr>
        <w:t xml:space="preserve">A systematic review and meta-analysis of platelet-rich plasma versus corticosteroid injections for plantar fasciopathy by Singh P, </w:t>
      </w:r>
      <w:proofErr w:type="spellStart"/>
      <w:r w:rsidR="00ED4CA1" w:rsidRPr="00CB239D">
        <w:rPr>
          <w:b/>
          <w:sz w:val="18"/>
          <w:szCs w:val="18"/>
        </w:rPr>
        <w:t>Madanipour</w:t>
      </w:r>
      <w:proofErr w:type="spellEnd"/>
      <w:r w:rsidR="00ED4CA1" w:rsidRPr="00CB239D">
        <w:rPr>
          <w:b/>
          <w:sz w:val="18"/>
          <w:szCs w:val="18"/>
        </w:rPr>
        <w:t xml:space="preserve"> S, </w:t>
      </w:r>
      <w:proofErr w:type="spellStart"/>
      <w:r w:rsidR="00ED4CA1" w:rsidRPr="00CB239D">
        <w:rPr>
          <w:b/>
          <w:sz w:val="18"/>
          <w:szCs w:val="18"/>
        </w:rPr>
        <w:t>Bhamra</w:t>
      </w:r>
      <w:proofErr w:type="spellEnd"/>
      <w:r w:rsidR="00ED4CA1" w:rsidRPr="00CB239D">
        <w:rPr>
          <w:b/>
          <w:sz w:val="18"/>
          <w:szCs w:val="18"/>
        </w:rPr>
        <w:t xml:space="preserve"> JS, Gill I,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CB239D" w14:paraId="51F59E3F" w14:textId="77777777" w:rsidTr="004F60A2">
        <w:tc>
          <w:tcPr>
            <w:tcW w:w="10421" w:type="dxa"/>
            <w:shd w:val="clear" w:color="auto" w:fill="E6E6E6"/>
          </w:tcPr>
          <w:p w14:paraId="7E4FAEE6" w14:textId="77777777" w:rsidR="0000738B" w:rsidRPr="00CB239D" w:rsidRDefault="0000738B" w:rsidP="004F60A2">
            <w:pPr>
              <w:spacing w:before="120" w:after="120"/>
              <w:rPr>
                <w:b/>
                <w:sz w:val="18"/>
                <w:szCs w:val="18"/>
              </w:rPr>
            </w:pPr>
            <w:r w:rsidRPr="00CB239D">
              <w:rPr>
                <w:b/>
                <w:sz w:val="18"/>
                <w:szCs w:val="18"/>
              </w:rPr>
              <w:t>Aim/Objective of the Study/Systematic Review:</w:t>
            </w:r>
          </w:p>
        </w:tc>
      </w:tr>
      <w:tr w:rsidR="0000738B" w:rsidRPr="00CB239D" w14:paraId="7A942FF8" w14:textId="77777777" w:rsidTr="004F60A2">
        <w:tc>
          <w:tcPr>
            <w:tcW w:w="10421" w:type="dxa"/>
            <w:tcBorders>
              <w:bottom w:val="single" w:sz="4" w:space="0" w:color="auto"/>
            </w:tcBorders>
            <w:shd w:val="clear" w:color="auto" w:fill="auto"/>
          </w:tcPr>
          <w:p w14:paraId="03EA566C" w14:textId="42E3BA64" w:rsidR="0000738B" w:rsidRPr="00CB239D" w:rsidRDefault="00CB50CE" w:rsidP="004F60A2">
            <w:pPr>
              <w:spacing w:before="120" w:after="120"/>
              <w:rPr>
                <w:sz w:val="18"/>
                <w:szCs w:val="18"/>
              </w:rPr>
            </w:pPr>
            <w:r w:rsidRPr="00CB239D">
              <w:rPr>
                <w:sz w:val="18"/>
                <w:szCs w:val="18"/>
              </w:rPr>
              <w:t xml:space="preserve">The purpose of this meta-analysis is to determine </w:t>
            </w:r>
            <w:r w:rsidR="007E2F6B" w:rsidRPr="00CB239D">
              <w:rPr>
                <w:sz w:val="18"/>
                <w:szCs w:val="18"/>
              </w:rPr>
              <w:t xml:space="preserve">whether </w:t>
            </w:r>
            <w:r w:rsidRPr="00CB239D">
              <w:rPr>
                <w:sz w:val="18"/>
                <w:szCs w:val="18"/>
              </w:rPr>
              <w:t xml:space="preserve">platelet rich plasma or corticosteroid injections were associated with </w:t>
            </w:r>
            <w:r w:rsidR="007E2F6B" w:rsidRPr="00CB239D">
              <w:rPr>
                <w:sz w:val="18"/>
                <w:szCs w:val="18"/>
              </w:rPr>
              <w:t>greater outcomes in</w:t>
            </w:r>
            <w:r w:rsidRPr="00CB239D">
              <w:rPr>
                <w:sz w:val="18"/>
                <w:szCs w:val="18"/>
              </w:rPr>
              <w:t xml:space="preserve"> function and pain in </w:t>
            </w:r>
            <w:r w:rsidR="0068679F" w:rsidRPr="00CB239D">
              <w:rPr>
                <w:sz w:val="18"/>
                <w:szCs w:val="18"/>
              </w:rPr>
              <w:t>those</w:t>
            </w:r>
            <w:r w:rsidRPr="00CB239D">
              <w:rPr>
                <w:sz w:val="18"/>
                <w:szCs w:val="18"/>
              </w:rPr>
              <w:t xml:space="preserve"> with </w:t>
            </w:r>
            <w:r w:rsidR="00142FB1" w:rsidRPr="00CB239D">
              <w:rPr>
                <w:sz w:val="18"/>
                <w:szCs w:val="18"/>
              </w:rPr>
              <w:t xml:space="preserve">recalcitrant </w:t>
            </w:r>
            <w:r w:rsidRPr="00CB239D">
              <w:rPr>
                <w:sz w:val="18"/>
                <w:szCs w:val="18"/>
              </w:rPr>
              <w:t>plantar fasciitis.</w:t>
            </w:r>
          </w:p>
          <w:p w14:paraId="500212B3" w14:textId="77777777" w:rsidR="0000738B" w:rsidRPr="00CB239D" w:rsidRDefault="0000738B" w:rsidP="004F60A2">
            <w:pPr>
              <w:spacing w:before="120" w:after="120"/>
              <w:jc w:val="right"/>
              <w:rPr>
                <w:sz w:val="18"/>
                <w:szCs w:val="18"/>
              </w:rPr>
            </w:pPr>
          </w:p>
        </w:tc>
      </w:tr>
      <w:tr w:rsidR="0000738B" w:rsidRPr="00CB239D" w14:paraId="6AE7D9C5" w14:textId="77777777" w:rsidTr="004F60A2">
        <w:tc>
          <w:tcPr>
            <w:tcW w:w="10421" w:type="dxa"/>
            <w:shd w:val="clear" w:color="auto" w:fill="E6E6E6"/>
          </w:tcPr>
          <w:p w14:paraId="22014038" w14:textId="77777777" w:rsidR="0000738B" w:rsidRPr="00CB239D" w:rsidRDefault="0000738B" w:rsidP="004F60A2">
            <w:pPr>
              <w:spacing w:before="120" w:after="120"/>
              <w:jc w:val="both"/>
              <w:rPr>
                <w:b/>
                <w:sz w:val="18"/>
                <w:szCs w:val="18"/>
              </w:rPr>
            </w:pPr>
            <w:r w:rsidRPr="00CB239D">
              <w:rPr>
                <w:b/>
                <w:sz w:val="18"/>
                <w:szCs w:val="18"/>
              </w:rPr>
              <w:t>Study Design</w:t>
            </w:r>
          </w:p>
          <w:p w14:paraId="25097964" w14:textId="77777777" w:rsidR="0000738B" w:rsidRPr="00CB239D" w:rsidRDefault="0000738B" w:rsidP="004F60A2">
            <w:pPr>
              <w:spacing w:before="120" w:after="120"/>
              <w:jc w:val="both"/>
              <w:rPr>
                <w:sz w:val="18"/>
                <w:szCs w:val="18"/>
              </w:rPr>
            </w:pPr>
            <w:r w:rsidRPr="00CB239D">
              <w:rPr>
                <w:sz w:val="18"/>
                <w:szCs w:val="18"/>
              </w:rPr>
              <w:t>[</w:t>
            </w:r>
            <w:proofErr w:type="gramStart"/>
            <w:r w:rsidRPr="00CB239D">
              <w:rPr>
                <w:sz w:val="18"/>
                <w:szCs w:val="18"/>
              </w:rPr>
              <w:t>e</w:t>
            </w:r>
            <w:proofErr w:type="gramEnd"/>
            <w:r w:rsidRPr="00CB239D">
              <w:rPr>
                <w:sz w:val="18"/>
                <w:szCs w:val="18"/>
              </w:rPr>
              <w:t>.g., systematic review, cohort, randomised controlled trial, qualitative study, grounded theory.  Includes information about study characteristics such as blinding and allocation concealment.  When were outcomes measured, if relevant]</w:t>
            </w:r>
          </w:p>
          <w:p w14:paraId="7782AB05" w14:textId="77777777" w:rsidR="0000738B" w:rsidRPr="00CB239D" w:rsidRDefault="0000738B" w:rsidP="004F60A2">
            <w:pPr>
              <w:spacing w:before="120" w:after="120"/>
              <w:jc w:val="both"/>
              <w:rPr>
                <w:sz w:val="18"/>
                <w:szCs w:val="18"/>
              </w:rPr>
            </w:pPr>
            <w:r w:rsidRPr="00CB239D">
              <w:rPr>
                <w:sz w:val="18"/>
                <w:szCs w:val="18"/>
              </w:rPr>
              <w:t>Note: For systematic review, use headings ‘search strategy’, ‘selection criteria’, ‘methods’ etc.  For qualitative studies, identify data collection/analyses methods.</w:t>
            </w:r>
          </w:p>
        </w:tc>
      </w:tr>
      <w:tr w:rsidR="0000738B" w:rsidRPr="00CB239D" w14:paraId="3629F4C1" w14:textId="77777777" w:rsidTr="004F60A2">
        <w:tc>
          <w:tcPr>
            <w:tcW w:w="10421" w:type="dxa"/>
            <w:tcBorders>
              <w:bottom w:val="single" w:sz="4" w:space="0" w:color="auto"/>
            </w:tcBorders>
            <w:shd w:val="clear" w:color="auto" w:fill="auto"/>
          </w:tcPr>
          <w:p w14:paraId="4B66EBB6" w14:textId="3F3AEE64" w:rsidR="00651618" w:rsidRPr="00CB239D" w:rsidRDefault="00CB50CE" w:rsidP="00CB50CE">
            <w:pPr>
              <w:pStyle w:val="ListParagraph"/>
              <w:numPr>
                <w:ilvl w:val="0"/>
                <w:numId w:val="28"/>
              </w:numPr>
              <w:spacing w:before="120" w:after="120"/>
              <w:rPr>
                <w:rFonts w:ascii="Verdana" w:hAnsi="Verdana"/>
                <w:sz w:val="18"/>
                <w:szCs w:val="18"/>
              </w:rPr>
            </w:pPr>
            <w:r w:rsidRPr="00CB239D">
              <w:rPr>
                <w:rFonts w:ascii="Verdana" w:hAnsi="Verdana"/>
                <w:sz w:val="18"/>
                <w:szCs w:val="18"/>
              </w:rPr>
              <w:t>The study is a meta-analysis of</w:t>
            </w:r>
            <w:r w:rsidR="00FC7F48" w:rsidRPr="00CB239D">
              <w:rPr>
                <w:rFonts w:ascii="Verdana" w:hAnsi="Verdana"/>
                <w:sz w:val="18"/>
                <w:szCs w:val="18"/>
              </w:rPr>
              <w:t xml:space="preserve"> prospective, randomized and non-randomized studies of patients </w:t>
            </w:r>
            <w:r w:rsidR="00651618" w:rsidRPr="00CB239D">
              <w:rPr>
                <w:rFonts w:ascii="Verdana" w:hAnsi="Verdana"/>
                <w:sz w:val="18"/>
                <w:szCs w:val="18"/>
              </w:rPr>
              <w:t xml:space="preserve">treated with platelet rich plasma injections and corticosteroid injections to improve pain and function in subjects with </w:t>
            </w:r>
            <w:r w:rsidR="00142FB1" w:rsidRPr="00CB239D">
              <w:rPr>
                <w:rFonts w:ascii="Verdana" w:hAnsi="Verdana"/>
                <w:sz w:val="18"/>
                <w:szCs w:val="18"/>
              </w:rPr>
              <w:t xml:space="preserve">recalcitrant </w:t>
            </w:r>
            <w:r w:rsidR="00651618" w:rsidRPr="00CB239D">
              <w:rPr>
                <w:rFonts w:ascii="Verdana" w:hAnsi="Verdana"/>
                <w:sz w:val="18"/>
                <w:szCs w:val="18"/>
              </w:rPr>
              <w:t>plantar fasciitis.</w:t>
            </w:r>
          </w:p>
          <w:p w14:paraId="2BBD546D" w14:textId="0330BEDC" w:rsidR="00161F37" w:rsidRPr="00CB239D" w:rsidRDefault="00CB50CE" w:rsidP="00651618">
            <w:pPr>
              <w:pStyle w:val="ListParagraph"/>
              <w:spacing w:before="120" w:after="120"/>
              <w:rPr>
                <w:rFonts w:ascii="Verdana" w:hAnsi="Verdana"/>
                <w:sz w:val="18"/>
                <w:szCs w:val="18"/>
              </w:rPr>
            </w:pPr>
            <w:r w:rsidRPr="00CB239D">
              <w:rPr>
                <w:rFonts w:ascii="Verdana" w:hAnsi="Verdana"/>
                <w:b/>
                <w:sz w:val="18"/>
                <w:szCs w:val="18"/>
              </w:rPr>
              <w:t>Search Strategy</w:t>
            </w:r>
            <w:r w:rsidRPr="00CB239D">
              <w:rPr>
                <w:rFonts w:ascii="Verdana" w:hAnsi="Verdana"/>
                <w:sz w:val="18"/>
                <w:szCs w:val="18"/>
              </w:rPr>
              <w:t xml:space="preserve">: </w:t>
            </w:r>
            <w:r w:rsidR="00532E6F" w:rsidRPr="00CB239D">
              <w:rPr>
                <w:rFonts w:ascii="Verdana" w:hAnsi="Verdana"/>
                <w:sz w:val="18"/>
                <w:szCs w:val="18"/>
              </w:rPr>
              <w:t xml:space="preserve">The literature search was performed using </w:t>
            </w:r>
            <w:r w:rsidR="00FF1BB4" w:rsidRPr="00CB239D">
              <w:rPr>
                <w:rFonts w:ascii="Verdana" w:hAnsi="Verdana"/>
                <w:sz w:val="18"/>
                <w:szCs w:val="18"/>
              </w:rPr>
              <w:t xml:space="preserve">PubMed, </w:t>
            </w:r>
            <w:r w:rsidR="00532E6F" w:rsidRPr="00CB239D">
              <w:rPr>
                <w:rFonts w:ascii="Verdana" w:hAnsi="Verdana"/>
                <w:sz w:val="18"/>
                <w:szCs w:val="18"/>
              </w:rPr>
              <w:t xml:space="preserve">MEDLINE, EMBASE, and Ovid databases. Search was performed on September </w:t>
            </w:r>
            <w:r w:rsidR="00FF1BB4" w:rsidRPr="00CB239D">
              <w:rPr>
                <w:rFonts w:ascii="Verdana" w:hAnsi="Verdana"/>
                <w:sz w:val="18"/>
                <w:szCs w:val="18"/>
              </w:rPr>
              <w:t xml:space="preserve">22, </w:t>
            </w:r>
            <w:r w:rsidR="00532E6F" w:rsidRPr="00CB239D">
              <w:rPr>
                <w:rFonts w:ascii="Verdana" w:hAnsi="Verdana"/>
                <w:sz w:val="18"/>
                <w:szCs w:val="18"/>
              </w:rPr>
              <w:t>2016 and included articles that were published between January 2000 and September 2016</w:t>
            </w:r>
            <w:r w:rsidR="00650F24" w:rsidRPr="00CB239D">
              <w:rPr>
                <w:rFonts w:ascii="Verdana" w:hAnsi="Verdana"/>
                <w:sz w:val="18"/>
                <w:szCs w:val="18"/>
              </w:rPr>
              <w:t>. The search</w:t>
            </w:r>
            <w:r w:rsidR="00FF1BB4" w:rsidRPr="00CB239D">
              <w:rPr>
                <w:rFonts w:ascii="Verdana" w:hAnsi="Verdana"/>
                <w:sz w:val="18"/>
                <w:szCs w:val="18"/>
              </w:rPr>
              <w:t xml:space="preserve"> used the key words: “platelet rich plasma”, PRP, “plantar fasciitis”, </w:t>
            </w:r>
            <w:r w:rsidR="0068679F" w:rsidRPr="00CB239D">
              <w:rPr>
                <w:rFonts w:ascii="Verdana" w:hAnsi="Verdana"/>
                <w:sz w:val="18"/>
                <w:szCs w:val="18"/>
              </w:rPr>
              <w:t xml:space="preserve">steroids, </w:t>
            </w:r>
            <w:r w:rsidR="00FF1BB4" w:rsidRPr="00CB239D">
              <w:rPr>
                <w:rFonts w:ascii="Verdana" w:hAnsi="Verdana"/>
                <w:sz w:val="18"/>
                <w:szCs w:val="18"/>
              </w:rPr>
              <w:t xml:space="preserve">“plantar fasciopathy”, </w:t>
            </w:r>
            <w:r w:rsidR="0068679F" w:rsidRPr="00CB239D">
              <w:rPr>
                <w:rFonts w:ascii="Verdana" w:hAnsi="Verdana"/>
                <w:sz w:val="18"/>
                <w:szCs w:val="18"/>
              </w:rPr>
              <w:t xml:space="preserve">“quality of life”, </w:t>
            </w:r>
            <w:r w:rsidR="00FF1BB4" w:rsidRPr="00CB239D">
              <w:rPr>
                <w:rFonts w:ascii="Verdana" w:hAnsi="Verdana"/>
                <w:sz w:val="18"/>
                <w:szCs w:val="18"/>
              </w:rPr>
              <w:t>corticosteroids, “injec</w:t>
            </w:r>
            <w:r w:rsidR="0068679F" w:rsidRPr="00CB239D">
              <w:rPr>
                <w:rFonts w:ascii="Verdana" w:hAnsi="Verdana"/>
                <w:sz w:val="18"/>
                <w:szCs w:val="18"/>
              </w:rPr>
              <w:t xml:space="preserve">tion”, and “visual analogue score”. </w:t>
            </w:r>
            <w:r w:rsidR="005E643C" w:rsidRPr="00CB239D">
              <w:rPr>
                <w:rFonts w:ascii="Verdana" w:hAnsi="Verdana"/>
                <w:sz w:val="18"/>
                <w:szCs w:val="18"/>
              </w:rPr>
              <w:t>These terms were used in various combinations and the related articles function in PubMed was utilized to broaden the search</w:t>
            </w:r>
            <w:r w:rsidR="005E643C" w:rsidRPr="00CB239D">
              <w:rPr>
                <w:rFonts w:ascii="Verdana" w:hAnsi="Verdana"/>
                <w:b/>
                <w:sz w:val="18"/>
                <w:szCs w:val="18"/>
              </w:rPr>
              <w:t>.</w:t>
            </w:r>
            <w:r w:rsidR="007A0959" w:rsidRPr="00CB239D">
              <w:rPr>
                <w:rFonts w:ascii="Verdana" w:hAnsi="Verdana"/>
                <w:b/>
                <w:sz w:val="18"/>
                <w:szCs w:val="18"/>
              </w:rPr>
              <w:t xml:space="preserve"> </w:t>
            </w:r>
            <w:r w:rsidR="007A0959" w:rsidRPr="00CB239D">
              <w:rPr>
                <w:rFonts w:ascii="Verdana" w:hAnsi="Verdana"/>
                <w:sz w:val="18"/>
                <w:szCs w:val="18"/>
              </w:rPr>
              <w:t>Authors also performed a manual search through all of the references.</w:t>
            </w:r>
          </w:p>
          <w:p w14:paraId="49991DF1" w14:textId="77777777" w:rsidR="00FF2857" w:rsidRPr="00CB239D" w:rsidRDefault="00DB171B" w:rsidP="00DB171B">
            <w:pPr>
              <w:pStyle w:val="ListParagraph"/>
              <w:numPr>
                <w:ilvl w:val="0"/>
                <w:numId w:val="28"/>
              </w:numPr>
              <w:spacing w:before="120" w:after="120"/>
              <w:rPr>
                <w:rFonts w:ascii="Verdana" w:hAnsi="Verdana"/>
                <w:sz w:val="18"/>
                <w:szCs w:val="18"/>
              </w:rPr>
            </w:pPr>
            <w:r w:rsidRPr="00CB239D">
              <w:rPr>
                <w:rFonts w:ascii="Verdana" w:hAnsi="Verdana"/>
                <w:b/>
                <w:sz w:val="18"/>
                <w:szCs w:val="18"/>
              </w:rPr>
              <w:t>Selection Criteria</w:t>
            </w:r>
            <w:r w:rsidR="005E643C" w:rsidRPr="00CB239D">
              <w:rPr>
                <w:rFonts w:ascii="Verdana" w:hAnsi="Verdana"/>
                <w:sz w:val="18"/>
                <w:szCs w:val="18"/>
              </w:rPr>
              <w:t>: There were n</w:t>
            </w:r>
            <w:r w:rsidRPr="00CB239D">
              <w:rPr>
                <w:rFonts w:ascii="Verdana" w:hAnsi="Verdana"/>
                <w:sz w:val="18"/>
                <w:szCs w:val="18"/>
              </w:rPr>
              <w:t>o language limitations on studies</w:t>
            </w:r>
            <w:r w:rsidR="005E643C" w:rsidRPr="00CB239D">
              <w:rPr>
                <w:rFonts w:ascii="Verdana" w:hAnsi="Verdana"/>
                <w:sz w:val="18"/>
                <w:szCs w:val="18"/>
              </w:rPr>
              <w:t xml:space="preserve">. </w:t>
            </w:r>
          </w:p>
          <w:p w14:paraId="3A130CC4" w14:textId="77777777" w:rsidR="00FF2857" w:rsidRPr="00CB239D" w:rsidRDefault="005E643C" w:rsidP="00DB171B">
            <w:pPr>
              <w:pStyle w:val="ListParagraph"/>
              <w:numPr>
                <w:ilvl w:val="0"/>
                <w:numId w:val="28"/>
              </w:numPr>
              <w:spacing w:before="120" w:after="120"/>
              <w:rPr>
                <w:rFonts w:ascii="Verdana" w:hAnsi="Verdana"/>
                <w:sz w:val="18"/>
                <w:szCs w:val="18"/>
              </w:rPr>
            </w:pPr>
            <w:r w:rsidRPr="00CB239D">
              <w:rPr>
                <w:rFonts w:ascii="Verdana" w:hAnsi="Verdana"/>
                <w:sz w:val="18"/>
                <w:szCs w:val="18"/>
                <w:u w:val="single"/>
              </w:rPr>
              <w:t>Inclusion</w:t>
            </w:r>
            <w:r w:rsidRPr="00CB239D">
              <w:rPr>
                <w:rFonts w:ascii="Verdana" w:hAnsi="Verdana"/>
                <w:sz w:val="18"/>
                <w:szCs w:val="18"/>
              </w:rPr>
              <w:t>:</w:t>
            </w:r>
          </w:p>
          <w:p w14:paraId="31DAFF40" w14:textId="52D84BB7"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S</w:t>
            </w:r>
            <w:r w:rsidR="005E643C" w:rsidRPr="00CB239D">
              <w:rPr>
                <w:rFonts w:ascii="Verdana" w:hAnsi="Verdana"/>
                <w:sz w:val="18"/>
                <w:szCs w:val="18"/>
              </w:rPr>
              <w:t>tudies that compared the use of PRP injection</w:t>
            </w:r>
            <w:r w:rsidR="00142FB1" w:rsidRPr="00CB239D">
              <w:rPr>
                <w:rFonts w:ascii="Verdana" w:hAnsi="Verdana"/>
                <w:sz w:val="18"/>
                <w:szCs w:val="18"/>
              </w:rPr>
              <w:t>s</w:t>
            </w:r>
            <w:r w:rsidR="005E643C" w:rsidRPr="00CB239D">
              <w:rPr>
                <w:rFonts w:ascii="Verdana" w:hAnsi="Verdana"/>
                <w:sz w:val="18"/>
                <w:szCs w:val="18"/>
              </w:rPr>
              <w:t xml:space="preserve"> with corticosteroid</w:t>
            </w:r>
            <w:r w:rsidR="00142FB1" w:rsidRPr="00CB239D">
              <w:rPr>
                <w:rFonts w:ascii="Verdana" w:hAnsi="Verdana"/>
                <w:sz w:val="18"/>
                <w:szCs w:val="18"/>
              </w:rPr>
              <w:t xml:space="preserve"> injections</w:t>
            </w:r>
            <w:r w:rsidR="005E643C" w:rsidRPr="00CB239D">
              <w:rPr>
                <w:rFonts w:ascii="Verdana" w:hAnsi="Verdana"/>
                <w:sz w:val="18"/>
                <w:szCs w:val="18"/>
              </w:rPr>
              <w:t xml:space="preserve"> in </w:t>
            </w:r>
            <w:r w:rsidRPr="00CB239D">
              <w:rPr>
                <w:rFonts w:ascii="Verdana" w:hAnsi="Verdana"/>
                <w:sz w:val="18"/>
                <w:szCs w:val="18"/>
              </w:rPr>
              <w:t>patients with</w:t>
            </w:r>
            <w:r w:rsidR="00142FB1" w:rsidRPr="00CB239D">
              <w:rPr>
                <w:rFonts w:ascii="Verdana" w:hAnsi="Verdana"/>
                <w:sz w:val="18"/>
                <w:szCs w:val="18"/>
              </w:rPr>
              <w:t xml:space="preserve"> chronic</w:t>
            </w:r>
            <w:r w:rsidRPr="00CB239D">
              <w:rPr>
                <w:rFonts w:ascii="Verdana" w:hAnsi="Verdana"/>
                <w:sz w:val="18"/>
                <w:szCs w:val="18"/>
              </w:rPr>
              <w:t xml:space="preserve"> plantar fasciopathy</w:t>
            </w:r>
          </w:p>
          <w:p w14:paraId="02ACED7D" w14:textId="77777777"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Randomized</w:t>
            </w:r>
            <w:r w:rsidR="005E643C" w:rsidRPr="00CB239D">
              <w:rPr>
                <w:rFonts w:ascii="Verdana" w:hAnsi="Verdana"/>
                <w:sz w:val="18"/>
                <w:szCs w:val="18"/>
              </w:rPr>
              <w:t xml:space="preserve"> controlled trial</w:t>
            </w:r>
            <w:r w:rsidRPr="00CB239D">
              <w:rPr>
                <w:rFonts w:ascii="Verdana" w:hAnsi="Verdana"/>
                <w:sz w:val="18"/>
                <w:szCs w:val="18"/>
              </w:rPr>
              <w:t>s</w:t>
            </w:r>
            <w:r w:rsidR="005E643C" w:rsidRPr="00CB239D">
              <w:rPr>
                <w:rFonts w:ascii="Verdana" w:hAnsi="Verdana"/>
                <w:sz w:val="18"/>
                <w:szCs w:val="18"/>
              </w:rPr>
              <w:t>, prospective observational or retr</w:t>
            </w:r>
            <w:r w:rsidRPr="00CB239D">
              <w:rPr>
                <w:rFonts w:ascii="Verdana" w:hAnsi="Verdana"/>
                <w:sz w:val="18"/>
                <w:szCs w:val="18"/>
              </w:rPr>
              <w:t>ospective study</w:t>
            </w:r>
          </w:p>
          <w:p w14:paraId="37407690" w14:textId="2A64578E"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P</w:t>
            </w:r>
            <w:r w:rsidR="005E643C" w:rsidRPr="00CB239D">
              <w:rPr>
                <w:rFonts w:ascii="Verdana" w:hAnsi="Verdana"/>
                <w:sz w:val="18"/>
                <w:szCs w:val="18"/>
              </w:rPr>
              <w:t>atients without history of surgical interventio</w:t>
            </w:r>
            <w:r w:rsidRPr="00CB239D">
              <w:rPr>
                <w:rFonts w:ascii="Verdana" w:hAnsi="Verdana"/>
                <w:sz w:val="18"/>
                <w:szCs w:val="18"/>
              </w:rPr>
              <w:t>n for their plantar fasciopathy</w:t>
            </w:r>
          </w:p>
          <w:p w14:paraId="10B8CE5B" w14:textId="77777777"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lastRenderedPageBreak/>
              <w:t>S</w:t>
            </w:r>
            <w:r w:rsidR="005E643C" w:rsidRPr="00CB239D">
              <w:rPr>
                <w:rFonts w:ascii="Verdana" w:hAnsi="Verdana"/>
                <w:sz w:val="18"/>
                <w:szCs w:val="18"/>
              </w:rPr>
              <w:t>tudies that included data on at least one validated pain or quality</w:t>
            </w:r>
            <w:r w:rsidRPr="00CB239D">
              <w:rPr>
                <w:rFonts w:ascii="Verdana" w:hAnsi="Verdana"/>
                <w:sz w:val="18"/>
                <w:szCs w:val="18"/>
              </w:rPr>
              <w:t xml:space="preserve"> of life scores</w:t>
            </w:r>
          </w:p>
          <w:p w14:paraId="7DB84BA1" w14:textId="77777777"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Studies that had at least 10 patients in each intervention.</w:t>
            </w:r>
          </w:p>
          <w:p w14:paraId="7B6B9B2D" w14:textId="5C9335CC" w:rsidR="00FF2857" w:rsidRPr="00CB239D" w:rsidRDefault="00FF2857" w:rsidP="00FF2857">
            <w:pPr>
              <w:pStyle w:val="ListParagraph"/>
              <w:numPr>
                <w:ilvl w:val="0"/>
                <w:numId w:val="28"/>
              </w:numPr>
              <w:spacing w:before="120" w:after="120"/>
              <w:rPr>
                <w:rFonts w:ascii="Verdana" w:hAnsi="Verdana"/>
                <w:sz w:val="18"/>
                <w:szCs w:val="18"/>
              </w:rPr>
            </w:pPr>
            <w:r w:rsidRPr="00CB239D">
              <w:rPr>
                <w:rFonts w:ascii="Verdana" w:hAnsi="Verdana"/>
                <w:sz w:val="18"/>
                <w:szCs w:val="18"/>
                <w:u w:val="single"/>
              </w:rPr>
              <w:t>Exclusion</w:t>
            </w:r>
            <w:r w:rsidRPr="00CB239D">
              <w:rPr>
                <w:rFonts w:ascii="Verdana" w:hAnsi="Verdana"/>
                <w:sz w:val="18"/>
                <w:szCs w:val="18"/>
              </w:rPr>
              <w:t xml:space="preserve">: </w:t>
            </w:r>
          </w:p>
          <w:p w14:paraId="567A41D5" w14:textId="77777777"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Studies that did not provide data on pain or quality of life score</w:t>
            </w:r>
          </w:p>
          <w:p w14:paraId="04BE36FA" w14:textId="77777777" w:rsidR="00FF2857" w:rsidRPr="00CB239D" w:rsidRDefault="00FF2857"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Studies that included subjects with systemic disease</w:t>
            </w:r>
          </w:p>
          <w:p w14:paraId="0DA89F06" w14:textId="77777777" w:rsidR="00FF2857" w:rsidRPr="00CB239D" w:rsidRDefault="00E94A0F"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Case reports, abstracts, reviews, or letters</w:t>
            </w:r>
          </w:p>
          <w:p w14:paraId="6E2786D1" w14:textId="522B748C" w:rsidR="00FF2857" w:rsidRPr="00CB239D" w:rsidRDefault="00E94A0F" w:rsidP="00FF540D">
            <w:pPr>
              <w:pStyle w:val="ListParagraph"/>
              <w:numPr>
                <w:ilvl w:val="0"/>
                <w:numId w:val="28"/>
              </w:numPr>
              <w:spacing w:before="120" w:after="120"/>
              <w:ind w:left="1080" w:hanging="180"/>
              <w:rPr>
                <w:rFonts w:ascii="Verdana" w:hAnsi="Verdana"/>
                <w:sz w:val="18"/>
                <w:szCs w:val="18"/>
              </w:rPr>
            </w:pPr>
            <w:r w:rsidRPr="00CB239D">
              <w:rPr>
                <w:rFonts w:ascii="Verdana" w:hAnsi="Verdana"/>
                <w:sz w:val="18"/>
                <w:szCs w:val="18"/>
              </w:rPr>
              <w:t>Subjects in study with a history of surgical intervention or injections for plantar fasciopathy</w:t>
            </w:r>
          </w:p>
          <w:p w14:paraId="3B45D3F7" w14:textId="69CB21E1" w:rsidR="0068679F" w:rsidRPr="00CB239D" w:rsidRDefault="00B43B06" w:rsidP="0068679F">
            <w:pPr>
              <w:pStyle w:val="ListParagraph"/>
              <w:numPr>
                <w:ilvl w:val="0"/>
                <w:numId w:val="28"/>
              </w:numPr>
              <w:spacing w:before="120" w:after="120"/>
              <w:rPr>
                <w:rFonts w:ascii="Verdana" w:hAnsi="Verdana"/>
                <w:sz w:val="18"/>
                <w:szCs w:val="18"/>
              </w:rPr>
            </w:pPr>
            <w:r w:rsidRPr="00CB239D">
              <w:rPr>
                <w:rFonts w:ascii="Verdana" w:hAnsi="Verdana"/>
                <w:b/>
                <w:sz w:val="18"/>
                <w:szCs w:val="18"/>
              </w:rPr>
              <w:t>Data Collection</w:t>
            </w:r>
            <w:r w:rsidRPr="00CB239D">
              <w:rPr>
                <w:rFonts w:ascii="Verdana" w:hAnsi="Verdana"/>
                <w:sz w:val="18"/>
                <w:szCs w:val="18"/>
              </w:rPr>
              <w:t xml:space="preserve">: Two investigators independently searched for articles that met the inclusion criteria and </w:t>
            </w:r>
            <w:r w:rsidR="007A0959" w:rsidRPr="00CB239D">
              <w:rPr>
                <w:rFonts w:ascii="Verdana" w:hAnsi="Verdana"/>
                <w:sz w:val="18"/>
                <w:szCs w:val="18"/>
              </w:rPr>
              <w:t xml:space="preserve">collected data for the outcomes. </w:t>
            </w:r>
            <w:r w:rsidR="00E37100" w:rsidRPr="00CB239D">
              <w:rPr>
                <w:rFonts w:ascii="Verdana" w:hAnsi="Verdana"/>
                <w:sz w:val="18"/>
                <w:szCs w:val="18"/>
              </w:rPr>
              <w:t xml:space="preserve">Any </w:t>
            </w:r>
            <w:r w:rsidR="007515C7" w:rsidRPr="00CB239D">
              <w:rPr>
                <w:rFonts w:ascii="Verdana" w:hAnsi="Verdana"/>
                <w:sz w:val="18"/>
                <w:szCs w:val="18"/>
              </w:rPr>
              <w:t>discrepancies between outcome extractions were</w:t>
            </w:r>
            <w:r w:rsidR="00E37100" w:rsidRPr="00CB239D">
              <w:rPr>
                <w:rFonts w:ascii="Verdana" w:hAnsi="Verdana"/>
                <w:sz w:val="18"/>
                <w:szCs w:val="18"/>
              </w:rPr>
              <w:t xml:space="preserve"> </w:t>
            </w:r>
            <w:r w:rsidR="0068679F" w:rsidRPr="00CB239D">
              <w:rPr>
                <w:rFonts w:ascii="Verdana" w:hAnsi="Verdana"/>
                <w:sz w:val="18"/>
                <w:szCs w:val="18"/>
              </w:rPr>
              <w:t>settled</w:t>
            </w:r>
            <w:r w:rsidR="00E37100" w:rsidRPr="00CB239D">
              <w:rPr>
                <w:rFonts w:ascii="Verdana" w:hAnsi="Verdana"/>
                <w:sz w:val="18"/>
                <w:szCs w:val="18"/>
              </w:rPr>
              <w:t xml:space="preserve"> by performing a re-examination of the study until a consensus was reached. </w:t>
            </w:r>
          </w:p>
          <w:p w14:paraId="13288081" w14:textId="2CE47F41" w:rsidR="002A7D5B" w:rsidRPr="00CB239D" w:rsidRDefault="00E37100" w:rsidP="00FF540D">
            <w:pPr>
              <w:pStyle w:val="ListParagraph"/>
              <w:numPr>
                <w:ilvl w:val="0"/>
                <w:numId w:val="28"/>
              </w:numPr>
              <w:spacing w:before="120" w:after="120"/>
              <w:rPr>
                <w:rFonts w:ascii="Verdana" w:hAnsi="Verdana"/>
                <w:sz w:val="18"/>
                <w:szCs w:val="18"/>
              </w:rPr>
            </w:pPr>
            <w:r w:rsidRPr="00CB239D">
              <w:rPr>
                <w:rFonts w:ascii="Verdana" w:hAnsi="Verdana"/>
                <w:b/>
                <w:sz w:val="18"/>
                <w:szCs w:val="18"/>
              </w:rPr>
              <w:t>Publication Bias</w:t>
            </w:r>
            <w:r w:rsidRPr="00CB239D">
              <w:rPr>
                <w:rFonts w:ascii="Verdana" w:hAnsi="Verdana"/>
                <w:sz w:val="18"/>
                <w:szCs w:val="18"/>
              </w:rPr>
              <w:t>:</w:t>
            </w:r>
            <w:r w:rsidR="00CF35A3" w:rsidRPr="00CB239D">
              <w:rPr>
                <w:rFonts w:ascii="Verdana" w:hAnsi="Verdana"/>
                <w:sz w:val="18"/>
                <w:szCs w:val="18"/>
              </w:rPr>
              <w:t xml:space="preserve"> </w:t>
            </w:r>
            <w:proofErr w:type="gramStart"/>
            <w:r w:rsidR="00CF35A3" w:rsidRPr="00CB239D">
              <w:rPr>
                <w:rFonts w:ascii="Verdana" w:hAnsi="Verdana"/>
                <w:sz w:val="18"/>
                <w:szCs w:val="18"/>
              </w:rPr>
              <w:t>Risk of bias was evaluated by the Newcastle Ottawa Scale for non-randomized studies and the Cochrane Collaboration risk of bias tool for randomized studies</w:t>
            </w:r>
            <w:proofErr w:type="gramEnd"/>
            <w:r w:rsidR="00CF35A3" w:rsidRPr="00CB239D">
              <w:rPr>
                <w:rFonts w:ascii="Verdana" w:hAnsi="Verdana"/>
                <w:sz w:val="18"/>
                <w:szCs w:val="18"/>
              </w:rPr>
              <w:t>.</w:t>
            </w:r>
            <w:r w:rsidR="002A7D5B" w:rsidRPr="00CB239D">
              <w:rPr>
                <w:rFonts w:ascii="Verdana" w:hAnsi="Verdana"/>
                <w:sz w:val="18"/>
                <w:szCs w:val="18"/>
              </w:rPr>
              <w:t xml:space="preserve"> Authors also used a funnel plot assess publication bias.</w:t>
            </w:r>
          </w:p>
          <w:p w14:paraId="35D61456" w14:textId="30DFAF2C" w:rsidR="005C5EE5" w:rsidRPr="00CB239D" w:rsidRDefault="00CF35A3" w:rsidP="0066141C">
            <w:pPr>
              <w:pStyle w:val="ListParagraph"/>
              <w:numPr>
                <w:ilvl w:val="0"/>
                <w:numId w:val="28"/>
              </w:numPr>
              <w:spacing w:before="120" w:after="120"/>
              <w:rPr>
                <w:rFonts w:ascii="Verdana" w:hAnsi="Verdana"/>
                <w:sz w:val="18"/>
                <w:szCs w:val="18"/>
              </w:rPr>
            </w:pPr>
            <w:r w:rsidRPr="00CB239D">
              <w:rPr>
                <w:rFonts w:ascii="Verdana" w:hAnsi="Verdana"/>
                <w:b/>
                <w:sz w:val="18"/>
                <w:szCs w:val="18"/>
              </w:rPr>
              <w:t>Meta-analysis</w:t>
            </w:r>
            <w:r w:rsidRPr="00CB239D">
              <w:rPr>
                <w:rFonts w:ascii="Verdana" w:hAnsi="Verdana"/>
                <w:sz w:val="18"/>
                <w:szCs w:val="18"/>
              </w:rPr>
              <w:t xml:space="preserve">: </w:t>
            </w:r>
            <w:r w:rsidR="0066141C" w:rsidRPr="00CB239D">
              <w:rPr>
                <w:rFonts w:ascii="Verdana" w:hAnsi="Verdana"/>
                <w:sz w:val="18"/>
                <w:szCs w:val="18"/>
              </w:rPr>
              <w:t>Dichotomous variable</w:t>
            </w:r>
            <w:r w:rsidR="0068679F" w:rsidRPr="00CB239D">
              <w:rPr>
                <w:rFonts w:ascii="Verdana" w:hAnsi="Verdana"/>
                <w:sz w:val="18"/>
                <w:szCs w:val="18"/>
              </w:rPr>
              <w:t>s</w:t>
            </w:r>
            <w:r w:rsidR="0066141C" w:rsidRPr="00CB239D">
              <w:rPr>
                <w:rFonts w:ascii="Verdana" w:hAnsi="Verdana"/>
                <w:sz w:val="18"/>
                <w:szCs w:val="18"/>
              </w:rPr>
              <w:t xml:space="preserve"> were compared using o</w:t>
            </w:r>
            <w:r w:rsidR="00184567" w:rsidRPr="00CB239D">
              <w:rPr>
                <w:rFonts w:ascii="Verdana" w:hAnsi="Verdana"/>
                <w:sz w:val="18"/>
                <w:szCs w:val="18"/>
              </w:rPr>
              <w:t>dds ratios with 95% confidence intervals</w:t>
            </w:r>
            <w:r w:rsidR="0066141C" w:rsidRPr="00CB239D">
              <w:rPr>
                <w:rFonts w:ascii="Verdana" w:hAnsi="Verdana"/>
                <w:sz w:val="18"/>
                <w:szCs w:val="18"/>
              </w:rPr>
              <w:t xml:space="preserve"> by the </w:t>
            </w:r>
            <w:r w:rsidR="00184567" w:rsidRPr="00CB239D">
              <w:rPr>
                <w:rFonts w:ascii="Verdana" w:hAnsi="Verdana"/>
                <w:sz w:val="18"/>
                <w:szCs w:val="18"/>
              </w:rPr>
              <w:t>Mantel</w:t>
            </w:r>
            <w:r w:rsidR="0066141C" w:rsidRPr="00CB239D">
              <w:rPr>
                <w:rFonts w:ascii="Verdana" w:hAnsi="Verdana"/>
                <w:sz w:val="18"/>
                <w:szCs w:val="18"/>
              </w:rPr>
              <w:t>-</w:t>
            </w:r>
            <w:proofErr w:type="spellStart"/>
            <w:r w:rsidR="00184567" w:rsidRPr="00CB239D">
              <w:rPr>
                <w:rFonts w:ascii="Verdana" w:hAnsi="Verdana"/>
                <w:sz w:val="18"/>
                <w:szCs w:val="18"/>
              </w:rPr>
              <w:t>Haenszel</w:t>
            </w:r>
            <w:proofErr w:type="spellEnd"/>
            <w:r w:rsidR="00184567" w:rsidRPr="00CB239D">
              <w:rPr>
                <w:rFonts w:ascii="Verdana" w:hAnsi="Verdana"/>
                <w:sz w:val="18"/>
                <w:szCs w:val="18"/>
              </w:rPr>
              <w:t xml:space="preserve"> method.</w:t>
            </w:r>
            <w:r w:rsidR="005C5EE5" w:rsidRPr="00CB239D">
              <w:rPr>
                <w:rFonts w:ascii="Verdana" w:hAnsi="Verdana"/>
                <w:sz w:val="18"/>
                <w:szCs w:val="18"/>
              </w:rPr>
              <w:t xml:space="preserve"> Odds ratio compared the probably of event occurring in the PRP group versus the corticosteroid group. Continuous variables were compared with the standard mean difference with a 95% confidence interval.</w:t>
            </w:r>
            <w:r w:rsidR="00184567" w:rsidRPr="00CB239D">
              <w:rPr>
                <w:rFonts w:ascii="Verdana" w:hAnsi="Verdana"/>
                <w:sz w:val="18"/>
                <w:szCs w:val="18"/>
              </w:rPr>
              <w:t xml:space="preserve"> </w:t>
            </w:r>
            <w:r w:rsidR="005C5EE5" w:rsidRPr="00CB239D">
              <w:rPr>
                <w:rFonts w:ascii="Verdana" w:hAnsi="Verdana"/>
                <w:sz w:val="18"/>
                <w:szCs w:val="18"/>
              </w:rPr>
              <w:t>If a stud</w:t>
            </w:r>
            <w:r w:rsidR="00205A34" w:rsidRPr="00CB239D">
              <w:rPr>
                <w:rFonts w:ascii="Verdana" w:hAnsi="Verdana"/>
                <w:sz w:val="18"/>
                <w:szCs w:val="18"/>
              </w:rPr>
              <w:t xml:space="preserve">y did not provide the standard </w:t>
            </w:r>
            <w:r w:rsidR="005C5EE5" w:rsidRPr="00CB239D">
              <w:rPr>
                <w:rFonts w:ascii="Verdana" w:hAnsi="Verdana"/>
                <w:sz w:val="18"/>
                <w:szCs w:val="18"/>
              </w:rPr>
              <w:t xml:space="preserve">mean difference, </w:t>
            </w:r>
            <w:r w:rsidR="00E645CF" w:rsidRPr="00CB239D">
              <w:rPr>
                <w:rFonts w:ascii="Verdana" w:hAnsi="Verdana"/>
                <w:sz w:val="18"/>
                <w:szCs w:val="18"/>
              </w:rPr>
              <w:t>this</w:t>
            </w:r>
            <w:r w:rsidR="005C5EE5" w:rsidRPr="00CB239D">
              <w:rPr>
                <w:rFonts w:ascii="Verdana" w:hAnsi="Verdana"/>
                <w:sz w:val="18"/>
                <w:szCs w:val="18"/>
              </w:rPr>
              <w:t xml:space="preserve"> was calculate</w:t>
            </w:r>
            <w:r w:rsidR="00E645CF" w:rsidRPr="00CB239D">
              <w:rPr>
                <w:rFonts w:ascii="Verdana" w:hAnsi="Verdana"/>
                <w:sz w:val="18"/>
                <w:szCs w:val="18"/>
              </w:rPr>
              <w:t>d using a statistical algorithm</w:t>
            </w:r>
            <w:r w:rsidR="005C5EE5" w:rsidRPr="00CB239D">
              <w:rPr>
                <w:rFonts w:ascii="Verdana" w:hAnsi="Verdana"/>
                <w:sz w:val="18"/>
                <w:szCs w:val="18"/>
              </w:rPr>
              <w:t xml:space="preserve">. </w:t>
            </w:r>
          </w:p>
          <w:p w14:paraId="20FA2839" w14:textId="5DF040FA" w:rsidR="00ED47B7" w:rsidRPr="00CB239D" w:rsidRDefault="00ED47B7" w:rsidP="00CF35A3">
            <w:pPr>
              <w:pStyle w:val="ListParagraph"/>
              <w:numPr>
                <w:ilvl w:val="0"/>
                <w:numId w:val="28"/>
              </w:numPr>
              <w:spacing w:before="120" w:after="120"/>
              <w:rPr>
                <w:rFonts w:ascii="Verdana" w:hAnsi="Verdana"/>
                <w:sz w:val="18"/>
                <w:szCs w:val="18"/>
              </w:rPr>
            </w:pPr>
            <w:r w:rsidRPr="00CB239D">
              <w:rPr>
                <w:rFonts w:ascii="Verdana" w:hAnsi="Verdana"/>
                <w:b/>
                <w:sz w:val="18"/>
                <w:szCs w:val="18"/>
              </w:rPr>
              <w:t>Test For Heterogeneity</w:t>
            </w:r>
            <w:r w:rsidRPr="00CB239D">
              <w:rPr>
                <w:rFonts w:ascii="Verdana" w:hAnsi="Verdana"/>
                <w:sz w:val="18"/>
                <w:szCs w:val="18"/>
              </w:rPr>
              <w:t xml:space="preserve">: Used the </w:t>
            </w:r>
            <w:r w:rsidR="002A7D5B" w:rsidRPr="00CB239D">
              <w:rPr>
                <w:rFonts w:ascii="Verdana" w:hAnsi="Verdana"/>
                <w:sz w:val="18"/>
                <w:szCs w:val="18"/>
              </w:rPr>
              <w:t>chi-square test (</w:t>
            </w:r>
            <w:r w:rsidR="00E645CF" w:rsidRPr="00CB239D">
              <w:rPr>
                <w:rFonts w:ascii="Verdana" w:hAnsi="Verdana"/>
                <w:sz w:val="18"/>
                <w:szCs w:val="18"/>
              </w:rPr>
              <w:t>X</w:t>
            </w:r>
            <w:r w:rsidRPr="00CB239D">
              <w:rPr>
                <w:rFonts w:ascii="Verdana" w:hAnsi="Verdana"/>
                <w:sz w:val="18"/>
                <w:szCs w:val="18"/>
                <w:vertAlign w:val="superscript"/>
              </w:rPr>
              <w:t>2</w:t>
            </w:r>
            <w:r w:rsidR="002A7D5B" w:rsidRPr="00CB239D">
              <w:rPr>
                <w:rFonts w:ascii="Verdana" w:hAnsi="Verdana"/>
                <w:sz w:val="18"/>
                <w:szCs w:val="18"/>
              </w:rPr>
              <w:t xml:space="preserve">), </w:t>
            </w:r>
            <w:r w:rsidRPr="00CB239D">
              <w:rPr>
                <w:rFonts w:ascii="Verdana" w:hAnsi="Verdana"/>
                <w:sz w:val="18"/>
                <w:szCs w:val="18"/>
              </w:rPr>
              <w:t>with p&lt;</w:t>
            </w:r>
            <w:proofErr w:type="gramStart"/>
            <w:r w:rsidRPr="00CB239D">
              <w:rPr>
                <w:rFonts w:ascii="Verdana" w:hAnsi="Verdana"/>
                <w:sz w:val="18"/>
                <w:szCs w:val="18"/>
              </w:rPr>
              <w:t>.05</w:t>
            </w:r>
            <w:proofErr w:type="gramEnd"/>
            <w:r w:rsidRPr="00CB239D">
              <w:rPr>
                <w:rFonts w:ascii="Verdana" w:hAnsi="Verdana"/>
                <w:sz w:val="18"/>
                <w:szCs w:val="18"/>
              </w:rPr>
              <w:t xml:space="preserve"> determining significance. The I</w:t>
            </w:r>
            <w:r w:rsidRPr="00CB239D">
              <w:rPr>
                <w:rFonts w:ascii="Verdana" w:hAnsi="Verdana"/>
                <w:sz w:val="18"/>
                <w:szCs w:val="18"/>
                <w:vertAlign w:val="superscript"/>
              </w:rPr>
              <w:t>2</w:t>
            </w:r>
            <w:r w:rsidRPr="00CB239D">
              <w:rPr>
                <w:rFonts w:ascii="Verdana" w:hAnsi="Verdana"/>
                <w:sz w:val="18"/>
                <w:szCs w:val="18"/>
              </w:rPr>
              <w:t xml:space="preserve"> method was used to quantify heterogeneity, with &lt;50% being the threshold for low heterogeneity. </w:t>
            </w:r>
            <w:r w:rsidR="009B482A" w:rsidRPr="00CB239D">
              <w:rPr>
                <w:rFonts w:ascii="Verdana" w:hAnsi="Verdana"/>
                <w:sz w:val="18"/>
                <w:szCs w:val="18"/>
              </w:rPr>
              <w:t>If significant heterogeneity occurred (I</w:t>
            </w:r>
            <w:r w:rsidR="009B482A" w:rsidRPr="00CB239D">
              <w:rPr>
                <w:rFonts w:ascii="Verdana" w:hAnsi="Verdana"/>
                <w:sz w:val="18"/>
                <w:szCs w:val="18"/>
                <w:vertAlign w:val="superscript"/>
              </w:rPr>
              <w:t>2</w:t>
            </w:r>
            <w:r w:rsidR="009B482A" w:rsidRPr="00CB239D">
              <w:rPr>
                <w:rFonts w:ascii="Verdana" w:hAnsi="Verdana"/>
                <w:sz w:val="18"/>
                <w:szCs w:val="18"/>
              </w:rPr>
              <w:t>≥50%), a random effects analysis was performed.</w:t>
            </w:r>
          </w:p>
          <w:p w14:paraId="4D76BC11" w14:textId="77777777" w:rsidR="002A7D5B" w:rsidRPr="00CB239D" w:rsidRDefault="002A7D5B" w:rsidP="002A7D5B">
            <w:pPr>
              <w:spacing w:before="120" w:after="120"/>
              <w:rPr>
                <w:sz w:val="18"/>
                <w:szCs w:val="18"/>
              </w:rPr>
            </w:pPr>
          </w:p>
          <w:p w14:paraId="2F143B0C" w14:textId="77777777" w:rsidR="0000738B" w:rsidRPr="00CB239D" w:rsidRDefault="0000738B" w:rsidP="00B86EA6">
            <w:pPr>
              <w:spacing w:before="120" w:after="120"/>
              <w:rPr>
                <w:sz w:val="18"/>
                <w:szCs w:val="18"/>
              </w:rPr>
            </w:pPr>
          </w:p>
        </w:tc>
      </w:tr>
      <w:tr w:rsidR="0000738B" w:rsidRPr="00CB239D" w14:paraId="0E84D5CE" w14:textId="77777777" w:rsidTr="004F60A2">
        <w:tc>
          <w:tcPr>
            <w:tcW w:w="10421" w:type="dxa"/>
            <w:shd w:val="clear" w:color="auto" w:fill="E6E6E6"/>
          </w:tcPr>
          <w:p w14:paraId="072672BD" w14:textId="77777777" w:rsidR="00385627" w:rsidRPr="00CB239D" w:rsidRDefault="00385627" w:rsidP="00385627">
            <w:pPr>
              <w:spacing w:before="120" w:after="120"/>
              <w:rPr>
                <w:b/>
                <w:sz w:val="18"/>
                <w:szCs w:val="18"/>
              </w:rPr>
            </w:pPr>
            <w:r w:rsidRPr="00CB239D">
              <w:rPr>
                <w:b/>
                <w:sz w:val="18"/>
                <w:szCs w:val="18"/>
              </w:rPr>
              <w:lastRenderedPageBreak/>
              <w:t>Setting</w:t>
            </w:r>
          </w:p>
          <w:p w14:paraId="3979BE43" w14:textId="690C64F8" w:rsidR="0000738B" w:rsidRPr="00CB239D" w:rsidRDefault="00385627" w:rsidP="00385627">
            <w:pPr>
              <w:spacing w:after="120"/>
              <w:rPr>
                <w:sz w:val="18"/>
                <w:szCs w:val="18"/>
              </w:rPr>
            </w:pPr>
            <w:r w:rsidRPr="00CB239D">
              <w:rPr>
                <w:sz w:val="18"/>
                <w:szCs w:val="18"/>
              </w:rPr>
              <w:t>[</w:t>
            </w:r>
            <w:proofErr w:type="gramStart"/>
            <w:r w:rsidRPr="00CB239D">
              <w:rPr>
                <w:sz w:val="18"/>
                <w:szCs w:val="18"/>
              </w:rPr>
              <w:t>e</w:t>
            </w:r>
            <w:proofErr w:type="gramEnd"/>
            <w:r w:rsidRPr="00CB239D">
              <w:rPr>
                <w:sz w:val="18"/>
                <w:szCs w:val="18"/>
              </w:rPr>
              <w:t>.g., locations such as hospital, community; rural; metropolitan; country]</w:t>
            </w:r>
          </w:p>
        </w:tc>
      </w:tr>
      <w:tr w:rsidR="0000738B" w:rsidRPr="00CB239D" w14:paraId="0B6F5A23" w14:textId="77777777" w:rsidTr="004F60A2">
        <w:tc>
          <w:tcPr>
            <w:tcW w:w="10421" w:type="dxa"/>
            <w:tcBorders>
              <w:bottom w:val="single" w:sz="4" w:space="0" w:color="auto"/>
            </w:tcBorders>
            <w:shd w:val="clear" w:color="auto" w:fill="auto"/>
          </w:tcPr>
          <w:p w14:paraId="5BCB6359" w14:textId="4EDDA011" w:rsidR="00ED2BEE" w:rsidRPr="00CB239D" w:rsidRDefault="00ED2BEE" w:rsidP="00ED2BEE">
            <w:pPr>
              <w:pStyle w:val="ListParagraph"/>
              <w:numPr>
                <w:ilvl w:val="0"/>
                <w:numId w:val="37"/>
              </w:numPr>
              <w:spacing w:before="120" w:after="120"/>
              <w:rPr>
                <w:rFonts w:ascii="Verdana" w:hAnsi="Verdana"/>
                <w:sz w:val="18"/>
                <w:szCs w:val="18"/>
              </w:rPr>
            </w:pPr>
            <w:r w:rsidRPr="00CB239D">
              <w:rPr>
                <w:rFonts w:ascii="Verdana" w:hAnsi="Verdana"/>
                <w:sz w:val="18"/>
                <w:szCs w:val="18"/>
              </w:rPr>
              <w:t>Not specified but it is presumed to be in a physician</w:t>
            </w:r>
            <w:r w:rsidR="00F15D8E" w:rsidRPr="00CB239D">
              <w:rPr>
                <w:rFonts w:ascii="Verdana" w:hAnsi="Verdana"/>
                <w:sz w:val="18"/>
                <w:szCs w:val="18"/>
              </w:rPr>
              <w:t>’</w:t>
            </w:r>
            <w:r w:rsidRPr="00CB239D">
              <w:rPr>
                <w:rFonts w:ascii="Verdana" w:hAnsi="Verdana"/>
                <w:sz w:val="18"/>
                <w:szCs w:val="18"/>
              </w:rPr>
              <w:t>s office or hospital setting</w:t>
            </w:r>
            <w:r w:rsidR="00142FB1" w:rsidRPr="00CB239D">
              <w:rPr>
                <w:rFonts w:ascii="Verdana" w:hAnsi="Verdana"/>
                <w:sz w:val="18"/>
                <w:szCs w:val="18"/>
              </w:rPr>
              <w:t>.</w:t>
            </w:r>
          </w:p>
          <w:p w14:paraId="5EFF83C7" w14:textId="77777777" w:rsidR="0000738B" w:rsidRPr="00CB239D" w:rsidRDefault="0000738B" w:rsidP="004F60A2">
            <w:pPr>
              <w:spacing w:before="120" w:after="120"/>
              <w:jc w:val="right"/>
              <w:rPr>
                <w:sz w:val="18"/>
                <w:szCs w:val="18"/>
              </w:rPr>
            </w:pPr>
          </w:p>
        </w:tc>
      </w:tr>
      <w:tr w:rsidR="0000738B" w:rsidRPr="00CB239D" w14:paraId="524F11D0" w14:textId="77777777" w:rsidTr="004F60A2">
        <w:tc>
          <w:tcPr>
            <w:tcW w:w="10421" w:type="dxa"/>
            <w:shd w:val="clear" w:color="auto" w:fill="E6E6E6"/>
          </w:tcPr>
          <w:p w14:paraId="49E1B952" w14:textId="77777777" w:rsidR="0000738B" w:rsidRPr="00CB239D" w:rsidRDefault="0000738B" w:rsidP="004F60A2">
            <w:pPr>
              <w:spacing w:before="120" w:after="120"/>
              <w:rPr>
                <w:b/>
                <w:sz w:val="18"/>
                <w:szCs w:val="18"/>
              </w:rPr>
            </w:pPr>
            <w:r w:rsidRPr="00CB239D">
              <w:rPr>
                <w:b/>
                <w:sz w:val="18"/>
                <w:szCs w:val="18"/>
              </w:rPr>
              <w:t>Participants</w:t>
            </w:r>
          </w:p>
          <w:p w14:paraId="738F5900" w14:textId="77777777" w:rsidR="0000738B" w:rsidRPr="00CB239D" w:rsidRDefault="0000738B" w:rsidP="004F60A2">
            <w:pPr>
              <w:spacing w:before="120" w:after="120"/>
              <w:rPr>
                <w:sz w:val="18"/>
                <w:szCs w:val="18"/>
              </w:rPr>
            </w:pPr>
            <w:r w:rsidRPr="00CB239D">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D564983" w14:textId="77777777" w:rsidR="0000738B" w:rsidRPr="00CB239D" w:rsidRDefault="0000738B" w:rsidP="004F60A2">
            <w:pPr>
              <w:spacing w:before="120" w:after="120"/>
              <w:rPr>
                <w:sz w:val="18"/>
                <w:szCs w:val="18"/>
              </w:rPr>
            </w:pPr>
            <w:r w:rsidRPr="00CB239D">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00738B" w:rsidRPr="00CB239D" w14:paraId="51D796D2" w14:textId="77777777" w:rsidTr="004F60A2">
        <w:tc>
          <w:tcPr>
            <w:tcW w:w="10421" w:type="dxa"/>
            <w:tcBorders>
              <w:bottom w:val="single" w:sz="4" w:space="0" w:color="auto"/>
            </w:tcBorders>
            <w:shd w:val="clear" w:color="auto" w:fill="auto"/>
          </w:tcPr>
          <w:p w14:paraId="37054F31" w14:textId="4DAC9EBA" w:rsidR="00831C81" w:rsidRPr="00CB239D" w:rsidRDefault="00205A34" w:rsidP="00FE5815">
            <w:pPr>
              <w:pStyle w:val="ListParagraph"/>
              <w:numPr>
                <w:ilvl w:val="0"/>
                <w:numId w:val="29"/>
              </w:numPr>
              <w:spacing w:before="120" w:after="120"/>
              <w:rPr>
                <w:rFonts w:ascii="Verdana" w:hAnsi="Verdana"/>
                <w:sz w:val="18"/>
                <w:szCs w:val="18"/>
              </w:rPr>
            </w:pPr>
            <w:r w:rsidRPr="00CB239D">
              <w:rPr>
                <w:rFonts w:ascii="Verdana" w:hAnsi="Verdana"/>
                <w:sz w:val="18"/>
                <w:szCs w:val="18"/>
              </w:rPr>
              <w:t>Meta-analysis included ten studies that included a total of 517 subjects with plantar fasciitis.</w:t>
            </w:r>
            <w:r w:rsidR="00AC646E" w:rsidRPr="00CB239D">
              <w:rPr>
                <w:rFonts w:ascii="Verdana" w:hAnsi="Verdana"/>
                <w:sz w:val="18"/>
                <w:szCs w:val="18"/>
              </w:rPr>
              <w:t xml:space="preserve"> There were 246 subjects in both platelet rich plasma and corticosteroid group</w:t>
            </w:r>
            <w:r w:rsidR="005F4839" w:rsidRPr="00CB239D">
              <w:rPr>
                <w:rFonts w:ascii="Verdana" w:hAnsi="Verdana"/>
                <w:sz w:val="18"/>
                <w:szCs w:val="18"/>
              </w:rPr>
              <w:t>s</w:t>
            </w:r>
            <w:r w:rsidR="005B29E5" w:rsidRPr="00CB239D">
              <w:rPr>
                <w:rFonts w:ascii="Verdana" w:hAnsi="Verdana"/>
                <w:sz w:val="18"/>
                <w:szCs w:val="18"/>
              </w:rPr>
              <w:t xml:space="preserve"> (one study included a control group</w:t>
            </w:r>
            <w:r w:rsidR="00B93DAC" w:rsidRPr="00CB239D">
              <w:rPr>
                <w:rFonts w:ascii="Verdana" w:hAnsi="Verdana"/>
                <w:sz w:val="18"/>
                <w:szCs w:val="18"/>
              </w:rPr>
              <w:t xml:space="preserve"> (saline)</w:t>
            </w:r>
            <w:r w:rsidR="005B29E5" w:rsidRPr="00CB239D">
              <w:rPr>
                <w:rFonts w:ascii="Verdana" w:hAnsi="Verdana"/>
                <w:sz w:val="18"/>
                <w:szCs w:val="18"/>
              </w:rPr>
              <w:t xml:space="preserve"> that </w:t>
            </w:r>
            <w:r w:rsidR="00160321" w:rsidRPr="00CB239D">
              <w:rPr>
                <w:rFonts w:ascii="Verdana" w:hAnsi="Verdana"/>
                <w:sz w:val="18"/>
                <w:szCs w:val="18"/>
              </w:rPr>
              <w:t>included</w:t>
            </w:r>
            <w:r w:rsidR="005B29E5" w:rsidRPr="00CB239D">
              <w:rPr>
                <w:rFonts w:ascii="Verdana" w:hAnsi="Verdana"/>
                <w:sz w:val="18"/>
                <w:szCs w:val="18"/>
              </w:rPr>
              <w:t xml:space="preserve"> 25 subjects)</w:t>
            </w:r>
            <w:r w:rsidR="005F4839" w:rsidRPr="00CB239D">
              <w:rPr>
                <w:rFonts w:ascii="Verdana" w:hAnsi="Verdana"/>
                <w:sz w:val="18"/>
                <w:szCs w:val="18"/>
              </w:rPr>
              <w:t xml:space="preserve">. </w:t>
            </w:r>
          </w:p>
          <w:p w14:paraId="104FFD2F" w14:textId="73984972" w:rsidR="0068679F" w:rsidRPr="00CB239D" w:rsidRDefault="005F4839" w:rsidP="0068679F">
            <w:pPr>
              <w:pStyle w:val="ListParagraph"/>
              <w:numPr>
                <w:ilvl w:val="0"/>
                <w:numId w:val="29"/>
              </w:numPr>
              <w:spacing w:before="120" w:after="120"/>
              <w:rPr>
                <w:rFonts w:ascii="Verdana" w:hAnsi="Verdana"/>
                <w:sz w:val="18"/>
                <w:szCs w:val="18"/>
              </w:rPr>
            </w:pPr>
            <w:r w:rsidRPr="00CB239D">
              <w:rPr>
                <w:rFonts w:ascii="Verdana" w:hAnsi="Verdana"/>
                <w:sz w:val="18"/>
                <w:szCs w:val="18"/>
              </w:rPr>
              <w:t>Of the ten studies, s</w:t>
            </w:r>
            <w:r w:rsidR="00205A34" w:rsidRPr="00CB239D">
              <w:rPr>
                <w:rFonts w:ascii="Verdana" w:hAnsi="Verdana"/>
                <w:sz w:val="18"/>
                <w:szCs w:val="18"/>
              </w:rPr>
              <w:t>even</w:t>
            </w:r>
            <w:r w:rsidR="00E645CF" w:rsidRPr="00CB239D">
              <w:rPr>
                <w:rFonts w:ascii="Verdana" w:hAnsi="Verdana"/>
                <w:sz w:val="18"/>
                <w:szCs w:val="18"/>
              </w:rPr>
              <w:t xml:space="preserve"> were randomized and the other three</w:t>
            </w:r>
            <w:r w:rsidR="00205A34" w:rsidRPr="00CB239D">
              <w:rPr>
                <w:rFonts w:ascii="Verdana" w:hAnsi="Verdana"/>
                <w:sz w:val="18"/>
                <w:szCs w:val="18"/>
              </w:rPr>
              <w:t xml:space="preserve"> were non-randomized.</w:t>
            </w:r>
            <w:r w:rsidR="00AC646E" w:rsidRPr="00CB239D">
              <w:rPr>
                <w:rFonts w:ascii="Verdana" w:hAnsi="Verdana"/>
                <w:sz w:val="18"/>
                <w:szCs w:val="18"/>
              </w:rPr>
              <w:t xml:space="preserve"> Three studies used radiologic imagining and ultrasound to confirm the diagnosis of plantar fasciitis</w:t>
            </w:r>
            <w:r w:rsidR="00D51E0C" w:rsidRPr="00CB239D">
              <w:rPr>
                <w:rFonts w:ascii="Verdana" w:hAnsi="Verdana"/>
                <w:sz w:val="18"/>
                <w:szCs w:val="18"/>
              </w:rPr>
              <w:t xml:space="preserve"> and</w:t>
            </w:r>
            <w:r w:rsidRPr="00CB239D">
              <w:rPr>
                <w:rFonts w:ascii="Verdana" w:hAnsi="Verdana"/>
                <w:sz w:val="18"/>
                <w:szCs w:val="18"/>
              </w:rPr>
              <w:t xml:space="preserve"> five restricted the use of NSAIDs</w:t>
            </w:r>
            <w:r w:rsidR="00FE5815" w:rsidRPr="00CB239D">
              <w:rPr>
                <w:rFonts w:ascii="Verdana" w:hAnsi="Verdana"/>
                <w:sz w:val="18"/>
                <w:szCs w:val="18"/>
              </w:rPr>
              <w:t>.</w:t>
            </w:r>
            <w:r w:rsidR="00AC646E" w:rsidRPr="00CB239D">
              <w:rPr>
                <w:rFonts w:ascii="Verdana" w:hAnsi="Verdana"/>
                <w:sz w:val="18"/>
                <w:szCs w:val="18"/>
              </w:rPr>
              <w:t xml:space="preserve"> It is unclear the average age of the participants in </w:t>
            </w:r>
            <w:r w:rsidRPr="00CB239D">
              <w:rPr>
                <w:rFonts w:ascii="Verdana" w:hAnsi="Verdana"/>
                <w:sz w:val="18"/>
                <w:szCs w:val="18"/>
              </w:rPr>
              <w:t>both groups</w:t>
            </w:r>
            <w:r w:rsidR="00AC646E" w:rsidRPr="00CB239D">
              <w:rPr>
                <w:rFonts w:ascii="Verdana" w:hAnsi="Verdana"/>
                <w:sz w:val="18"/>
                <w:szCs w:val="18"/>
              </w:rPr>
              <w:t xml:space="preserve">. </w:t>
            </w:r>
            <w:r w:rsidR="0068679F" w:rsidRPr="00CB239D">
              <w:rPr>
                <w:rFonts w:ascii="Verdana" w:hAnsi="Verdana"/>
                <w:sz w:val="18"/>
                <w:szCs w:val="18"/>
              </w:rPr>
              <w:t>Authors reported “the mean age of included patients in the PRP group ranged from 30.7 to 51.0 years compared with 33.9–59.0 years in the PRP group”.</w:t>
            </w:r>
          </w:p>
          <w:p w14:paraId="3EDC0B73" w14:textId="02001D41" w:rsidR="00831C81" w:rsidRPr="00CB239D" w:rsidRDefault="00831C81" w:rsidP="00831C81">
            <w:pPr>
              <w:pStyle w:val="ListParagraph"/>
              <w:numPr>
                <w:ilvl w:val="0"/>
                <w:numId w:val="29"/>
              </w:numPr>
              <w:spacing w:before="120" w:after="120"/>
              <w:rPr>
                <w:rFonts w:ascii="Verdana" w:hAnsi="Verdana"/>
                <w:sz w:val="18"/>
                <w:szCs w:val="18"/>
              </w:rPr>
            </w:pPr>
            <w:r w:rsidRPr="00CB239D">
              <w:rPr>
                <w:rFonts w:ascii="Verdana" w:hAnsi="Verdana"/>
                <w:sz w:val="18"/>
                <w:szCs w:val="18"/>
              </w:rPr>
              <w:t>PRP group: Four studies involved two centrifugations for preparation and the other six only used one. Five studies used a local anesthetic and three-used calcium based activation agents.</w:t>
            </w:r>
          </w:p>
          <w:p w14:paraId="13A3E16F" w14:textId="77777777" w:rsidR="00831C81" w:rsidRPr="00CB239D" w:rsidRDefault="00831C81" w:rsidP="00831C81">
            <w:pPr>
              <w:pStyle w:val="ListParagraph"/>
              <w:numPr>
                <w:ilvl w:val="0"/>
                <w:numId w:val="29"/>
              </w:numPr>
              <w:spacing w:before="120" w:after="120"/>
              <w:rPr>
                <w:rFonts w:ascii="Verdana" w:hAnsi="Verdana"/>
                <w:sz w:val="18"/>
                <w:szCs w:val="18"/>
              </w:rPr>
            </w:pPr>
            <w:r w:rsidRPr="00CB239D">
              <w:rPr>
                <w:rFonts w:ascii="Verdana" w:hAnsi="Verdana"/>
                <w:sz w:val="18"/>
                <w:szCs w:val="18"/>
              </w:rPr>
              <w:t xml:space="preserve">Corticosteroid group: Five studies used methylprednisolone, three used triamcinolone, and one used dexamethasone. </w:t>
            </w:r>
          </w:p>
          <w:p w14:paraId="3E6B2FA1" w14:textId="136832EC" w:rsidR="0000738B" w:rsidRPr="00CB239D" w:rsidRDefault="005F4839" w:rsidP="00FE5815">
            <w:pPr>
              <w:pStyle w:val="ListParagraph"/>
              <w:numPr>
                <w:ilvl w:val="0"/>
                <w:numId w:val="29"/>
              </w:numPr>
              <w:spacing w:before="120" w:after="120"/>
              <w:rPr>
                <w:rFonts w:ascii="Verdana" w:hAnsi="Verdana"/>
                <w:sz w:val="18"/>
                <w:szCs w:val="18"/>
              </w:rPr>
            </w:pPr>
            <w:r w:rsidRPr="00CB239D">
              <w:rPr>
                <w:rFonts w:ascii="Verdana" w:hAnsi="Verdana"/>
                <w:sz w:val="18"/>
                <w:szCs w:val="18"/>
              </w:rPr>
              <w:t>All studies included outcomes for quality of life and pain at varying follow up points. All subjects</w:t>
            </w:r>
            <w:r w:rsidR="00FE5815" w:rsidRPr="00CB239D">
              <w:rPr>
                <w:rFonts w:ascii="Verdana" w:hAnsi="Verdana"/>
                <w:sz w:val="18"/>
                <w:szCs w:val="18"/>
              </w:rPr>
              <w:t xml:space="preserve"> performed a stretching program</w:t>
            </w:r>
            <w:r w:rsidR="00E645CF" w:rsidRPr="00CB239D">
              <w:rPr>
                <w:rFonts w:ascii="Verdana" w:hAnsi="Verdana"/>
                <w:sz w:val="18"/>
                <w:szCs w:val="18"/>
              </w:rPr>
              <w:t xml:space="preserve"> after their respective injection</w:t>
            </w:r>
            <w:r w:rsidR="00FE5815" w:rsidRPr="00CB239D">
              <w:rPr>
                <w:rFonts w:ascii="Verdana" w:hAnsi="Verdana"/>
                <w:sz w:val="18"/>
                <w:szCs w:val="18"/>
              </w:rPr>
              <w:t>.</w:t>
            </w:r>
          </w:p>
          <w:p w14:paraId="231FA4A1" w14:textId="30DD3903" w:rsidR="007515C7" w:rsidRPr="00CB239D" w:rsidRDefault="007515C7" w:rsidP="00FE5815">
            <w:pPr>
              <w:pStyle w:val="ListParagraph"/>
              <w:numPr>
                <w:ilvl w:val="0"/>
                <w:numId w:val="29"/>
              </w:numPr>
              <w:spacing w:before="120" w:after="120"/>
              <w:rPr>
                <w:rFonts w:ascii="Verdana" w:hAnsi="Verdana"/>
                <w:sz w:val="18"/>
                <w:szCs w:val="18"/>
              </w:rPr>
            </w:pPr>
            <w:r w:rsidRPr="00CB239D">
              <w:rPr>
                <w:rFonts w:ascii="Verdana" w:hAnsi="Verdana"/>
                <w:sz w:val="18"/>
                <w:szCs w:val="18"/>
              </w:rPr>
              <w:t>None of the studies reported any adverse effects caused by the injections.</w:t>
            </w:r>
          </w:p>
          <w:p w14:paraId="0A2110F2" w14:textId="77777777" w:rsidR="00AC646E" w:rsidRPr="00CB239D" w:rsidRDefault="00AC646E" w:rsidP="00A56C41">
            <w:pPr>
              <w:pStyle w:val="ListParagraph"/>
              <w:spacing w:before="120" w:after="120"/>
              <w:rPr>
                <w:rFonts w:ascii="Verdana" w:hAnsi="Verdana"/>
                <w:sz w:val="18"/>
                <w:szCs w:val="18"/>
              </w:rPr>
            </w:pPr>
          </w:p>
          <w:p w14:paraId="6A40C522" w14:textId="77777777" w:rsidR="0000738B" w:rsidRPr="00CB239D" w:rsidRDefault="0000738B" w:rsidP="00B86EA6">
            <w:pPr>
              <w:spacing w:before="120" w:after="120"/>
              <w:rPr>
                <w:sz w:val="18"/>
                <w:szCs w:val="18"/>
              </w:rPr>
            </w:pPr>
          </w:p>
        </w:tc>
      </w:tr>
      <w:tr w:rsidR="0000738B" w:rsidRPr="00CB239D" w14:paraId="1B5E28AF" w14:textId="77777777" w:rsidTr="004F60A2">
        <w:tc>
          <w:tcPr>
            <w:tcW w:w="10421" w:type="dxa"/>
            <w:shd w:val="clear" w:color="auto" w:fill="E6E6E6"/>
          </w:tcPr>
          <w:p w14:paraId="56C1DE97" w14:textId="77777777" w:rsidR="0000738B" w:rsidRPr="00CB239D" w:rsidRDefault="0000738B" w:rsidP="004F60A2">
            <w:pPr>
              <w:spacing w:before="120" w:after="120"/>
              <w:rPr>
                <w:b/>
                <w:sz w:val="18"/>
                <w:szCs w:val="18"/>
              </w:rPr>
            </w:pPr>
            <w:r w:rsidRPr="00CB239D">
              <w:rPr>
                <w:b/>
                <w:sz w:val="18"/>
                <w:szCs w:val="18"/>
              </w:rPr>
              <w:t>Intervention Investigated</w:t>
            </w:r>
          </w:p>
          <w:p w14:paraId="66851AB3" w14:textId="77777777" w:rsidR="0000738B" w:rsidRPr="00CB239D" w:rsidRDefault="0000738B" w:rsidP="004F60A2">
            <w:pPr>
              <w:spacing w:before="120" w:after="120"/>
              <w:rPr>
                <w:sz w:val="18"/>
                <w:szCs w:val="18"/>
              </w:rPr>
            </w:pPr>
            <w:r w:rsidRPr="00CB239D">
              <w:rPr>
                <w:sz w:val="18"/>
                <w:szCs w:val="18"/>
              </w:rPr>
              <w:t>[Provide details of methods, who provided treatment, when and where, how many hours of treatment provided]</w:t>
            </w:r>
          </w:p>
        </w:tc>
      </w:tr>
      <w:tr w:rsidR="0000738B" w:rsidRPr="00CB239D" w14:paraId="1B2EDEDC" w14:textId="77777777" w:rsidTr="004F60A2">
        <w:tc>
          <w:tcPr>
            <w:tcW w:w="10421" w:type="dxa"/>
            <w:shd w:val="clear" w:color="auto" w:fill="auto"/>
          </w:tcPr>
          <w:p w14:paraId="064B8B62" w14:textId="77777777" w:rsidR="0000738B" w:rsidRPr="00CB239D" w:rsidRDefault="0000738B" w:rsidP="004F60A2">
            <w:pPr>
              <w:spacing w:before="120" w:after="120"/>
              <w:rPr>
                <w:i/>
                <w:sz w:val="18"/>
                <w:szCs w:val="18"/>
              </w:rPr>
            </w:pPr>
            <w:r w:rsidRPr="00CB239D">
              <w:rPr>
                <w:i/>
                <w:sz w:val="18"/>
                <w:szCs w:val="18"/>
              </w:rPr>
              <w:t>Control</w:t>
            </w:r>
          </w:p>
        </w:tc>
      </w:tr>
      <w:tr w:rsidR="0000738B" w:rsidRPr="00CB239D" w14:paraId="2997B5F7" w14:textId="77777777" w:rsidTr="004F60A2">
        <w:tc>
          <w:tcPr>
            <w:tcW w:w="10421" w:type="dxa"/>
            <w:shd w:val="clear" w:color="auto" w:fill="auto"/>
          </w:tcPr>
          <w:p w14:paraId="634D1059" w14:textId="042255E6" w:rsidR="000910EF" w:rsidRPr="00CB239D" w:rsidRDefault="000910EF" w:rsidP="00A56C41">
            <w:pPr>
              <w:pStyle w:val="ListParagraph"/>
              <w:numPr>
                <w:ilvl w:val="0"/>
                <w:numId w:val="30"/>
              </w:numPr>
              <w:spacing w:before="120" w:after="120"/>
              <w:rPr>
                <w:rFonts w:ascii="Verdana" w:hAnsi="Verdana"/>
                <w:sz w:val="18"/>
                <w:szCs w:val="18"/>
              </w:rPr>
            </w:pPr>
            <w:r w:rsidRPr="00CB239D">
              <w:rPr>
                <w:rFonts w:ascii="Verdana" w:hAnsi="Verdana"/>
                <w:sz w:val="18"/>
                <w:szCs w:val="18"/>
              </w:rPr>
              <w:t xml:space="preserve">Authors considered the corticosteroid injections as the control since it was typically used when patients did not </w:t>
            </w:r>
            <w:r w:rsidR="00384FB1" w:rsidRPr="00CB239D">
              <w:rPr>
                <w:rFonts w:ascii="Verdana" w:hAnsi="Verdana"/>
                <w:sz w:val="18"/>
                <w:szCs w:val="18"/>
              </w:rPr>
              <w:t>respond</w:t>
            </w:r>
            <w:r w:rsidRPr="00CB239D">
              <w:rPr>
                <w:rFonts w:ascii="Verdana" w:hAnsi="Verdana"/>
                <w:sz w:val="18"/>
                <w:szCs w:val="18"/>
              </w:rPr>
              <w:t xml:space="preserve"> to standard therapy. </w:t>
            </w:r>
          </w:p>
          <w:p w14:paraId="090EB339" w14:textId="289C799D" w:rsidR="009A6E3E" w:rsidRPr="00CB239D" w:rsidRDefault="009A6E3E" w:rsidP="00A56C41">
            <w:pPr>
              <w:pStyle w:val="ListParagraph"/>
              <w:numPr>
                <w:ilvl w:val="0"/>
                <w:numId w:val="30"/>
              </w:numPr>
              <w:spacing w:before="120" w:after="120"/>
              <w:rPr>
                <w:rFonts w:ascii="Verdana" w:hAnsi="Verdana"/>
                <w:sz w:val="18"/>
                <w:szCs w:val="18"/>
              </w:rPr>
            </w:pPr>
            <w:r w:rsidRPr="00CB239D">
              <w:rPr>
                <w:rFonts w:ascii="Verdana" w:hAnsi="Verdana"/>
                <w:sz w:val="18"/>
                <w:szCs w:val="18"/>
              </w:rPr>
              <w:t>One study included a control group, n=25, that received saline injections.</w:t>
            </w:r>
          </w:p>
          <w:p w14:paraId="55A50947" w14:textId="77777777" w:rsidR="0000738B" w:rsidRPr="00CB239D" w:rsidRDefault="0000738B" w:rsidP="004F60A2">
            <w:pPr>
              <w:spacing w:before="120" w:after="120"/>
              <w:rPr>
                <w:sz w:val="18"/>
                <w:szCs w:val="18"/>
              </w:rPr>
            </w:pPr>
          </w:p>
          <w:p w14:paraId="3761CD6C" w14:textId="77777777" w:rsidR="0000738B" w:rsidRPr="00CB239D" w:rsidRDefault="0000738B" w:rsidP="004F60A2">
            <w:pPr>
              <w:spacing w:before="120" w:after="120"/>
              <w:rPr>
                <w:sz w:val="18"/>
                <w:szCs w:val="18"/>
              </w:rPr>
            </w:pPr>
          </w:p>
          <w:p w14:paraId="66C18853" w14:textId="77777777" w:rsidR="0000738B" w:rsidRPr="00CB239D" w:rsidRDefault="0000738B" w:rsidP="004F60A2">
            <w:pPr>
              <w:spacing w:before="120" w:after="120"/>
              <w:rPr>
                <w:sz w:val="18"/>
                <w:szCs w:val="18"/>
              </w:rPr>
            </w:pPr>
          </w:p>
        </w:tc>
      </w:tr>
      <w:tr w:rsidR="0000738B" w:rsidRPr="00CB239D" w14:paraId="136DBF83" w14:textId="77777777" w:rsidTr="004F60A2">
        <w:tc>
          <w:tcPr>
            <w:tcW w:w="10421" w:type="dxa"/>
            <w:shd w:val="clear" w:color="auto" w:fill="auto"/>
          </w:tcPr>
          <w:p w14:paraId="3C2C8817" w14:textId="77777777" w:rsidR="0000738B" w:rsidRPr="00CB239D" w:rsidRDefault="0000738B" w:rsidP="004F60A2">
            <w:pPr>
              <w:spacing w:before="120" w:after="120"/>
              <w:rPr>
                <w:i/>
                <w:sz w:val="18"/>
                <w:szCs w:val="18"/>
              </w:rPr>
            </w:pPr>
            <w:r w:rsidRPr="00CB239D">
              <w:rPr>
                <w:i/>
                <w:sz w:val="18"/>
                <w:szCs w:val="18"/>
              </w:rPr>
              <w:lastRenderedPageBreak/>
              <w:t>Experimental</w:t>
            </w:r>
          </w:p>
        </w:tc>
      </w:tr>
      <w:tr w:rsidR="0000738B" w:rsidRPr="00CB239D" w14:paraId="43299874" w14:textId="77777777" w:rsidTr="004F60A2">
        <w:tc>
          <w:tcPr>
            <w:tcW w:w="10421" w:type="dxa"/>
            <w:tcBorders>
              <w:bottom w:val="single" w:sz="4" w:space="0" w:color="auto"/>
            </w:tcBorders>
            <w:shd w:val="clear" w:color="auto" w:fill="auto"/>
          </w:tcPr>
          <w:p w14:paraId="7458C04E" w14:textId="0A7F5EF3" w:rsidR="0000738B" w:rsidRPr="00CB239D" w:rsidRDefault="00A56C41" w:rsidP="00A56C41">
            <w:pPr>
              <w:pStyle w:val="ListParagraph"/>
              <w:numPr>
                <w:ilvl w:val="0"/>
                <w:numId w:val="30"/>
              </w:numPr>
              <w:spacing w:before="120" w:after="120"/>
              <w:rPr>
                <w:rFonts w:ascii="Verdana" w:hAnsi="Verdana"/>
                <w:sz w:val="18"/>
                <w:szCs w:val="18"/>
              </w:rPr>
            </w:pPr>
            <w:r w:rsidRPr="00CB239D">
              <w:rPr>
                <w:rFonts w:ascii="Verdana" w:hAnsi="Verdana"/>
                <w:sz w:val="18"/>
                <w:szCs w:val="18"/>
              </w:rPr>
              <w:t>Subjects that received platelet rich plasma injection</w:t>
            </w:r>
            <w:r w:rsidR="009A6E3E" w:rsidRPr="00CB239D">
              <w:rPr>
                <w:rFonts w:ascii="Verdana" w:hAnsi="Verdana"/>
                <w:sz w:val="18"/>
                <w:szCs w:val="18"/>
              </w:rPr>
              <w:t>.</w:t>
            </w:r>
          </w:p>
          <w:p w14:paraId="5883923C" w14:textId="77777777" w:rsidR="0000738B" w:rsidRPr="00CB239D" w:rsidRDefault="0000738B" w:rsidP="004F60A2">
            <w:pPr>
              <w:spacing w:before="120" w:after="120"/>
              <w:rPr>
                <w:sz w:val="18"/>
                <w:szCs w:val="18"/>
              </w:rPr>
            </w:pPr>
          </w:p>
          <w:p w14:paraId="4A8DF62A" w14:textId="77777777" w:rsidR="0000738B" w:rsidRPr="00CB239D" w:rsidRDefault="0000738B" w:rsidP="004F60A2">
            <w:pPr>
              <w:spacing w:before="120" w:after="120"/>
              <w:jc w:val="right"/>
              <w:rPr>
                <w:sz w:val="18"/>
                <w:szCs w:val="18"/>
              </w:rPr>
            </w:pPr>
          </w:p>
        </w:tc>
      </w:tr>
      <w:tr w:rsidR="0000738B" w:rsidRPr="00CB239D" w14:paraId="79F89CE0" w14:textId="77777777" w:rsidTr="004F60A2">
        <w:tc>
          <w:tcPr>
            <w:tcW w:w="10421" w:type="dxa"/>
            <w:shd w:val="clear" w:color="auto" w:fill="E6E6E6"/>
          </w:tcPr>
          <w:p w14:paraId="2DCA62E6" w14:textId="77777777" w:rsidR="0000738B" w:rsidRPr="00CB239D" w:rsidRDefault="0000738B" w:rsidP="004F60A2">
            <w:pPr>
              <w:spacing w:before="120" w:after="120"/>
              <w:rPr>
                <w:sz w:val="18"/>
                <w:szCs w:val="18"/>
              </w:rPr>
            </w:pPr>
            <w:r w:rsidRPr="00CB239D">
              <w:rPr>
                <w:b/>
                <w:sz w:val="18"/>
                <w:szCs w:val="18"/>
              </w:rPr>
              <w:t>Outcome Measures</w:t>
            </w:r>
          </w:p>
          <w:p w14:paraId="4840D357" w14:textId="77777777" w:rsidR="0000738B" w:rsidRPr="00CB239D" w:rsidRDefault="0000738B" w:rsidP="004F60A2">
            <w:pPr>
              <w:spacing w:before="120" w:after="120"/>
              <w:rPr>
                <w:sz w:val="18"/>
                <w:szCs w:val="18"/>
              </w:rPr>
            </w:pPr>
            <w:r w:rsidRPr="00CB239D">
              <w:rPr>
                <w:sz w:val="18"/>
                <w:szCs w:val="18"/>
              </w:rPr>
              <w:t>[Give details of each measure, maximum possible score and range for each measure, administered by whom, where]</w:t>
            </w:r>
          </w:p>
        </w:tc>
      </w:tr>
      <w:tr w:rsidR="0000738B" w:rsidRPr="00CB239D" w14:paraId="10BFD361" w14:textId="77777777" w:rsidTr="004F60A2">
        <w:tc>
          <w:tcPr>
            <w:tcW w:w="10421" w:type="dxa"/>
            <w:tcBorders>
              <w:bottom w:val="single" w:sz="4" w:space="0" w:color="auto"/>
            </w:tcBorders>
            <w:shd w:val="clear" w:color="auto" w:fill="auto"/>
          </w:tcPr>
          <w:p w14:paraId="1D238DE1" w14:textId="24CB1F0B" w:rsidR="001256AC" w:rsidRPr="00CB239D" w:rsidRDefault="001256AC" w:rsidP="001256AC">
            <w:pPr>
              <w:rPr>
                <w:b/>
                <w:sz w:val="18"/>
                <w:szCs w:val="18"/>
              </w:rPr>
            </w:pPr>
            <w:r w:rsidRPr="00CB239D">
              <w:rPr>
                <w:b/>
                <w:sz w:val="18"/>
                <w:szCs w:val="18"/>
              </w:rPr>
              <w:t>Primary outcomes</w:t>
            </w:r>
          </w:p>
          <w:p w14:paraId="033AEAFF" w14:textId="7217BF2A" w:rsidR="005501C8" w:rsidRPr="00CB239D" w:rsidRDefault="005501C8" w:rsidP="005501C8">
            <w:pPr>
              <w:pStyle w:val="ListParagraph"/>
              <w:numPr>
                <w:ilvl w:val="0"/>
                <w:numId w:val="30"/>
              </w:numPr>
              <w:rPr>
                <w:rFonts w:ascii="Verdana" w:hAnsi="Verdana"/>
                <w:sz w:val="18"/>
                <w:szCs w:val="18"/>
              </w:rPr>
            </w:pPr>
            <w:r w:rsidRPr="00CB239D">
              <w:rPr>
                <w:rFonts w:ascii="Verdana" w:hAnsi="Verdana"/>
                <w:b/>
                <w:sz w:val="18"/>
                <w:szCs w:val="18"/>
              </w:rPr>
              <w:t>Visual Analog Scale (VAS) for Pain</w:t>
            </w:r>
            <w:r w:rsidRPr="00CB239D">
              <w:rPr>
                <w:rFonts w:ascii="Verdana" w:hAnsi="Verdana"/>
                <w:sz w:val="18"/>
                <w:szCs w:val="18"/>
              </w:rPr>
              <w:t xml:space="preserve"> (90%)</w:t>
            </w:r>
          </w:p>
          <w:p w14:paraId="0655D7A9" w14:textId="2DE9E954" w:rsidR="005501C8" w:rsidRPr="00CB239D" w:rsidRDefault="005501C8" w:rsidP="005501C8">
            <w:pPr>
              <w:pStyle w:val="ListParagraph"/>
              <w:numPr>
                <w:ilvl w:val="0"/>
                <w:numId w:val="19"/>
              </w:numPr>
              <w:spacing w:before="120" w:after="120"/>
              <w:rPr>
                <w:rFonts w:ascii="Verdana" w:hAnsi="Verdana"/>
                <w:sz w:val="18"/>
                <w:szCs w:val="18"/>
              </w:rPr>
            </w:pPr>
            <w:r w:rsidRPr="00CB239D">
              <w:rPr>
                <w:rFonts w:ascii="Verdana" w:hAnsi="Verdana"/>
                <w:sz w:val="18"/>
                <w:szCs w:val="18"/>
              </w:rPr>
              <w:t>A unidimensional measure of pain that uses a continuum of values to rate pain from none to worse possible pain</w:t>
            </w:r>
            <w:r w:rsidR="00DE36F2" w:rsidRPr="00DE36F2">
              <w:rPr>
                <w:rFonts w:ascii="Verdana" w:hAnsi="Verdana"/>
                <w:sz w:val="18"/>
                <w:szCs w:val="18"/>
                <w:vertAlign w:val="superscript"/>
              </w:rPr>
              <w:t>24</w:t>
            </w:r>
            <w:r w:rsidR="00DE36F2">
              <w:rPr>
                <w:rFonts w:ascii="Verdana" w:hAnsi="Verdana"/>
                <w:sz w:val="18"/>
                <w:szCs w:val="18"/>
              </w:rPr>
              <w:t>.</w:t>
            </w:r>
            <w:r w:rsidRPr="00CB239D">
              <w:rPr>
                <w:rFonts w:ascii="Verdana" w:hAnsi="Verdana"/>
                <w:sz w:val="18"/>
                <w:szCs w:val="18"/>
              </w:rPr>
              <w:t xml:space="preserve"> This spectrum allows user to rate their pain without using categories</w:t>
            </w:r>
            <w:r w:rsidR="00DE36F2" w:rsidRPr="00DE36F2">
              <w:rPr>
                <w:rFonts w:ascii="Verdana" w:hAnsi="Verdana"/>
                <w:sz w:val="18"/>
                <w:szCs w:val="18"/>
                <w:vertAlign w:val="superscript"/>
              </w:rPr>
              <w:t>24</w:t>
            </w:r>
            <w:r w:rsidR="00DE36F2">
              <w:rPr>
                <w:rFonts w:ascii="Verdana" w:hAnsi="Verdana"/>
                <w:sz w:val="18"/>
                <w:szCs w:val="18"/>
              </w:rPr>
              <w:t>.</w:t>
            </w:r>
            <w:r w:rsidR="00DE36F2" w:rsidRPr="00CB239D">
              <w:rPr>
                <w:rFonts w:ascii="Verdana" w:hAnsi="Verdana"/>
                <w:sz w:val="18"/>
                <w:szCs w:val="18"/>
              </w:rPr>
              <w:t xml:space="preserve"> </w:t>
            </w:r>
            <w:r w:rsidRPr="00CB239D">
              <w:rPr>
                <w:rFonts w:ascii="Verdana" w:hAnsi="Verdana"/>
                <w:sz w:val="18"/>
                <w:szCs w:val="18"/>
              </w:rPr>
              <w:t xml:space="preserve">Score is made by measuring the distance, using mm, between the no pain </w:t>
            </w:r>
            <w:proofErr w:type="gramStart"/>
            <w:r w:rsidRPr="00CB239D">
              <w:rPr>
                <w:rFonts w:ascii="Verdana" w:hAnsi="Verdana"/>
                <w:sz w:val="18"/>
                <w:szCs w:val="18"/>
              </w:rPr>
              <w:t>line</w:t>
            </w:r>
            <w:proofErr w:type="gramEnd"/>
            <w:r w:rsidRPr="00CB239D">
              <w:rPr>
                <w:rFonts w:ascii="Verdana" w:hAnsi="Verdana"/>
                <w:sz w:val="18"/>
                <w:szCs w:val="18"/>
              </w:rPr>
              <w:t xml:space="preserve"> to the patient’s mark. The longer the distance, the worse the pain.</w:t>
            </w:r>
          </w:p>
          <w:p w14:paraId="2A453B3A" w14:textId="17B7FF81" w:rsidR="00142FB1" w:rsidRPr="00CB239D" w:rsidRDefault="00142FB1" w:rsidP="00142FB1">
            <w:pPr>
              <w:pStyle w:val="ListParagraph"/>
              <w:numPr>
                <w:ilvl w:val="0"/>
                <w:numId w:val="19"/>
              </w:numPr>
              <w:spacing w:before="120" w:after="120"/>
              <w:rPr>
                <w:rFonts w:ascii="Verdana" w:hAnsi="Verdana"/>
                <w:sz w:val="18"/>
                <w:szCs w:val="18"/>
              </w:rPr>
            </w:pPr>
            <w:r w:rsidRPr="00CB239D">
              <w:rPr>
                <w:rFonts w:ascii="Verdana" w:hAnsi="Verdana"/>
                <w:sz w:val="18"/>
                <w:szCs w:val="18"/>
              </w:rPr>
              <w:t>MCID 30.0mm on a 100.0 mm scale or 3/10</w:t>
            </w:r>
            <w:r w:rsidRPr="00CB239D">
              <w:rPr>
                <w:rFonts w:ascii="Verdana" w:hAnsi="Verdana"/>
                <w:sz w:val="18"/>
                <w:szCs w:val="18"/>
              </w:rPr>
              <w:fldChar w:fldCharType="begin"/>
            </w:r>
            <w:r w:rsidR="00CB239D">
              <w:rPr>
                <w:rFonts w:ascii="Verdana" w:hAnsi="Verdana"/>
                <w:sz w:val="18"/>
                <w:szCs w:val="18"/>
              </w:rPr>
              <w:instrText>ADDIN F1000_CSL_CITATION&lt;~#@#~&gt;[{"First":false,"Last":false,"PMID":"14525749","abstract":"&lt;strong&gt;OBJECTIVES:&lt;/strong&gt; To define the minimum clinically important difference (MCID) for the visual analog scale (VAS) of pain severity by measuring the change in VAS associated with adequate pain control.&lt;br&gt;&lt;br&gt;&lt;strong&gt;METHODS:&lt;/strong&gt; The authors conducted a prospective, observational study. Adult emergency department (ED) patients with acute pain (&lt; 72 hours) were eligible. Patients rated their pain severity on a 100-mm VAS on presentation and at discharge. Patients were asked if they would accept any analgesic, then if they would accept a parenteral analgesic before treatment. At discharge, they were asked whether they had received adequate pain control.&lt;br&gt;&lt;br&gt;&lt;strong&gt;RESULTS:&lt;/strong&gt; The authors enrolled 143 patients (mean age, 36 years; 54% female). The mean decrease in VAS was -30.0 mm (95% confidence interval [CI] = -36.4 to -23.6) for the 116 of 143 (81%) patients with adequate pain control at discharge vs. -5.7 (95% CI = -11.2 to -0.3) for the 27 with inadequate pain control (p &lt;  0.001). At discharge, the mean VAS was 31.3 mm for those with adequate pain control vs. 55.1 for those without. Mean VAS for the 114 of 143 patients who would accept any analgesics initially was 64.7 vs. 47.1 for the 29 reporting no analgesic need. Initially, 77 patients would accept parenteral analgesics (mean VAS = 72.5 mm).&lt;br&gt;&lt;br&gt;&lt;strong&gt;CONCLUSIONS:&lt;/strong&gt; A mean reduction in VAS of 30.0 mm represents a clinically important difference in pain severity that corresponds to patients' perception of adequate pain control. Defining MCID based on adequate analgesic control rather than minimal detectable change may be more appropriate for future analgesic trials, when effective treatments for acute pain exist.","author":[{"family":"Lee","given":"Jacques Simon"},{"family":"Hobden","given":"Elisabeth"},{"family":"Stiell","given":"Ian G"},{"family":"Wells","given":"George A"}],"authorYearDisplayFormat":false,"citation-label":"4504886","container-title":"Academic Emergency Medicine","container-title-short":"Acad Emerg Med","id":"4504886","invisible":false,"issue":"10","issued":{"date-parts":[["2003","10"]]},"journalAbbreviation":"Acad Emerg Med","page":"1128-1130","suppress-author":false,"title":"Clinically important change in the visual analog scale after adequate pain control.","type":"article-journal","volume":"10"}]</w:instrText>
            </w:r>
            <w:r w:rsidRPr="00CB239D">
              <w:rPr>
                <w:rFonts w:ascii="Verdana" w:hAnsi="Verdana"/>
                <w:sz w:val="18"/>
                <w:szCs w:val="18"/>
              </w:rPr>
              <w:fldChar w:fldCharType="separate"/>
            </w:r>
            <w:r w:rsidR="00CB239D" w:rsidRPr="00CB239D">
              <w:rPr>
                <w:rFonts w:ascii="Verdana" w:hAnsi="Verdana"/>
                <w:noProof/>
                <w:sz w:val="18"/>
                <w:szCs w:val="18"/>
                <w:vertAlign w:val="superscript"/>
              </w:rPr>
              <w:t>13</w:t>
            </w:r>
            <w:r w:rsidRPr="00CB239D">
              <w:rPr>
                <w:rFonts w:ascii="Verdana" w:hAnsi="Verdana"/>
                <w:sz w:val="18"/>
                <w:szCs w:val="18"/>
              </w:rPr>
              <w:fldChar w:fldCharType="end"/>
            </w:r>
          </w:p>
          <w:p w14:paraId="263F2984" w14:textId="77777777" w:rsidR="005501C8" w:rsidRPr="00CB239D" w:rsidRDefault="005501C8" w:rsidP="005501C8">
            <w:pPr>
              <w:pStyle w:val="ListParagraph"/>
              <w:spacing w:before="120" w:after="120"/>
              <w:rPr>
                <w:rFonts w:ascii="Verdana" w:hAnsi="Verdana"/>
                <w:sz w:val="18"/>
                <w:szCs w:val="18"/>
              </w:rPr>
            </w:pPr>
          </w:p>
          <w:p w14:paraId="6028837C" w14:textId="140D97C3" w:rsidR="005501C8" w:rsidRPr="00CB239D" w:rsidRDefault="005501C8" w:rsidP="005501C8">
            <w:pPr>
              <w:pStyle w:val="ListParagraph"/>
              <w:numPr>
                <w:ilvl w:val="0"/>
                <w:numId w:val="19"/>
              </w:numPr>
              <w:spacing w:before="120" w:after="120"/>
              <w:rPr>
                <w:rFonts w:ascii="Verdana" w:hAnsi="Verdana"/>
                <w:b/>
                <w:sz w:val="18"/>
                <w:szCs w:val="18"/>
              </w:rPr>
            </w:pPr>
            <w:r w:rsidRPr="00CB239D">
              <w:rPr>
                <w:rFonts w:ascii="Verdana" w:hAnsi="Verdana"/>
                <w:b/>
                <w:sz w:val="18"/>
                <w:szCs w:val="18"/>
              </w:rPr>
              <w:t xml:space="preserve">Orthopaedic Foot and Ankle Society (AOFAS) Ankle and Hindfoot Scale </w:t>
            </w:r>
            <w:r w:rsidRPr="00CB239D">
              <w:rPr>
                <w:rFonts w:ascii="Verdana" w:hAnsi="Verdana"/>
                <w:sz w:val="18"/>
                <w:szCs w:val="18"/>
              </w:rPr>
              <w:t>(60%)</w:t>
            </w:r>
          </w:p>
          <w:p w14:paraId="4AFA404D" w14:textId="1B38CEAC" w:rsidR="00142FB1" w:rsidRPr="00CB239D" w:rsidRDefault="005501C8" w:rsidP="00142FB1">
            <w:pPr>
              <w:pStyle w:val="ListParagraph"/>
              <w:numPr>
                <w:ilvl w:val="0"/>
                <w:numId w:val="19"/>
              </w:numPr>
              <w:spacing w:before="120" w:after="120"/>
              <w:rPr>
                <w:rFonts w:ascii="Verdana" w:hAnsi="Verdana"/>
                <w:sz w:val="18"/>
                <w:szCs w:val="18"/>
              </w:rPr>
            </w:pPr>
            <w:r w:rsidRPr="00CB239D">
              <w:rPr>
                <w:rFonts w:ascii="Verdana" w:hAnsi="Verdana"/>
                <w:sz w:val="18"/>
                <w:szCs w:val="18"/>
              </w:rPr>
              <w:t>This outcome measure assesses the ankle using both a patient report (subjective) and clinician report (objective) sections</w:t>
            </w:r>
            <w:r w:rsidRPr="00CB239D">
              <w:rPr>
                <w:rFonts w:ascii="Verdana" w:hAnsi="Verdana"/>
                <w:sz w:val="18"/>
                <w:szCs w:val="18"/>
              </w:rPr>
              <w:fldChar w:fldCharType="begin"/>
            </w:r>
            <w:r w:rsidR="00CB239D">
              <w:rPr>
                <w:rFonts w:ascii="Verdana" w:hAnsi="Verdana"/>
                <w:sz w:val="18"/>
                <w:szCs w:val="18"/>
              </w:rPr>
              <w:instrText>ADDIN F1000_CSL_CITATION&lt;~#@#~&gt;[{"DOI":"10.1136/bmjopen-2016-012884","First":false,"Last":false,"PMCID":"PMC5337732","PMID":"28242768","abstract":"&lt;strong&gt;INTRODUCTION:&lt;/strong&gt; The American Orthopaedic Foot and Ankle Society (AOFAS) Ankle-Hindfoot Score is among the most commonly used instruments for measuring the outcome of treatment in patients who sustained a complex ankle or hindfoot injury. It combines a clinician-reported and a patient-reported part. A valid Dutch version of this instrument is currently not available. Such a translated and validated instrument would allow objective comparison across hospitals or between patient groups, and with shown validity and reliability it may become a quality of care indicator in future. The main aims of this study are to translate and culturally adapt the AOFAS Ankle-Hindfoot Score questionnaire into Dutch according to international guidelines, and to evaluate the measurement properties of the AOFAS Ankle-Hindfoot Score-Dutch language version (DLV) in patients with a unilateral ankle or hindfoot fracture.&lt;br&gt;&lt;br&gt;&lt;strong&gt;METHODS AND ANALYSIS:&lt;/strong&gt; The design of the study will be a multicentre prospective observational study (case series) in patients who presented to the emergency department with a unilateral ankle or hindfoot fracture or (fracture) dislocation. A research physician or research assistant will complete the AOFAS Ankle-Hindfoot Score-DLV based on interview for the subjective part and a physical examination for the objective part. In addition, patients will be asked to complete the Foot Function Index (FFI) and the Short Form-36 (SF-36). Descriptive statistics (including floor and ceiling effects), internal consistency, construct validity, reproducibility (ie, test-retest reliability, agreement and smallest detectable change) and responsiveness will be assessed for the AOFAS DLV.&lt;br&gt;&lt;br&gt;&lt;strong&gt;ETHICS AND DISSEMINATION:&lt;/strong&gt; This study has been exempted by the Medical Research Ethics Committee (MREC) Erasmus MC (Rotterdam, the Netherlands). Each participant will provide written consent to participate and remain anonymised during the study. The results of the study are planned to be published in an international, peer-reviewed journal.&lt;br&gt;&lt;br&gt;&lt;strong&gt;TRIAL REGISTRATION NUMBER:&lt;/strong&gt; NTR5613. pre-result.&lt;br&gt;&lt;br&gt;Published by the BMJ Publishing Group Limited. For permission to use (where not already granted under a licence) please go to http://www.bmj.com/company/products-services/rights-and-licensing/.","author":[{"family":"Van Lieshout","given":"Esther M M"},{"family":"De Boer","given":"A Siebe"},{"family":"Meuffels","given":"Duncan E"},{"family":"Den Hoed","given":"P Ted"},{"family":"Van der Vlies","given":"Cornelis H"},{"family":"Tuinebreijer","given":"Wim E"},{"family":"Verhofstad","given":"Michael H J"}],"authorYearDisplayFormat":false,"citation-label":"4470098","container-title":"BMJ open","container-title-short":"BMJ Open","id":"4470098","invisible":false,"issue":"2","issued":{"date-parts":[["2017","2","27"]]},"journalAbbreviation":"BMJ Open","page":"e012884","suppress-author":false,"title":"American Orthopaedic Foot and Ankle Society (AOFAS) Ankle-Hindfoot Score: a study protocol for the translation and validation of the Dutch language version.","type":"article-journal","volume":"7"}]</w:instrText>
            </w:r>
            <w:r w:rsidRPr="00CB239D">
              <w:rPr>
                <w:rFonts w:ascii="Verdana" w:hAnsi="Verdana"/>
                <w:sz w:val="18"/>
                <w:szCs w:val="18"/>
              </w:rPr>
              <w:fldChar w:fldCharType="separate"/>
            </w:r>
            <w:r w:rsidR="00CB239D" w:rsidRPr="00CB239D">
              <w:rPr>
                <w:rFonts w:ascii="Verdana" w:hAnsi="Verdana"/>
                <w:noProof/>
                <w:sz w:val="18"/>
                <w:szCs w:val="18"/>
                <w:vertAlign w:val="superscript"/>
              </w:rPr>
              <w:t>14</w:t>
            </w:r>
            <w:r w:rsidRPr="00CB239D">
              <w:rPr>
                <w:rFonts w:ascii="Verdana" w:hAnsi="Verdana"/>
                <w:sz w:val="18"/>
                <w:szCs w:val="18"/>
              </w:rPr>
              <w:fldChar w:fldCharType="end"/>
            </w:r>
            <w:r w:rsidRPr="00CB239D">
              <w:rPr>
                <w:rFonts w:ascii="Verdana" w:hAnsi="Verdana"/>
                <w:sz w:val="18"/>
                <w:szCs w:val="18"/>
              </w:rPr>
              <w:t>. AOFAS is comprised of 3 sections that include pain (40 points), function (50 points), and alignment (10 points). Measure is scored out of 100 points and higher the score</w:t>
            </w:r>
            <w:r w:rsidR="00C3356C" w:rsidRPr="00CB239D">
              <w:rPr>
                <w:rFonts w:ascii="Verdana" w:hAnsi="Verdana"/>
                <w:sz w:val="18"/>
                <w:szCs w:val="18"/>
              </w:rPr>
              <w:t>,</w:t>
            </w:r>
            <w:r w:rsidRPr="00CB239D">
              <w:rPr>
                <w:rFonts w:ascii="Verdana" w:hAnsi="Verdana"/>
                <w:sz w:val="18"/>
                <w:szCs w:val="18"/>
              </w:rPr>
              <w:t xml:space="preserve"> the less impairment/pain</w:t>
            </w:r>
            <w:r w:rsidR="00DE36F2" w:rsidRPr="00CB239D">
              <w:rPr>
                <w:rFonts w:ascii="Verdana" w:hAnsi="Verdana"/>
                <w:sz w:val="18"/>
                <w:szCs w:val="18"/>
              </w:rPr>
              <w:fldChar w:fldCharType="begin"/>
            </w:r>
            <w:r w:rsidR="00DE36F2">
              <w:rPr>
                <w:rFonts w:ascii="Verdana" w:hAnsi="Verdana"/>
                <w:sz w:val="18"/>
                <w:szCs w:val="18"/>
              </w:rPr>
              <w:instrText>ADDIN F1000_CSL_CITATION&lt;~#@#~&gt;[{"DOI":"10.1136/bmjopen-2016-012884","First":false,"Last":false,"PMCID":"PMC5337732","PMID":"28242768","abstract":"&lt;strong&gt;INTRODUCTION:&lt;/strong&gt; The American Orthopaedic Foot and Ankle Society (AOFAS) Ankle-Hindfoot Score is among the most commonly used instruments for measuring the outcome of treatment in patients who sustained a complex ankle or hindfoot injury. It combines a clinician-reported and a patient-reported part. A valid Dutch version of this instrument is currently not available. Such a translated and validated instrument would allow objective comparison across hospitals or between patient groups, and with shown validity and reliability it may become a quality of care indicator in future. The main aims of this study are to translate and culturally adapt the AOFAS Ankle-Hindfoot Score questionnaire into Dutch according to international guidelines, and to evaluate the measurement properties of the AOFAS Ankle-Hindfoot Score-Dutch language version (DLV) in patients with a unilateral ankle or hindfoot fracture.&lt;br&gt;&lt;br&gt;&lt;strong&gt;METHODS AND ANALYSIS:&lt;/strong&gt; The design of the study will be a multicentre prospective observational study (case series) in patients who presented to the emergency department with a unilateral ankle or hindfoot fracture or (fracture) dislocation. A research physician or research assistant will complete the AOFAS Ankle-Hindfoot Score-DLV based on interview for the subjective part and a physical examination for the objective part. In addition, patients will be asked to complete the Foot Function Index (FFI) and the Short Form-36 (SF-36). Descriptive statistics (including floor and ceiling effects), internal consistency, construct validity, reproducibility (ie, test-retest reliability, agreement and smallest detectable change) and responsiveness will be assessed for the AOFAS DLV.&lt;br&gt;&lt;br&gt;&lt;strong&gt;ETHICS AND DISSEMINATION:&lt;/strong&gt; This study has been exempted by the Medical Research Ethics Committee (MREC) Erasmus MC (Rotterdam, the Netherlands). Each participant will provide written consent to participate and remain anonymised during the study. The results of the study are planned to be published in an international, peer-reviewed journal.&lt;br&gt;&lt;br&gt;&lt;strong&gt;TRIAL REGISTRATION NUMBER:&lt;/strong&gt; NTR5613. pre-result.&lt;br&gt;&lt;br&gt;Published by the BMJ Publishing Group Limited. For permission to use (where not already granted under a licence) please go to http://www.bmj.com/company/products-services/rights-and-licensing/.","author":[{"family":"Van Lieshout","given":"Esther M M"},{"family":"De Boer","given":"A Siebe"},{"family":"Meuffels","given":"Duncan E"},{"family":"Den Hoed","given":"P Ted"},{"family":"Van der Vlies","given":"Cornelis H"},{"family":"Tuinebreijer","given":"Wim E"},{"family":"Verhofstad","given":"Michael H J"}],"authorYearDisplayFormat":false,"citation-label":"4470098","container-title":"BMJ open","container-title-short":"BMJ Open","id":"4470098","invisible":false,"issue":"2","issued":{"date-parts":[["2017","2","27"]]},"journalAbbreviation":"BMJ Open","page":"e012884","suppress-author":false,"title":"American Orthopaedic Foot and Ankle Society (AOFAS) Ankle-Hindfoot Score: a study protocol for the translation and validation of the Dutch language version.","type":"article-journal","volume":"7"}]</w:instrText>
            </w:r>
            <w:r w:rsidR="00DE36F2" w:rsidRPr="00CB239D">
              <w:rPr>
                <w:rFonts w:ascii="Verdana" w:hAnsi="Verdana"/>
                <w:sz w:val="18"/>
                <w:szCs w:val="18"/>
              </w:rPr>
              <w:fldChar w:fldCharType="separate"/>
            </w:r>
            <w:r w:rsidR="00DE36F2" w:rsidRPr="00CB239D">
              <w:rPr>
                <w:rFonts w:ascii="Verdana" w:hAnsi="Verdana"/>
                <w:noProof/>
                <w:sz w:val="18"/>
                <w:szCs w:val="18"/>
                <w:vertAlign w:val="superscript"/>
              </w:rPr>
              <w:t>14</w:t>
            </w:r>
            <w:r w:rsidR="00DE36F2" w:rsidRPr="00CB239D">
              <w:rPr>
                <w:rFonts w:ascii="Verdana" w:hAnsi="Verdana"/>
                <w:sz w:val="18"/>
                <w:szCs w:val="18"/>
              </w:rPr>
              <w:fldChar w:fldCharType="end"/>
            </w:r>
            <w:r w:rsidR="00DE36F2" w:rsidRPr="00CB239D">
              <w:rPr>
                <w:rFonts w:ascii="Verdana" w:hAnsi="Verdana"/>
                <w:sz w:val="18"/>
                <w:szCs w:val="18"/>
              </w:rPr>
              <w:t xml:space="preserve">. </w:t>
            </w:r>
          </w:p>
          <w:p w14:paraId="0A42BB65" w14:textId="019555B5" w:rsidR="00142FB1" w:rsidRPr="00CB239D" w:rsidRDefault="00142FB1" w:rsidP="00142FB1">
            <w:pPr>
              <w:pStyle w:val="ListParagraph"/>
              <w:numPr>
                <w:ilvl w:val="0"/>
                <w:numId w:val="19"/>
              </w:numPr>
              <w:spacing w:before="120" w:after="120"/>
              <w:rPr>
                <w:rFonts w:ascii="Verdana" w:hAnsi="Verdana"/>
                <w:sz w:val="18"/>
                <w:szCs w:val="18"/>
              </w:rPr>
            </w:pPr>
            <w:r w:rsidRPr="00CB239D">
              <w:rPr>
                <w:rFonts w:ascii="Verdana" w:hAnsi="Verdana" w:cs="Arial"/>
                <w:color w:val="000000"/>
                <w:sz w:val="18"/>
                <w:szCs w:val="18"/>
                <w:shd w:val="clear" w:color="auto" w:fill="FFFFFF"/>
              </w:rPr>
              <w:t>MCID 7.9</w:t>
            </w:r>
            <w:r w:rsidRPr="00CB239D">
              <w:rPr>
                <w:rFonts w:ascii="Verdana" w:hAnsi="Verdana" w:cs="Arial"/>
                <w:color w:val="000000"/>
                <w:sz w:val="18"/>
                <w:szCs w:val="18"/>
                <w:shd w:val="clear" w:color="auto" w:fill="FFFFFF"/>
              </w:rPr>
              <w:fldChar w:fldCharType="begin"/>
            </w:r>
            <w:r w:rsidR="00CB239D">
              <w:rPr>
                <w:rFonts w:ascii="Verdana" w:hAnsi="Verdana" w:cs="Arial"/>
                <w:color w:val="000000"/>
                <w:sz w:val="18"/>
                <w:szCs w:val="18"/>
                <w:shd w:val="clear" w:color="auto" w:fill="FFFFFF"/>
              </w:rPr>
              <w:instrText>ADDIN F1000_CSL_CITATION&lt;~#@#~&gt;[{"DOI":"10.1177/1071100716688724","First":false,"Last":false,"PMID":"28193121","author":[{"family":"Chan","given":"Hiok Yang"},{"family":"Chen","given":"Jerry Yongqiang"},{"family":"Zainul-Abidin","given":"Suraya"},{"family":"Ying","given":"Hao"},{"family":"Koo","given":"Kevin"},{"family":"Rikhraj","given":"Inderjeet Singh"}],"authorYearDisplayFormat":false,"citation-label":"4504912","container-title":"Foot &amp; Ankle International","container-title-short":"Foot Ankle Int","id":"4504912","invisible":false,"issue":"5","issued":{"date-parts":[["2017","5"]]},"journalAbbreviation":"Foot Ankle Int","page":"551-557","suppress-author":false,"title":"Minimal clinically important differences for american orthopaedic foot &amp; ankle society score in hallux valgus surgery.","type":"article-journal","volume":"38"}]</w:instrText>
            </w:r>
            <w:r w:rsidRPr="00CB239D">
              <w:rPr>
                <w:rFonts w:ascii="Verdana" w:hAnsi="Verdana" w:cs="Arial"/>
                <w:color w:val="000000"/>
                <w:sz w:val="18"/>
                <w:szCs w:val="18"/>
                <w:shd w:val="clear" w:color="auto" w:fill="FFFFFF"/>
              </w:rPr>
              <w:fldChar w:fldCharType="separate"/>
            </w:r>
            <w:r w:rsidR="00CB239D" w:rsidRPr="00CB239D">
              <w:rPr>
                <w:rFonts w:ascii="Verdana" w:hAnsi="Verdana" w:cs="Arial"/>
                <w:noProof/>
                <w:color w:val="000000"/>
                <w:sz w:val="18"/>
                <w:szCs w:val="18"/>
                <w:shd w:val="clear" w:color="auto" w:fill="FFFFFF"/>
                <w:vertAlign w:val="superscript"/>
              </w:rPr>
              <w:t>15</w:t>
            </w:r>
            <w:r w:rsidRPr="00CB239D">
              <w:rPr>
                <w:rFonts w:ascii="Verdana" w:hAnsi="Verdana" w:cs="Arial"/>
                <w:color w:val="000000"/>
                <w:sz w:val="18"/>
                <w:szCs w:val="18"/>
                <w:shd w:val="clear" w:color="auto" w:fill="FFFFFF"/>
              </w:rPr>
              <w:fldChar w:fldCharType="end"/>
            </w:r>
          </w:p>
          <w:p w14:paraId="72EF8F11" w14:textId="77777777" w:rsidR="00142FB1" w:rsidRPr="00CB239D" w:rsidRDefault="00142FB1" w:rsidP="00C3356C">
            <w:pPr>
              <w:pStyle w:val="ListParagraph"/>
              <w:spacing w:before="120" w:after="120"/>
              <w:rPr>
                <w:rFonts w:ascii="Verdana" w:hAnsi="Verdana"/>
                <w:sz w:val="18"/>
                <w:szCs w:val="18"/>
              </w:rPr>
            </w:pPr>
          </w:p>
          <w:p w14:paraId="30EB0FE5" w14:textId="49669B08" w:rsidR="001256AC" w:rsidRPr="00CB239D" w:rsidRDefault="001256AC" w:rsidP="001256AC">
            <w:pPr>
              <w:pStyle w:val="ListParagraph"/>
              <w:numPr>
                <w:ilvl w:val="0"/>
                <w:numId w:val="19"/>
              </w:numPr>
              <w:spacing w:before="120" w:after="120"/>
              <w:rPr>
                <w:rFonts w:ascii="Verdana" w:hAnsi="Verdana"/>
                <w:b/>
                <w:sz w:val="18"/>
                <w:szCs w:val="18"/>
              </w:rPr>
            </w:pPr>
            <w:r w:rsidRPr="00CB239D">
              <w:rPr>
                <w:rFonts w:ascii="Verdana" w:hAnsi="Verdana"/>
                <w:b/>
                <w:sz w:val="18"/>
                <w:szCs w:val="18"/>
              </w:rPr>
              <w:t>Foot and Ankle Disability Index</w:t>
            </w:r>
            <w:r w:rsidR="00923B52" w:rsidRPr="00CB239D">
              <w:rPr>
                <w:rFonts w:ascii="Verdana" w:hAnsi="Verdana"/>
                <w:b/>
                <w:sz w:val="18"/>
                <w:szCs w:val="18"/>
              </w:rPr>
              <w:t xml:space="preserve"> (FADI)</w:t>
            </w:r>
            <w:r w:rsidRPr="00CB239D">
              <w:rPr>
                <w:rFonts w:ascii="Verdana" w:hAnsi="Verdana"/>
                <w:b/>
                <w:sz w:val="18"/>
                <w:szCs w:val="18"/>
              </w:rPr>
              <w:t xml:space="preserve"> </w:t>
            </w:r>
            <w:r w:rsidRPr="00CB239D">
              <w:rPr>
                <w:rFonts w:ascii="Verdana" w:hAnsi="Verdana"/>
                <w:sz w:val="18"/>
                <w:szCs w:val="18"/>
              </w:rPr>
              <w:t>(20%)</w:t>
            </w:r>
          </w:p>
          <w:p w14:paraId="068DAA04" w14:textId="4E166A00" w:rsidR="00923B52" w:rsidRPr="00CB239D" w:rsidRDefault="00923B52" w:rsidP="001256AC">
            <w:pPr>
              <w:pStyle w:val="ListParagraph"/>
              <w:numPr>
                <w:ilvl w:val="0"/>
                <w:numId w:val="19"/>
              </w:numPr>
              <w:spacing w:before="120" w:after="120"/>
              <w:rPr>
                <w:rFonts w:ascii="Verdana" w:hAnsi="Verdana"/>
                <w:sz w:val="18"/>
                <w:szCs w:val="18"/>
              </w:rPr>
            </w:pPr>
            <w:r w:rsidRPr="00CB239D">
              <w:rPr>
                <w:rFonts w:ascii="Verdana" w:hAnsi="Verdana"/>
                <w:sz w:val="18"/>
                <w:szCs w:val="18"/>
              </w:rPr>
              <w:t>The FADI is a patient questionnaire that includes 26 questions that are focused on pain and functional capability</w:t>
            </w:r>
            <w:r w:rsidRPr="00CB239D">
              <w:rPr>
                <w:rFonts w:ascii="Verdana" w:hAnsi="Verdana"/>
                <w:sz w:val="18"/>
                <w:szCs w:val="18"/>
              </w:rPr>
              <w:fldChar w:fldCharType="begin"/>
            </w:r>
            <w:r w:rsidR="00CB239D">
              <w:rPr>
                <w:rFonts w:ascii="Verdana" w:hAnsi="Verdana"/>
                <w:sz w:val="18"/>
                <w:szCs w:val="18"/>
              </w:rPr>
              <w:instrText>ADDIN F1000_CSL_CITATION&lt;~#@#~&gt;[{"First":false,"Last":false,"URL":"https://www.physio-pedia.com/Foot_and_Ankle_Disability_Index","accessed":{"date-parts":[["2017","11","12"]]},"authorYearDisplayFormat":false,"citation-label":"4489727","id":"4489727","invisible":false,"issued":{"date-parts":[[]]},"suppress-author":false,"title":"Foot and Ankle Disability Index - Physiopedia","type":"webpage"}]</w:instrText>
            </w:r>
            <w:r w:rsidRPr="00CB239D">
              <w:rPr>
                <w:rFonts w:ascii="Verdana" w:hAnsi="Verdana"/>
                <w:sz w:val="18"/>
                <w:szCs w:val="18"/>
              </w:rPr>
              <w:fldChar w:fldCharType="separate"/>
            </w:r>
            <w:r w:rsidR="00CB239D" w:rsidRPr="00CB239D">
              <w:rPr>
                <w:rFonts w:ascii="Verdana" w:hAnsi="Verdana"/>
                <w:noProof/>
                <w:sz w:val="18"/>
                <w:szCs w:val="18"/>
                <w:vertAlign w:val="superscript"/>
              </w:rPr>
              <w:t>17</w:t>
            </w:r>
            <w:r w:rsidRPr="00CB239D">
              <w:rPr>
                <w:rFonts w:ascii="Verdana" w:hAnsi="Verdana"/>
                <w:sz w:val="18"/>
                <w:szCs w:val="18"/>
              </w:rPr>
              <w:fldChar w:fldCharType="end"/>
            </w:r>
            <w:r w:rsidR="00DE36F2">
              <w:rPr>
                <w:rFonts w:ascii="Verdana" w:hAnsi="Verdana"/>
                <w:sz w:val="18"/>
                <w:szCs w:val="18"/>
              </w:rPr>
              <w:t xml:space="preserve">. </w:t>
            </w:r>
            <w:r w:rsidR="00C3356C" w:rsidRPr="00CB239D">
              <w:rPr>
                <w:rFonts w:ascii="Verdana" w:hAnsi="Verdana"/>
                <w:sz w:val="18"/>
                <w:szCs w:val="18"/>
              </w:rPr>
              <w:t xml:space="preserve">Questions are scored by on a 5 point Likert scale from 0 (unable to do) to 4 (no </w:t>
            </w:r>
            <w:proofErr w:type="gramStart"/>
            <w:r w:rsidR="00C3356C" w:rsidRPr="00CB239D">
              <w:rPr>
                <w:rFonts w:ascii="Verdana" w:hAnsi="Verdana"/>
                <w:sz w:val="18"/>
                <w:szCs w:val="18"/>
              </w:rPr>
              <w:t>difficulty)</w:t>
            </w:r>
            <w:r w:rsidR="00DE36F2" w:rsidRPr="00DE36F2">
              <w:rPr>
                <w:rFonts w:ascii="Verdana" w:hAnsi="Verdana"/>
                <w:sz w:val="18"/>
                <w:szCs w:val="18"/>
                <w:vertAlign w:val="superscript"/>
              </w:rPr>
              <w:t>17</w:t>
            </w:r>
            <w:proofErr w:type="gramEnd"/>
            <w:r w:rsidR="00DE36F2">
              <w:rPr>
                <w:rFonts w:ascii="Verdana" w:hAnsi="Verdana"/>
                <w:sz w:val="18"/>
                <w:szCs w:val="18"/>
              </w:rPr>
              <w:t>.</w:t>
            </w:r>
            <w:r w:rsidR="00C3356C" w:rsidRPr="00CB239D">
              <w:rPr>
                <w:rFonts w:ascii="Verdana" w:hAnsi="Verdana"/>
                <w:sz w:val="18"/>
                <w:szCs w:val="18"/>
              </w:rPr>
              <w:t xml:space="preserve"> Measure is scored out of 104 points and higher the score, the less impairment/pain.</w:t>
            </w:r>
          </w:p>
          <w:p w14:paraId="216561AA" w14:textId="21B163A5" w:rsidR="005501C8" w:rsidRPr="00CB239D" w:rsidRDefault="001256AC" w:rsidP="001256AC">
            <w:pPr>
              <w:spacing w:before="120" w:after="120"/>
              <w:rPr>
                <w:b/>
                <w:sz w:val="18"/>
                <w:szCs w:val="18"/>
              </w:rPr>
            </w:pPr>
            <w:r w:rsidRPr="00CB239D">
              <w:rPr>
                <w:b/>
                <w:sz w:val="18"/>
                <w:szCs w:val="18"/>
              </w:rPr>
              <w:t>Secondary outcomes</w:t>
            </w:r>
          </w:p>
          <w:p w14:paraId="496072C6" w14:textId="2FDCB155" w:rsidR="005501C8" w:rsidRPr="00CB239D" w:rsidRDefault="005501C8" w:rsidP="005501C8">
            <w:pPr>
              <w:pStyle w:val="ListParagraph"/>
              <w:numPr>
                <w:ilvl w:val="0"/>
                <w:numId w:val="19"/>
              </w:numPr>
              <w:spacing w:before="120" w:after="120"/>
              <w:rPr>
                <w:rFonts w:ascii="Verdana" w:hAnsi="Verdana"/>
                <w:sz w:val="18"/>
                <w:szCs w:val="18"/>
              </w:rPr>
            </w:pPr>
            <w:r w:rsidRPr="00CB239D">
              <w:rPr>
                <w:rFonts w:ascii="Verdana" w:hAnsi="Verdana"/>
                <w:b/>
                <w:sz w:val="18"/>
                <w:szCs w:val="18"/>
              </w:rPr>
              <w:t xml:space="preserve">Roles </w:t>
            </w:r>
            <w:proofErr w:type="spellStart"/>
            <w:r w:rsidRPr="00CB239D">
              <w:rPr>
                <w:rFonts w:ascii="Verdana" w:hAnsi="Verdana"/>
                <w:b/>
                <w:sz w:val="18"/>
                <w:szCs w:val="18"/>
              </w:rPr>
              <w:t>Maudsley</w:t>
            </w:r>
            <w:proofErr w:type="spellEnd"/>
            <w:r w:rsidRPr="00CB239D">
              <w:rPr>
                <w:rFonts w:ascii="Verdana" w:hAnsi="Verdana"/>
                <w:b/>
                <w:sz w:val="18"/>
                <w:szCs w:val="18"/>
              </w:rPr>
              <w:t xml:space="preserve"> score (RM)</w:t>
            </w:r>
            <w:r w:rsidR="00EC64E6" w:rsidRPr="00CB239D">
              <w:rPr>
                <w:rFonts w:ascii="Verdana" w:hAnsi="Verdana"/>
                <w:sz w:val="18"/>
                <w:szCs w:val="18"/>
              </w:rPr>
              <w:t xml:space="preserve"> </w:t>
            </w:r>
            <w:r w:rsidRPr="00CB239D">
              <w:rPr>
                <w:rFonts w:ascii="Verdana" w:hAnsi="Verdana"/>
                <w:sz w:val="18"/>
                <w:szCs w:val="18"/>
              </w:rPr>
              <w:t>(20%)</w:t>
            </w:r>
          </w:p>
          <w:p w14:paraId="341955CB" w14:textId="3CE77DFB" w:rsidR="001670A7" w:rsidRPr="00CB239D" w:rsidRDefault="000D4FCA" w:rsidP="00CA37E4">
            <w:pPr>
              <w:pStyle w:val="ListParagraph"/>
              <w:numPr>
                <w:ilvl w:val="0"/>
                <w:numId w:val="19"/>
              </w:numPr>
              <w:spacing w:before="120" w:after="120"/>
              <w:rPr>
                <w:rFonts w:ascii="Verdana" w:hAnsi="Verdana"/>
                <w:sz w:val="18"/>
                <w:szCs w:val="18"/>
              </w:rPr>
            </w:pPr>
            <w:r w:rsidRPr="00CB239D">
              <w:rPr>
                <w:rFonts w:ascii="Verdana" w:hAnsi="Verdana"/>
                <w:sz w:val="18"/>
                <w:szCs w:val="18"/>
              </w:rPr>
              <w:t xml:space="preserve">The RM is a </w:t>
            </w:r>
            <w:r w:rsidR="00555866" w:rsidRPr="00CB239D">
              <w:rPr>
                <w:rFonts w:ascii="Verdana" w:hAnsi="Verdana"/>
                <w:sz w:val="18"/>
                <w:szCs w:val="18"/>
              </w:rPr>
              <w:t xml:space="preserve">short </w:t>
            </w:r>
            <w:r w:rsidRPr="00CB239D">
              <w:rPr>
                <w:rFonts w:ascii="Verdana" w:hAnsi="Verdana"/>
                <w:sz w:val="18"/>
                <w:szCs w:val="18"/>
              </w:rPr>
              <w:t xml:space="preserve">subjective 4 point </w:t>
            </w:r>
            <w:r w:rsidR="00EC64E6" w:rsidRPr="00CB239D">
              <w:rPr>
                <w:rFonts w:ascii="Verdana" w:hAnsi="Verdana"/>
                <w:sz w:val="18"/>
                <w:szCs w:val="18"/>
              </w:rPr>
              <w:t>rating scale</w:t>
            </w:r>
            <w:r w:rsidRPr="00CB239D">
              <w:rPr>
                <w:rFonts w:ascii="Verdana" w:hAnsi="Verdana"/>
                <w:sz w:val="18"/>
                <w:szCs w:val="18"/>
              </w:rPr>
              <w:t xml:space="preserve"> that assesses activity limitations and pain</w:t>
            </w:r>
            <w:r w:rsidRPr="00CB239D">
              <w:rPr>
                <w:rFonts w:ascii="Verdana" w:hAnsi="Verdana"/>
                <w:sz w:val="18"/>
                <w:szCs w:val="18"/>
              </w:rPr>
              <w:fldChar w:fldCharType="begin"/>
            </w:r>
            <w:r w:rsidR="00CB239D">
              <w:rPr>
                <w:rFonts w:ascii="Verdana" w:hAnsi="Verdana"/>
                <w:sz w:val="18"/>
                <w:szCs w:val="18"/>
              </w:rPr>
              <w:instrText>ADDIN F1000_CSL_CITATION&lt;~#@#~&gt;[{"DOI":"10.1177/0363546505281810","First":false,"Last":false,"PMID":"16627628","abstract":"&lt;strong&gt;BACKGROUND:&lt;/strong&gt; Results of high-energy extracorporeal shock wave therapy for the treatment of insertional Achilles tendinopathy are not determined. It is unclear how local anesthesia alters the outcome of this procedure.\n&lt;br /&gt;\n&lt;br /&gt;\n&lt;strong&gt;HYPOTHESIS:&lt;/strong&gt; Extracorporeal shock wave therapy is an effective treatment for insertional Achilles tendinopathy. Local anesthesia field block adversely affects outcome.\n&lt;br /&gt;\n&lt;br /&gt;\n&lt;strong&gt;STUDY DESIGN:&lt;/strong&gt; Case control study; Level of evidence, 3.\n&lt;br /&gt;\n&lt;br /&gt;\n&lt;strong&gt;METHODS:&lt;/strong&gt; Thirty-five patients with chronic insertional Achilles tendinopathy were treated with 1 dose of high-energy extracorporeal shock wave therapy (ESWT group; 3000 shocks; 0.21 mJ/mm2; total energy flux density, 604 mJ/mm2), and 33 were treated with nonoperative therapy (control group). All extracorporeal shock wave therapy procedures were performed using a local anesthesia field block (LA subgroup, 12 patients) or a nonlocal anesthesia (NLA subgroup, 23 patients). Evaluation was by visual analog score and by Roles and Maudsley score.\n&lt;br /&gt;\n&lt;br /&gt;\n&lt;strong&gt;RESULTS:&lt;/strong&gt; One month, 3 months, and 12 months after treatment, the mean visual analog score for the control and ESWT groups were 8.2 and 4.2 (P &amp;lt; .001), 7.2 and 2.9 (P &amp;lt; .001), and 7.0 and 2.8 (P &amp;lt; .001), respectively. Twelve months after treatment, the number of patients with successful Roles and Maudsley scores was statistically greater in the ESWT group compared with the control group (P &amp;gt; .0002), with 83% of ESWT group patients having a successful result, and the mean improvement in visual analog score for the LA subgroup was significantly less than that in the NLA subgroup (F = 16.77 vs F = 53.95, P &amp;lt; .001). The percentage of patients with successful Roles and Maudsley scores did not differ among the LA and NLA subgroups.\n&lt;br /&gt;\n&lt;br /&gt;\n&lt;strong&gt;CONCLUSION:&lt;/strong&gt; Extracorporeal shock wave therapy is an effective treatment for chronic insertional Achilles tendinopathy. Local field block anesthesia may decrease the effectiveness of this procedure.","author":[{"family":"Furia","given":"John Patrick"}],"authorYearDisplayFormat":false,"citation-label":"4489741","container-title":"The American Journal of Sports Medicine","container-title-short":"Am J Sports Med","id":"4489741","invisible":false,"issue":"5","issued":{"date-parts":[["2006","5","1"]]},"journalAbbreviation":"Am J Sports Med","page":"733-740","suppress-author":false,"title":"High-energy extracorporeal shock wave therapy as a treatment for insertional Achilles tendinopathy.","type":"article-journal","volume":"34"}]</w:instrText>
            </w:r>
            <w:r w:rsidRPr="00CB239D">
              <w:rPr>
                <w:rFonts w:ascii="Verdana" w:hAnsi="Verdana"/>
                <w:sz w:val="18"/>
                <w:szCs w:val="18"/>
              </w:rPr>
              <w:fldChar w:fldCharType="separate"/>
            </w:r>
            <w:r w:rsidR="00CB239D" w:rsidRPr="00CB239D">
              <w:rPr>
                <w:rFonts w:ascii="Verdana" w:hAnsi="Verdana"/>
                <w:noProof/>
                <w:sz w:val="18"/>
                <w:szCs w:val="18"/>
                <w:vertAlign w:val="superscript"/>
              </w:rPr>
              <w:t>18</w:t>
            </w:r>
            <w:r w:rsidRPr="00CB239D">
              <w:rPr>
                <w:rFonts w:ascii="Verdana" w:hAnsi="Verdana"/>
                <w:sz w:val="18"/>
                <w:szCs w:val="18"/>
              </w:rPr>
              <w:fldChar w:fldCharType="end"/>
            </w:r>
            <w:r w:rsidR="00555866" w:rsidRPr="00CB239D">
              <w:rPr>
                <w:rFonts w:ascii="Verdana" w:hAnsi="Verdana"/>
                <w:sz w:val="18"/>
                <w:szCs w:val="18"/>
              </w:rPr>
              <w:t>. A score of 1 indicates “no pain, full movement and activity” and a score of 4 indicates “pain limiting activities”</w:t>
            </w:r>
            <w:r w:rsidR="00555866" w:rsidRPr="00CB239D">
              <w:rPr>
                <w:rFonts w:ascii="Verdana" w:hAnsi="Verdana"/>
                <w:sz w:val="18"/>
                <w:szCs w:val="18"/>
              </w:rPr>
              <w:fldChar w:fldCharType="begin"/>
            </w:r>
            <w:r w:rsidR="00CB239D">
              <w:rPr>
                <w:rFonts w:ascii="Verdana" w:hAnsi="Verdana"/>
                <w:sz w:val="18"/>
                <w:szCs w:val="18"/>
              </w:rPr>
              <w:instrText>ADDIN F1000_CSL_CITATION&lt;~#@#~&gt;[{"First":false,"Last":false,"URL":"https://www.nice.org.uk/guidance/ipg376/evidence/overview-pdf-495682381","author":[{"family":"NATIONAL INSTITUTE FOR HEALTH AND CLINICAL EXCELLENCE"}],"authorYearDisplayFormat":false,"citation-label":"4489738","id":"4489738","invisible":false,"issued":{"date-parts":[["2010"]]},"suppress-author":false,"title":"1Interventional procedure overview of extracorporealshockwave therapy for refractory greater trochantericpain syndrome","type":"article-journal"}]</w:instrText>
            </w:r>
            <w:r w:rsidR="00555866" w:rsidRPr="00CB239D">
              <w:rPr>
                <w:rFonts w:ascii="Verdana" w:hAnsi="Verdana"/>
                <w:sz w:val="18"/>
                <w:szCs w:val="18"/>
              </w:rPr>
              <w:fldChar w:fldCharType="separate"/>
            </w:r>
            <w:r w:rsidR="00CB239D" w:rsidRPr="00CB239D">
              <w:rPr>
                <w:rFonts w:ascii="Verdana" w:hAnsi="Verdana"/>
                <w:noProof/>
                <w:sz w:val="18"/>
                <w:szCs w:val="18"/>
                <w:vertAlign w:val="superscript"/>
              </w:rPr>
              <w:t>19</w:t>
            </w:r>
            <w:r w:rsidR="00555866" w:rsidRPr="00CB239D">
              <w:rPr>
                <w:rFonts w:ascii="Verdana" w:hAnsi="Verdana"/>
                <w:sz w:val="18"/>
                <w:szCs w:val="18"/>
              </w:rPr>
              <w:fldChar w:fldCharType="end"/>
            </w:r>
            <w:r w:rsidR="00DE36F2">
              <w:rPr>
                <w:rFonts w:ascii="Verdana" w:hAnsi="Verdana"/>
                <w:sz w:val="18"/>
                <w:szCs w:val="18"/>
              </w:rPr>
              <w:t>.</w:t>
            </w:r>
          </w:p>
          <w:p w14:paraId="3920CC05" w14:textId="77777777" w:rsidR="00DF008F" w:rsidRPr="00CB239D" w:rsidRDefault="00DF008F" w:rsidP="00DF008F">
            <w:pPr>
              <w:pStyle w:val="ListParagraph"/>
              <w:spacing w:before="120" w:after="120"/>
              <w:rPr>
                <w:rFonts w:ascii="Verdana" w:hAnsi="Verdana"/>
                <w:sz w:val="18"/>
                <w:szCs w:val="18"/>
              </w:rPr>
            </w:pPr>
          </w:p>
          <w:p w14:paraId="27367099" w14:textId="6158F87F" w:rsidR="00CA37E4" w:rsidRPr="00CB239D" w:rsidRDefault="00CA37E4" w:rsidP="00CA37E4">
            <w:pPr>
              <w:pStyle w:val="ListParagraph"/>
              <w:numPr>
                <w:ilvl w:val="0"/>
                <w:numId w:val="19"/>
              </w:numPr>
              <w:spacing w:before="120" w:after="120"/>
              <w:rPr>
                <w:rFonts w:ascii="Verdana" w:hAnsi="Verdana"/>
                <w:b/>
                <w:sz w:val="18"/>
                <w:szCs w:val="18"/>
              </w:rPr>
            </w:pPr>
            <w:r w:rsidRPr="00CB239D">
              <w:rPr>
                <w:rFonts w:ascii="Verdana" w:hAnsi="Verdana"/>
                <w:b/>
                <w:sz w:val="18"/>
                <w:szCs w:val="18"/>
              </w:rPr>
              <w:t>Foot Health Status Questionnaire (FHSQ) (10%)</w:t>
            </w:r>
          </w:p>
          <w:p w14:paraId="684AA094" w14:textId="7D1F0AA2" w:rsidR="009D4AEA" w:rsidRPr="00CB239D" w:rsidRDefault="00CA37E4" w:rsidP="00CA37E4">
            <w:pPr>
              <w:pStyle w:val="ListParagraph"/>
              <w:numPr>
                <w:ilvl w:val="0"/>
                <w:numId w:val="19"/>
              </w:numPr>
              <w:spacing w:before="120" w:after="120"/>
              <w:rPr>
                <w:rFonts w:ascii="Verdana" w:hAnsi="Verdana"/>
                <w:sz w:val="18"/>
                <w:szCs w:val="18"/>
              </w:rPr>
            </w:pPr>
            <w:r w:rsidRPr="00CB239D">
              <w:rPr>
                <w:rFonts w:ascii="Verdana" w:hAnsi="Verdana"/>
                <w:sz w:val="18"/>
                <w:szCs w:val="18"/>
              </w:rPr>
              <w:t>The FHSQ is a foot specific measure that has 4 sections that include foot function, footwear, foot pain, and general foot health</w:t>
            </w:r>
            <w:r w:rsidRPr="00CB239D">
              <w:rPr>
                <w:rFonts w:ascii="Verdana" w:hAnsi="Verdana"/>
                <w:sz w:val="18"/>
                <w:szCs w:val="18"/>
              </w:rPr>
              <w:fldChar w:fldCharType="begin"/>
            </w:r>
            <w:r w:rsidR="00CB239D">
              <w:rPr>
                <w:rFonts w:ascii="Verdana" w:hAnsi="Verdana"/>
                <w:sz w:val="18"/>
                <w:szCs w:val="18"/>
              </w:rPr>
              <w:instrText>ADDIN F1000_CSL_CITATION&lt;~#@#~&gt;[{"DOI":"10.1002/acr.20554","First":false,"Last":false,"PMCID":"PMC4155931","PMID":"22588747","author":[{"family":"Riskowski","given":"Jody L"},{"family":"Hagedorn","given":"Thomas J"},{"family":"Hannan","given":"Marian T"}],"authorYearDisplayFormat":false,"citation-label":"4489847","container-title":"Arthritis Care &amp; Research","container-title-short":"Arthritis Care Res (Hoboken)","id":"4489847","invisible":false,"issued":{"date-parts":[["2011","11"]]},"journalAbbreviation":"Arthritis Care Res (Hoboken)","page":"S229-39","suppress-author":false,"title":"Measures of foot function, foot health, and foot pain: American Academy of Orthopedic Surgeons Lower Limb Outcomes Assessment: Foot and Ankle Module (AAOS-FAM), Bristol Foot Score (BFS), Revised Foot Function Index (FFI-R), Foot Health Status Questionnaire (FHSQ), Manchester Foot Pain and Disability Index (MFPDI), Podiatric Health Questionnaire (PHQ), and Rowan Foot Pain Assessment (ROFPAQ).","type":"article-journal","volume":"63 Suppl 11"}]</w:instrText>
            </w:r>
            <w:r w:rsidRPr="00CB239D">
              <w:rPr>
                <w:rFonts w:ascii="Verdana" w:hAnsi="Verdana"/>
                <w:sz w:val="18"/>
                <w:szCs w:val="18"/>
              </w:rPr>
              <w:fldChar w:fldCharType="separate"/>
            </w:r>
            <w:r w:rsidR="00CB239D" w:rsidRPr="00CB239D">
              <w:rPr>
                <w:rFonts w:ascii="Verdana" w:hAnsi="Verdana"/>
                <w:noProof/>
                <w:sz w:val="18"/>
                <w:szCs w:val="18"/>
                <w:vertAlign w:val="superscript"/>
              </w:rPr>
              <w:t>20</w:t>
            </w:r>
            <w:r w:rsidRPr="00CB239D">
              <w:rPr>
                <w:rFonts w:ascii="Verdana" w:hAnsi="Verdana"/>
                <w:sz w:val="18"/>
                <w:szCs w:val="18"/>
              </w:rPr>
              <w:fldChar w:fldCharType="end"/>
            </w:r>
            <w:r w:rsidRPr="00CB239D">
              <w:rPr>
                <w:rFonts w:ascii="Verdana" w:hAnsi="Verdana"/>
                <w:sz w:val="18"/>
                <w:szCs w:val="18"/>
              </w:rPr>
              <w:t>.</w:t>
            </w:r>
            <w:r w:rsidR="00DF008F" w:rsidRPr="00CB239D">
              <w:rPr>
                <w:rFonts w:ascii="Verdana" w:hAnsi="Verdana"/>
                <w:sz w:val="18"/>
                <w:szCs w:val="18"/>
              </w:rPr>
              <w:t xml:space="preserve"> There are a total of 13 questions and are scored on 5 point Likert scale</w:t>
            </w:r>
            <w:r w:rsidR="00F0181B" w:rsidRPr="00CB239D">
              <w:rPr>
                <w:rFonts w:ascii="Verdana" w:hAnsi="Verdana"/>
                <w:sz w:val="18"/>
                <w:szCs w:val="18"/>
              </w:rPr>
              <w:t xml:space="preserve"> with a total score of 100</w:t>
            </w:r>
            <w:r w:rsidR="00CF5037" w:rsidRPr="00CB239D">
              <w:rPr>
                <w:rFonts w:ascii="Verdana" w:hAnsi="Verdana"/>
                <w:sz w:val="18"/>
                <w:szCs w:val="18"/>
              </w:rPr>
              <w:fldChar w:fldCharType="begin"/>
            </w:r>
            <w:r w:rsidR="00CB239D">
              <w:rPr>
                <w:rFonts w:ascii="Verdana" w:hAnsi="Verdana"/>
                <w:sz w:val="18"/>
                <w:szCs w:val="18"/>
              </w:rPr>
              <w:instrText>ADDIN F1000_CSL_CITATION&lt;~#@#~&gt;[{"DOI":"10.1002/acr.20554","First":false,"Last":false,"PMCID":"PMC4155931","PMID":"22588747","author":[{"family":"Riskowski","given":"Jody L"},{"family":"Hagedorn","given":"Thomas J"},{"family":"Hannan","given":"Marian T"}],"authorYearDisplayFormat":false,"citation-label":"4489847","container-title":"Arthritis Care &amp; Research","container-title-short":"Arthritis Care Res (Hoboken)","id":"4489847","invisible":false,"issued":{"date-parts":[["2011","11"]]},"journalAbbreviation":"Arthritis Care Res (Hoboken)","page":"S229-39","suppress-author":false,"title":"Measures of foot function, foot health, and foot pain: American Academy of Orthopedic Surgeons Lower Limb Outcomes Assessment: Foot and Ankle Module (AAOS-FAM), Bristol Foot Score (BFS), Revised Foot Function Index (FFI-R), Foot Health Status Questionnaire (FHSQ), Manchester Foot Pain and Disability Index (MFPDI), Podiatric Health Questionnaire (PHQ), and Rowan Foot Pain Assessment (ROFPAQ).","type":"article-journal","volume":"63 Suppl 11"}]</w:instrText>
            </w:r>
            <w:r w:rsidR="00CF5037" w:rsidRPr="00CB239D">
              <w:rPr>
                <w:rFonts w:ascii="Verdana" w:hAnsi="Verdana"/>
                <w:sz w:val="18"/>
                <w:szCs w:val="18"/>
              </w:rPr>
              <w:fldChar w:fldCharType="separate"/>
            </w:r>
            <w:r w:rsidR="00CB239D" w:rsidRPr="00CB239D">
              <w:rPr>
                <w:rFonts w:ascii="Verdana" w:hAnsi="Verdana"/>
                <w:noProof/>
                <w:sz w:val="18"/>
                <w:szCs w:val="18"/>
                <w:vertAlign w:val="superscript"/>
              </w:rPr>
              <w:t>20</w:t>
            </w:r>
            <w:r w:rsidR="00CF5037" w:rsidRPr="00CB239D">
              <w:rPr>
                <w:rFonts w:ascii="Verdana" w:hAnsi="Verdana"/>
                <w:sz w:val="18"/>
                <w:szCs w:val="18"/>
              </w:rPr>
              <w:fldChar w:fldCharType="end"/>
            </w:r>
            <w:r w:rsidR="00F0181B" w:rsidRPr="00CB239D">
              <w:rPr>
                <w:rFonts w:ascii="Verdana" w:hAnsi="Verdana"/>
                <w:sz w:val="18"/>
                <w:szCs w:val="18"/>
              </w:rPr>
              <w:t xml:space="preserve">. </w:t>
            </w:r>
            <w:r w:rsidR="009D4AEA" w:rsidRPr="00CB239D">
              <w:rPr>
                <w:rFonts w:ascii="Verdana" w:hAnsi="Verdana"/>
                <w:sz w:val="18"/>
                <w:szCs w:val="18"/>
              </w:rPr>
              <w:t>The higher scores demonstrate higher quality of life and foot health.</w:t>
            </w:r>
          </w:p>
          <w:p w14:paraId="14E72B7D" w14:textId="77777777" w:rsidR="0000738B" w:rsidRPr="00CB239D" w:rsidRDefault="0000738B" w:rsidP="004F60A2">
            <w:pPr>
              <w:spacing w:before="120" w:after="120"/>
              <w:rPr>
                <w:sz w:val="18"/>
                <w:szCs w:val="18"/>
              </w:rPr>
            </w:pPr>
          </w:p>
          <w:p w14:paraId="037C11B6" w14:textId="77777777" w:rsidR="0000738B" w:rsidRPr="00CB239D" w:rsidRDefault="0000738B" w:rsidP="004F60A2">
            <w:pPr>
              <w:spacing w:before="120" w:after="120"/>
              <w:rPr>
                <w:sz w:val="18"/>
                <w:szCs w:val="18"/>
              </w:rPr>
            </w:pPr>
          </w:p>
          <w:p w14:paraId="6BE02387" w14:textId="2E48FA97" w:rsidR="0000738B" w:rsidRPr="00CB239D" w:rsidRDefault="001256AC" w:rsidP="00DD061C">
            <w:pPr>
              <w:spacing w:before="120" w:after="120"/>
              <w:rPr>
                <w:sz w:val="18"/>
                <w:szCs w:val="18"/>
              </w:rPr>
            </w:pPr>
            <w:r w:rsidRPr="00CB239D">
              <w:rPr>
                <w:sz w:val="18"/>
                <w:szCs w:val="18"/>
              </w:rPr>
              <w:t xml:space="preserve">*Primary outcomes were used in </w:t>
            </w:r>
            <w:r w:rsidR="004E1760" w:rsidRPr="00CB239D">
              <w:rPr>
                <w:sz w:val="18"/>
                <w:szCs w:val="18"/>
              </w:rPr>
              <w:t xml:space="preserve">the </w:t>
            </w:r>
            <w:r w:rsidRPr="00CB239D">
              <w:rPr>
                <w:sz w:val="18"/>
                <w:szCs w:val="18"/>
              </w:rPr>
              <w:t xml:space="preserve">meta-analysis </w:t>
            </w:r>
          </w:p>
        </w:tc>
      </w:tr>
      <w:tr w:rsidR="0000738B" w:rsidRPr="00CB239D" w14:paraId="5C90852E" w14:textId="77777777" w:rsidTr="004F60A2">
        <w:tc>
          <w:tcPr>
            <w:tcW w:w="10421" w:type="dxa"/>
            <w:tcBorders>
              <w:bottom w:val="single" w:sz="4" w:space="0" w:color="auto"/>
            </w:tcBorders>
            <w:shd w:val="clear" w:color="auto" w:fill="E6E6E6"/>
          </w:tcPr>
          <w:p w14:paraId="2A1CE1EB" w14:textId="77777777" w:rsidR="0000738B" w:rsidRPr="00CB239D" w:rsidRDefault="0000738B" w:rsidP="004F60A2">
            <w:pPr>
              <w:spacing w:before="120" w:after="120"/>
              <w:rPr>
                <w:b/>
                <w:sz w:val="18"/>
                <w:szCs w:val="18"/>
              </w:rPr>
            </w:pPr>
            <w:r w:rsidRPr="00CB239D">
              <w:rPr>
                <w:b/>
                <w:sz w:val="18"/>
                <w:szCs w:val="18"/>
              </w:rPr>
              <w:t>Main Findings</w:t>
            </w:r>
          </w:p>
          <w:p w14:paraId="3113B842" w14:textId="77777777" w:rsidR="0000738B" w:rsidRPr="00CB239D" w:rsidRDefault="0000738B" w:rsidP="004F60A2">
            <w:pPr>
              <w:spacing w:before="120" w:after="120"/>
              <w:rPr>
                <w:sz w:val="18"/>
                <w:szCs w:val="18"/>
              </w:rPr>
            </w:pPr>
            <w:r w:rsidRPr="00CB239D">
              <w:rPr>
                <w:sz w:val="18"/>
                <w:szCs w:val="18"/>
              </w:rPr>
              <w:t>[Provide summary of mean scores/mean differences/treatment effect, 95% confidence intervals and p-values etc., where provided; you may calculate your own values if necessary/applicable. Use a table to summarize results if possible.]</w:t>
            </w:r>
          </w:p>
        </w:tc>
      </w:tr>
      <w:tr w:rsidR="0000738B" w:rsidRPr="00CB239D" w14:paraId="74BCBC7C" w14:textId="77777777" w:rsidTr="004F60A2">
        <w:tc>
          <w:tcPr>
            <w:tcW w:w="10421" w:type="dxa"/>
            <w:tcBorders>
              <w:bottom w:val="single" w:sz="4" w:space="0" w:color="auto"/>
            </w:tcBorders>
            <w:shd w:val="clear" w:color="auto" w:fill="auto"/>
          </w:tcPr>
          <w:p w14:paraId="2F52214F" w14:textId="719C5847" w:rsidR="0000738B" w:rsidRPr="00CB239D" w:rsidRDefault="002010CE" w:rsidP="002010CE">
            <w:pPr>
              <w:spacing w:before="120" w:after="120"/>
              <w:rPr>
                <w:sz w:val="18"/>
                <w:szCs w:val="18"/>
              </w:rPr>
            </w:pPr>
            <w:r w:rsidRPr="00CB239D">
              <w:rPr>
                <w:sz w:val="18"/>
                <w:szCs w:val="18"/>
              </w:rPr>
              <w:t>VAS</w:t>
            </w:r>
            <w:r w:rsidR="002618C7" w:rsidRPr="00CB239D">
              <w:rPr>
                <w:sz w:val="18"/>
                <w:szCs w:val="18"/>
              </w:rPr>
              <w:t xml:space="preserve"> </w:t>
            </w:r>
            <w:r w:rsidR="00DD061C" w:rsidRPr="00CB239D">
              <w:rPr>
                <w:sz w:val="18"/>
                <w:szCs w:val="18"/>
              </w:rPr>
              <w:t>(90%)</w:t>
            </w:r>
          </w:p>
          <w:p w14:paraId="6FEA7A61" w14:textId="02BC2279" w:rsidR="002010CE" w:rsidRPr="00CB239D" w:rsidRDefault="002010CE" w:rsidP="002618C7">
            <w:pPr>
              <w:pStyle w:val="ListParagraph"/>
              <w:numPr>
                <w:ilvl w:val="0"/>
                <w:numId w:val="31"/>
              </w:numPr>
              <w:spacing w:before="120" w:after="120"/>
              <w:rPr>
                <w:rFonts w:ascii="Verdana" w:hAnsi="Verdana"/>
                <w:sz w:val="18"/>
                <w:szCs w:val="18"/>
              </w:rPr>
            </w:pPr>
            <w:r w:rsidRPr="00CB239D">
              <w:rPr>
                <w:rFonts w:ascii="Verdana" w:hAnsi="Verdana"/>
                <w:sz w:val="18"/>
                <w:szCs w:val="18"/>
              </w:rPr>
              <w:t>At 1 month: No significant difference between groups</w:t>
            </w:r>
            <w:r w:rsidR="008B1418" w:rsidRPr="00CB239D">
              <w:rPr>
                <w:rFonts w:ascii="Verdana" w:hAnsi="Verdana"/>
                <w:sz w:val="18"/>
                <w:szCs w:val="18"/>
              </w:rPr>
              <w:t xml:space="preserve"> (p=</w:t>
            </w:r>
            <w:proofErr w:type="gramStart"/>
            <w:r w:rsidR="008B1418" w:rsidRPr="00CB239D">
              <w:rPr>
                <w:rFonts w:ascii="Verdana" w:hAnsi="Verdana"/>
                <w:sz w:val="18"/>
                <w:szCs w:val="18"/>
              </w:rPr>
              <w:t>.17</w:t>
            </w:r>
            <w:proofErr w:type="gramEnd"/>
            <w:r w:rsidR="008B1418" w:rsidRPr="00CB239D">
              <w:rPr>
                <w:rFonts w:ascii="Verdana" w:hAnsi="Verdana"/>
                <w:sz w:val="18"/>
                <w:szCs w:val="18"/>
              </w:rPr>
              <w:t>), -.49 [95% CI, .11-</w:t>
            </w:r>
            <w:r w:rsidR="00327219" w:rsidRPr="00CB239D">
              <w:rPr>
                <w:rFonts w:ascii="Verdana" w:hAnsi="Verdana"/>
                <w:sz w:val="18"/>
                <w:szCs w:val="18"/>
              </w:rPr>
              <w:t>1.15]</w:t>
            </w:r>
          </w:p>
          <w:p w14:paraId="1165D932" w14:textId="70C8521E" w:rsidR="002010CE" w:rsidRPr="00CB239D" w:rsidRDefault="002010CE" w:rsidP="002618C7">
            <w:pPr>
              <w:pStyle w:val="ListParagraph"/>
              <w:numPr>
                <w:ilvl w:val="0"/>
                <w:numId w:val="31"/>
              </w:numPr>
              <w:spacing w:before="120" w:after="120"/>
              <w:rPr>
                <w:rFonts w:ascii="Verdana" w:hAnsi="Verdana"/>
                <w:sz w:val="18"/>
                <w:szCs w:val="18"/>
              </w:rPr>
            </w:pPr>
            <w:r w:rsidRPr="00CB239D">
              <w:rPr>
                <w:rFonts w:ascii="Verdana" w:hAnsi="Verdana"/>
                <w:sz w:val="18"/>
                <w:szCs w:val="18"/>
              </w:rPr>
              <w:t xml:space="preserve">At 3 months: </w:t>
            </w:r>
            <w:r w:rsidR="006A638D" w:rsidRPr="00CB239D">
              <w:rPr>
                <w:rFonts w:ascii="Verdana" w:hAnsi="Verdana"/>
                <w:sz w:val="18"/>
                <w:szCs w:val="18"/>
              </w:rPr>
              <w:t>Signi</w:t>
            </w:r>
            <w:r w:rsidR="00A23DB8" w:rsidRPr="00CB239D">
              <w:rPr>
                <w:rFonts w:ascii="Verdana" w:hAnsi="Verdana"/>
                <w:sz w:val="18"/>
                <w:szCs w:val="18"/>
              </w:rPr>
              <w:t>ficant improvement in PRP group</w:t>
            </w:r>
            <w:r w:rsidR="006A638D" w:rsidRPr="00CB239D">
              <w:rPr>
                <w:rFonts w:ascii="Verdana" w:hAnsi="Verdana"/>
                <w:sz w:val="18"/>
                <w:szCs w:val="18"/>
              </w:rPr>
              <w:t xml:space="preserve"> (</w:t>
            </w:r>
            <w:r w:rsidR="00DD061C" w:rsidRPr="00CB239D">
              <w:rPr>
                <w:rFonts w:ascii="Verdana" w:hAnsi="Verdana"/>
                <w:sz w:val="18"/>
                <w:szCs w:val="18"/>
              </w:rPr>
              <w:t>p=</w:t>
            </w:r>
            <w:proofErr w:type="gramStart"/>
            <w:r w:rsidR="006A638D" w:rsidRPr="00CB239D">
              <w:rPr>
                <w:rFonts w:ascii="Verdana" w:hAnsi="Verdana"/>
                <w:sz w:val="18"/>
                <w:szCs w:val="18"/>
              </w:rPr>
              <w:t>.04</w:t>
            </w:r>
            <w:proofErr w:type="gramEnd"/>
            <w:r w:rsidR="006A638D" w:rsidRPr="00CB239D">
              <w:rPr>
                <w:rFonts w:ascii="Verdana" w:hAnsi="Verdana"/>
                <w:sz w:val="18"/>
                <w:szCs w:val="18"/>
              </w:rPr>
              <w:t>), -.66 [</w:t>
            </w:r>
            <w:r w:rsidR="008B1418" w:rsidRPr="00CB239D">
              <w:rPr>
                <w:rFonts w:ascii="Verdana" w:hAnsi="Verdana"/>
                <w:sz w:val="18"/>
                <w:szCs w:val="18"/>
              </w:rPr>
              <w:t xml:space="preserve">95% CI,, </w:t>
            </w:r>
            <w:r w:rsidR="006A638D" w:rsidRPr="00CB239D">
              <w:rPr>
                <w:rFonts w:ascii="Verdana" w:hAnsi="Verdana"/>
                <w:sz w:val="18"/>
                <w:szCs w:val="18"/>
              </w:rPr>
              <w:t>-1.3-(-.02)]</w:t>
            </w:r>
          </w:p>
          <w:p w14:paraId="5D7BD2D0" w14:textId="28180BC4" w:rsidR="006A638D" w:rsidRPr="00CB239D" w:rsidRDefault="006A638D" w:rsidP="002618C7">
            <w:pPr>
              <w:pStyle w:val="ListParagraph"/>
              <w:numPr>
                <w:ilvl w:val="0"/>
                <w:numId w:val="31"/>
              </w:numPr>
              <w:spacing w:before="120" w:after="120"/>
              <w:rPr>
                <w:rFonts w:ascii="Verdana" w:hAnsi="Verdana"/>
                <w:sz w:val="18"/>
                <w:szCs w:val="18"/>
              </w:rPr>
            </w:pPr>
            <w:r w:rsidRPr="00CB239D">
              <w:rPr>
                <w:rFonts w:ascii="Verdana" w:hAnsi="Verdana"/>
                <w:sz w:val="18"/>
                <w:szCs w:val="18"/>
              </w:rPr>
              <w:t>At 6 months: No signi</w:t>
            </w:r>
            <w:r w:rsidR="00A23DB8" w:rsidRPr="00CB239D">
              <w:rPr>
                <w:rFonts w:ascii="Verdana" w:hAnsi="Verdana"/>
                <w:sz w:val="18"/>
                <w:szCs w:val="18"/>
              </w:rPr>
              <w:t>ficant difference between group</w:t>
            </w:r>
            <w:r w:rsidRPr="00CB239D">
              <w:rPr>
                <w:rFonts w:ascii="Verdana" w:hAnsi="Verdana"/>
                <w:sz w:val="18"/>
                <w:szCs w:val="18"/>
              </w:rPr>
              <w:t xml:space="preserve"> (p=</w:t>
            </w:r>
            <w:proofErr w:type="gramStart"/>
            <w:r w:rsidRPr="00CB239D">
              <w:rPr>
                <w:rFonts w:ascii="Verdana" w:hAnsi="Verdana"/>
                <w:sz w:val="18"/>
                <w:szCs w:val="18"/>
              </w:rPr>
              <w:t>.17</w:t>
            </w:r>
            <w:proofErr w:type="gramEnd"/>
            <w:r w:rsidRPr="00CB239D">
              <w:rPr>
                <w:rFonts w:ascii="Verdana" w:hAnsi="Verdana"/>
                <w:sz w:val="18"/>
                <w:szCs w:val="18"/>
              </w:rPr>
              <w:t xml:space="preserve">), </w:t>
            </w:r>
            <w:r w:rsidR="008B1418" w:rsidRPr="00CB239D">
              <w:rPr>
                <w:rFonts w:ascii="Verdana" w:hAnsi="Verdana"/>
                <w:sz w:val="18"/>
                <w:szCs w:val="18"/>
              </w:rPr>
              <w:t>-.67 [95% CI,</w:t>
            </w:r>
            <w:r w:rsidR="002A4867" w:rsidRPr="00CB239D">
              <w:rPr>
                <w:rFonts w:ascii="Verdana" w:hAnsi="Verdana"/>
                <w:sz w:val="18"/>
                <w:szCs w:val="18"/>
              </w:rPr>
              <w:t xml:space="preserve"> -1.65-.03]</w:t>
            </w:r>
          </w:p>
          <w:p w14:paraId="494D679A" w14:textId="48B7BAE0" w:rsidR="002A4867" w:rsidRPr="00CB239D" w:rsidRDefault="002A4867" w:rsidP="002A4867">
            <w:pPr>
              <w:spacing w:before="120" w:after="120"/>
              <w:rPr>
                <w:sz w:val="18"/>
                <w:szCs w:val="18"/>
              </w:rPr>
            </w:pPr>
            <w:r w:rsidRPr="00CB239D">
              <w:rPr>
                <w:sz w:val="18"/>
                <w:szCs w:val="18"/>
              </w:rPr>
              <w:t>AOFAS</w:t>
            </w:r>
            <w:r w:rsidR="00DD061C" w:rsidRPr="00CB239D">
              <w:rPr>
                <w:sz w:val="18"/>
                <w:szCs w:val="18"/>
              </w:rPr>
              <w:t xml:space="preserve"> (60%)</w:t>
            </w:r>
          </w:p>
          <w:p w14:paraId="3CB489E1" w14:textId="2D08F91C" w:rsidR="002A4867" w:rsidRPr="00CB239D" w:rsidRDefault="008B1418" w:rsidP="002A4867">
            <w:pPr>
              <w:pStyle w:val="ListParagraph"/>
              <w:numPr>
                <w:ilvl w:val="0"/>
                <w:numId w:val="32"/>
              </w:numPr>
              <w:spacing w:before="120" w:after="120"/>
              <w:rPr>
                <w:rFonts w:ascii="Verdana" w:hAnsi="Verdana"/>
                <w:sz w:val="18"/>
                <w:szCs w:val="18"/>
              </w:rPr>
            </w:pPr>
            <w:r w:rsidRPr="00CB239D">
              <w:rPr>
                <w:rFonts w:ascii="Verdana" w:hAnsi="Verdana"/>
                <w:sz w:val="18"/>
                <w:szCs w:val="18"/>
              </w:rPr>
              <w:t>At 1 month: No signif</w:t>
            </w:r>
            <w:r w:rsidR="00A23DB8" w:rsidRPr="00CB239D">
              <w:rPr>
                <w:rFonts w:ascii="Verdana" w:hAnsi="Verdana"/>
                <w:sz w:val="18"/>
                <w:szCs w:val="18"/>
              </w:rPr>
              <w:t>icant difference between groups</w:t>
            </w:r>
            <w:r w:rsidRPr="00CB239D">
              <w:rPr>
                <w:rFonts w:ascii="Verdana" w:hAnsi="Verdana"/>
                <w:sz w:val="18"/>
                <w:szCs w:val="18"/>
              </w:rPr>
              <w:t xml:space="preserve"> (p=</w:t>
            </w:r>
            <w:proofErr w:type="gramStart"/>
            <w:r w:rsidRPr="00CB239D">
              <w:rPr>
                <w:rFonts w:ascii="Verdana" w:hAnsi="Verdana"/>
                <w:sz w:val="18"/>
                <w:szCs w:val="18"/>
              </w:rPr>
              <w:t>.44</w:t>
            </w:r>
            <w:proofErr w:type="gramEnd"/>
            <w:r w:rsidRPr="00CB239D">
              <w:rPr>
                <w:rFonts w:ascii="Verdana" w:hAnsi="Verdana"/>
                <w:sz w:val="18"/>
                <w:szCs w:val="18"/>
              </w:rPr>
              <w:t>), .61 [95% CI, -.92-2.14]</w:t>
            </w:r>
          </w:p>
          <w:p w14:paraId="1EDB3DC4" w14:textId="3B021D88" w:rsidR="008B1418" w:rsidRPr="00CB239D" w:rsidRDefault="008B1418" w:rsidP="00157BE0">
            <w:pPr>
              <w:pStyle w:val="ListParagraph"/>
              <w:numPr>
                <w:ilvl w:val="0"/>
                <w:numId w:val="32"/>
              </w:numPr>
              <w:spacing w:before="120" w:after="120"/>
              <w:rPr>
                <w:rFonts w:ascii="Verdana" w:hAnsi="Verdana"/>
                <w:sz w:val="18"/>
                <w:szCs w:val="18"/>
              </w:rPr>
            </w:pPr>
            <w:r w:rsidRPr="00CB239D">
              <w:rPr>
                <w:rFonts w:ascii="Verdana" w:hAnsi="Verdana"/>
                <w:sz w:val="18"/>
                <w:szCs w:val="18"/>
              </w:rPr>
              <w:t>At 3 month</w:t>
            </w:r>
            <w:r w:rsidR="00064708" w:rsidRPr="00CB239D">
              <w:rPr>
                <w:rFonts w:ascii="Verdana" w:hAnsi="Verdana"/>
                <w:sz w:val="18"/>
                <w:szCs w:val="18"/>
              </w:rPr>
              <w:t>s</w:t>
            </w:r>
            <w:r w:rsidRPr="00CB239D">
              <w:rPr>
                <w:rFonts w:ascii="Verdana" w:hAnsi="Verdana"/>
                <w:sz w:val="18"/>
                <w:szCs w:val="18"/>
              </w:rPr>
              <w:t xml:space="preserve">: </w:t>
            </w:r>
            <w:r w:rsidR="00157BE0" w:rsidRPr="00CB239D">
              <w:rPr>
                <w:rFonts w:ascii="Verdana" w:hAnsi="Verdana"/>
                <w:sz w:val="18"/>
                <w:szCs w:val="18"/>
              </w:rPr>
              <w:t>Significant improvement in PRP group</w:t>
            </w:r>
            <w:r w:rsidRPr="00CB239D">
              <w:rPr>
                <w:rFonts w:ascii="Verdana" w:hAnsi="Verdana"/>
                <w:sz w:val="18"/>
                <w:szCs w:val="18"/>
              </w:rPr>
              <w:t xml:space="preserve"> (p=</w:t>
            </w:r>
            <w:proofErr w:type="gramStart"/>
            <w:r w:rsidRPr="00CB239D">
              <w:rPr>
                <w:rFonts w:ascii="Verdana" w:hAnsi="Verdana"/>
                <w:sz w:val="18"/>
                <w:szCs w:val="18"/>
              </w:rPr>
              <w:t>.03</w:t>
            </w:r>
            <w:proofErr w:type="gramEnd"/>
            <w:r w:rsidRPr="00CB239D">
              <w:rPr>
                <w:rFonts w:ascii="Verdana" w:hAnsi="Verdana"/>
                <w:sz w:val="18"/>
                <w:szCs w:val="18"/>
              </w:rPr>
              <w:t>), 1.87 [95% CI, .16- 3.58]</w:t>
            </w:r>
          </w:p>
          <w:p w14:paraId="5591627B" w14:textId="39ED0D04" w:rsidR="008B1418" w:rsidRPr="00CB239D" w:rsidRDefault="008B1418" w:rsidP="002A4867">
            <w:pPr>
              <w:pStyle w:val="ListParagraph"/>
              <w:numPr>
                <w:ilvl w:val="0"/>
                <w:numId w:val="32"/>
              </w:numPr>
              <w:spacing w:before="120" w:after="120"/>
              <w:rPr>
                <w:rFonts w:ascii="Verdana" w:hAnsi="Verdana"/>
                <w:sz w:val="18"/>
                <w:szCs w:val="18"/>
              </w:rPr>
            </w:pPr>
            <w:r w:rsidRPr="00CB239D">
              <w:rPr>
                <w:rFonts w:ascii="Verdana" w:hAnsi="Verdana"/>
                <w:sz w:val="18"/>
                <w:szCs w:val="18"/>
              </w:rPr>
              <w:t>At 6 month</w:t>
            </w:r>
            <w:r w:rsidR="00064708" w:rsidRPr="00CB239D">
              <w:rPr>
                <w:rFonts w:ascii="Verdana" w:hAnsi="Verdana"/>
                <w:sz w:val="18"/>
                <w:szCs w:val="18"/>
              </w:rPr>
              <w:t>s</w:t>
            </w:r>
            <w:r w:rsidRPr="00CB239D">
              <w:rPr>
                <w:rFonts w:ascii="Verdana" w:hAnsi="Verdana"/>
                <w:sz w:val="18"/>
                <w:szCs w:val="18"/>
              </w:rPr>
              <w:t>: No signifi</w:t>
            </w:r>
            <w:r w:rsidR="00A23DB8" w:rsidRPr="00CB239D">
              <w:rPr>
                <w:rFonts w:ascii="Verdana" w:hAnsi="Verdana"/>
                <w:sz w:val="18"/>
                <w:szCs w:val="18"/>
              </w:rPr>
              <w:t xml:space="preserve">cant difference between groups </w:t>
            </w:r>
            <w:r w:rsidRPr="00CB239D">
              <w:rPr>
                <w:rFonts w:ascii="Verdana" w:hAnsi="Verdana"/>
                <w:sz w:val="18"/>
                <w:szCs w:val="18"/>
              </w:rPr>
              <w:t>(p=</w:t>
            </w:r>
            <w:proofErr w:type="gramStart"/>
            <w:r w:rsidRPr="00CB239D">
              <w:rPr>
                <w:rFonts w:ascii="Verdana" w:hAnsi="Verdana"/>
                <w:sz w:val="18"/>
                <w:szCs w:val="18"/>
              </w:rPr>
              <w:t>.23</w:t>
            </w:r>
            <w:proofErr w:type="gramEnd"/>
            <w:r w:rsidRPr="00CB239D">
              <w:rPr>
                <w:rFonts w:ascii="Verdana" w:hAnsi="Verdana"/>
                <w:sz w:val="18"/>
                <w:szCs w:val="18"/>
              </w:rPr>
              <w:t>), 1.69 [95% CI, -1.06-4.45]</w:t>
            </w:r>
          </w:p>
          <w:p w14:paraId="3C690375" w14:textId="1AF0D705" w:rsidR="008B1418" w:rsidRPr="00CB239D" w:rsidRDefault="008B1418" w:rsidP="002A4867">
            <w:pPr>
              <w:pStyle w:val="ListParagraph"/>
              <w:numPr>
                <w:ilvl w:val="0"/>
                <w:numId w:val="32"/>
              </w:numPr>
              <w:spacing w:before="120" w:after="120"/>
              <w:rPr>
                <w:rFonts w:ascii="Verdana" w:hAnsi="Verdana"/>
                <w:sz w:val="18"/>
                <w:szCs w:val="18"/>
              </w:rPr>
            </w:pPr>
            <w:r w:rsidRPr="00CB239D">
              <w:rPr>
                <w:rFonts w:ascii="Verdana" w:hAnsi="Verdana"/>
                <w:sz w:val="18"/>
                <w:szCs w:val="18"/>
              </w:rPr>
              <w:t>At 12 month</w:t>
            </w:r>
            <w:r w:rsidR="00064708" w:rsidRPr="00CB239D">
              <w:rPr>
                <w:rFonts w:ascii="Verdana" w:hAnsi="Verdana"/>
                <w:sz w:val="18"/>
                <w:szCs w:val="18"/>
              </w:rPr>
              <w:t>s</w:t>
            </w:r>
            <w:r w:rsidRPr="00CB239D">
              <w:rPr>
                <w:rFonts w:ascii="Verdana" w:hAnsi="Verdana"/>
                <w:sz w:val="18"/>
                <w:szCs w:val="18"/>
              </w:rPr>
              <w:t>: No signifi</w:t>
            </w:r>
            <w:r w:rsidR="00A23DB8" w:rsidRPr="00CB239D">
              <w:rPr>
                <w:rFonts w:ascii="Verdana" w:hAnsi="Verdana"/>
                <w:sz w:val="18"/>
                <w:szCs w:val="18"/>
              </w:rPr>
              <w:t xml:space="preserve">cant difference between groups </w:t>
            </w:r>
            <w:r w:rsidRPr="00CB239D">
              <w:rPr>
                <w:rFonts w:ascii="Verdana" w:hAnsi="Verdana"/>
                <w:sz w:val="18"/>
                <w:szCs w:val="18"/>
              </w:rPr>
              <w:t>(p=</w:t>
            </w:r>
            <w:proofErr w:type="gramStart"/>
            <w:r w:rsidRPr="00CB239D">
              <w:rPr>
                <w:rFonts w:ascii="Verdana" w:hAnsi="Verdana"/>
                <w:sz w:val="18"/>
                <w:szCs w:val="18"/>
              </w:rPr>
              <w:t>..</w:t>
            </w:r>
            <w:proofErr w:type="gramEnd"/>
            <w:r w:rsidRPr="00CB239D">
              <w:rPr>
                <w:rFonts w:ascii="Verdana" w:hAnsi="Verdana"/>
                <w:sz w:val="18"/>
                <w:szCs w:val="18"/>
              </w:rPr>
              <w:t>20) 3.2 [95% CI, -1.64-8.04]</w:t>
            </w:r>
          </w:p>
          <w:p w14:paraId="50DEFDDA" w14:textId="4B88EFF4" w:rsidR="00064708" w:rsidRPr="00CB239D" w:rsidRDefault="00064708" w:rsidP="00064708">
            <w:pPr>
              <w:spacing w:before="120" w:after="120"/>
              <w:rPr>
                <w:sz w:val="18"/>
                <w:szCs w:val="18"/>
              </w:rPr>
            </w:pPr>
            <w:r w:rsidRPr="00CB239D">
              <w:rPr>
                <w:sz w:val="18"/>
                <w:szCs w:val="18"/>
              </w:rPr>
              <w:lastRenderedPageBreak/>
              <w:t>FADI</w:t>
            </w:r>
            <w:r w:rsidR="00DD061C" w:rsidRPr="00CB239D">
              <w:rPr>
                <w:sz w:val="18"/>
                <w:szCs w:val="18"/>
              </w:rPr>
              <w:t xml:space="preserve"> (20%)</w:t>
            </w:r>
          </w:p>
          <w:p w14:paraId="1AC2A627" w14:textId="506FDBEC" w:rsidR="00064708" w:rsidRPr="00CB239D" w:rsidRDefault="00064708" w:rsidP="00064708">
            <w:pPr>
              <w:pStyle w:val="ListParagraph"/>
              <w:numPr>
                <w:ilvl w:val="0"/>
                <w:numId w:val="33"/>
              </w:numPr>
              <w:spacing w:before="120" w:after="120"/>
              <w:rPr>
                <w:rFonts w:ascii="Verdana" w:hAnsi="Verdana"/>
                <w:sz w:val="18"/>
                <w:szCs w:val="18"/>
              </w:rPr>
            </w:pPr>
            <w:r w:rsidRPr="00CB239D">
              <w:rPr>
                <w:rFonts w:ascii="Verdana" w:hAnsi="Verdana"/>
                <w:sz w:val="18"/>
                <w:szCs w:val="18"/>
              </w:rPr>
              <w:t>At 3 months: No signif</w:t>
            </w:r>
            <w:r w:rsidR="00A23DB8" w:rsidRPr="00CB239D">
              <w:rPr>
                <w:rFonts w:ascii="Verdana" w:hAnsi="Verdana"/>
                <w:sz w:val="18"/>
                <w:szCs w:val="18"/>
              </w:rPr>
              <w:t>icant difference between groups</w:t>
            </w:r>
            <w:r w:rsidRPr="00CB239D">
              <w:rPr>
                <w:rFonts w:ascii="Verdana" w:hAnsi="Verdana"/>
                <w:sz w:val="18"/>
                <w:szCs w:val="18"/>
              </w:rPr>
              <w:t xml:space="preserve"> (p=</w:t>
            </w:r>
            <w:proofErr w:type="gramStart"/>
            <w:r w:rsidRPr="00CB239D">
              <w:rPr>
                <w:rFonts w:ascii="Verdana" w:hAnsi="Verdana"/>
                <w:sz w:val="18"/>
                <w:szCs w:val="18"/>
              </w:rPr>
              <w:t>.27</w:t>
            </w:r>
            <w:proofErr w:type="gramEnd"/>
            <w:r w:rsidRPr="00CB239D">
              <w:rPr>
                <w:rFonts w:ascii="Verdana" w:hAnsi="Verdana"/>
                <w:sz w:val="18"/>
                <w:szCs w:val="18"/>
              </w:rPr>
              <w:t>), 1.73 [95% CI, 1.32-4.78]</w:t>
            </w:r>
          </w:p>
          <w:p w14:paraId="0520E3AC" w14:textId="77777777" w:rsidR="0000738B" w:rsidRPr="00CB239D" w:rsidRDefault="0000738B" w:rsidP="004F60A2">
            <w:pPr>
              <w:spacing w:before="120" w:after="120"/>
              <w:rPr>
                <w:sz w:val="18"/>
                <w:szCs w:val="18"/>
              </w:rPr>
            </w:pPr>
          </w:p>
          <w:p w14:paraId="59A1DE01" w14:textId="49792843" w:rsidR="0000738B" w:rsidRPr="00CB239D" w:rsidRDefault="00157BE0" w:rsidP="004F60A2">
            <w:pPr>
              <w:pStyle w:val="ListParagraph"/>
              <w:numPr>
                <w:ilvl w:val="0"/>
                <w:numId w:val="33"/>
              </w:numPr>
              <w:spacing w:before="120" w:after="120"/>
              <w:rPr>
                <w:rFonts w:ascii="Verdana" w:hAnsi="Verdana"/>
                <w:sz w:val="18"/>
                <w:szCs w:val="18"/>
              </w:rPr>
            </w:pPr>
            <w:r w:rsidRPr="00CB239D">
              <w:rPr>
                <w:rFonts w:ascii="Verdana" w:hAnsi="Verdana"/>
                <w:sz w:val="18"/>
                <w:szCs w:val="18"/>
              </w:rPr>
              <w:t xml:space="preserve">The PRP group </w:t>
            </w:r>
            <w:r w:rsidR="00B8504F">
              <w:rPr>
                <w:rFonts w:ascii="Verdana" w:hAnsi="Verdana"/>
                <w:sz w:val="18"/>
                <w:szCs w:val="18"/>
              </w:rPr>
              <w:t>improved significantly more than the corticosteroid group</w:t>
            </w:r>
            <w:r w:rsidR="00B8504F" w:rsidRPr="00CB239D">
              <w:rPr>
                <w:rFonts w:ascii="Verdana" w:hAnsi="Verdana"/>
                <w:sz w:val="18"/>
                <w:szCs w:val="18"/>
              </w:rPr>
              <w:t xml:space="preserve"> in </w:t>
            </w:r>
            <w:bookmarkStart w:id="0" w:name="_GoBack"/>
            <w:bookmarkEnd w:id="0"/>
            <w:r w:rsidRPr="00CB239D">
              <w:rPr>
                <w:rFonts w:ascii="Verdana" w:hAnsi="Verdana"/>
                <w:sz w:val="18"/>
                <w:szCs w:val="18"/>
              </w:rPr>
              <w:t>VAS and AOFAS outcomes at the 3 month follow up, however there were no significant difference between groups during the other follow ups. Although it was not</w:t>
            </w:r>
            <w:r w:rsidR="00A23DB8" w:rsidRPr="00CB239D">
              <w:rPr>
                <w:rFonts w:ascii="Verdana" w:hAnsi="Verdana"/>
                <w:sz w:val="18"/>
                <w:szCs w:val="18"/>
              </w:rPr>
              <w:t xml:space="preserve"> a</w:t>
            </w:r>
            <w:r w:rsidRPr="00CB239D">
              <w:rPr>
                <w:rFonts w:ascii="Verdana" w:hAnsi="Verdana"/>
                <w:sz w:val="18"/>
                <w:szCs w:val="18"/>
              </w:rPr>
              <w:t xml:space="preserve"> significant</w:t>
            </w:r>
            <w:r w:rsidR="00A23DB8" w:rsidRPr="00CB239D">
              <w:rPr>
                <w:rFonts w:ascii="Verdana" w:hAnsi="Verdana"/>
                <w:sz w:val="18"/>
                <w:szCs w:val="18"/>
              </w:rPr>
              <w:t xml:space="preserve"> difference</w:t>
            </w:r>
            <w:r w:rsidR="00811D4B" w:rsidRPr="00CB239D">
              <w:rPr>
                <w:rFonts w:ascii="Verdana" w:hAnsi="Verdana"/>
                <w:sz w:val="18"/>
                <w:szCs w:val="18"/>
              </w:rPr>
              <w:t>, the PRP injections were</w:t>
            </w:r>
            <w:r w:rsidRPr="00CB239D">
              <w:rPr>
                <w:rFonts w:ascii="Verdana" w:hAnsi="Verdana"/>
                <w:sz w:val="18"/>
                <w:szCs w:val="18"/>
              </w:rPr>
              <w:t xml:space="preserve"> favored in reg</w:t>
            </w:r>
            <w:r w:rsidR="00811D4B" w:rsidRPr="00CB239D">
              <w:rPr>
                <w:rFonts w:ascii="Verdana" w:hAnsi="Verdana"/>
                <w:sz w:val="18"/>
                <w:szCs w:val="18"/>
              </w:rPr>
              <w:t>ards to the subjects’ VAS score and corti</w:t>
            </w:r>
            <w:r w:rsidR="00142FB1" w:rsidRPr="00CB239D">
              <w:rPr>
                <w:rFonts w:ascii="Verdana" w:hAnsi="Verdana"/>
                <w:sz w:val="18"/>
                <w:szCs w:val="18"/>
              </w:rPr>
              <w:t>costeroids were favored in the</w:t>
            </w:r>
            <w:r w:rsidR="00811D4B" w:rsidRPr="00CB239D">
              <w:rPr>
                <w:rFonts w:ascii="Verdana" w:hAnsi="Verdana"/>
                <w:sz w:val="18"/>
                <w:szCs w:val="18"/>
              </w:rPr>
              <w:t xml:space="preserve"> AOFAS and FADI scores</w:t>
            </w:r>
            <w:r w:rsidR="009B0B1F" w:rsidRPr="00CB239D">
              <w:rPr>
                <w:rFonts w:ascii="Verdana" w:hAnsi="Verdana"/>
                <w:sz w:val="18"/>
                <w:szCs w:val="18"/>
              </w:rPr>
              <w:t>.</w:t>
            </w:r>
            <w:r w:rsidR="00DE7418" w:rsidRPr="00CB239D">
              <w:rPr>
                <w:rFonts w:ascii="Verdana" w:hAnsi="Verdana"/>
                <w:sz w:val="18"/>
                <w:szCs w:val="18"/>
              </w:rPr>
              <w:t xml:space="preserve"> These results demonstrate that the PRP and corticosteroids produce similar outcomes in both pain and function outcomes, with PRP havi</w:t>
            </w:r>
            <w:r w:rsidR="001D40B5" w:rsidRPr="00CB239D">
              <w:rPr>
                <w:rFonts w:ascii="Verdana" w:hAnsi="Verdana"/>
                <w:sz w:val="18"/>
                <w:szCs w:val="18"/>
              </w:rPr>
              <w:t xml:space="preserve">ng </w:t>
            </w:r>
            <w:r w:rsidR="00A23DB8" w:rsidRPr="00CB239D">
              <w:rPr>
                <w:rFonts w:ascii="Verdana" w:hAnsi="Verdana"/>
                <w:sz w:val="18"/>
                <w:szCs w:val="18"/>
              </w:rPr>
              <w:t>better outcomes</w:t>
            </w:r>
            <w:r w:rsidR="00C3269D" w:rsidRPr="00CB239D">
              <w:rPr>
                <w:rFonts w:ascii="Verdana" w:hAnsi="Verdana"/>
                <w:sz w:val="18"/>
                <w:szCs w:val="18"/>
              </w:rPr>
              <w:t xml:space="preserve"> at 3 months.</w:t>
            </w:r>
          </w:p>
          <w:p w14:paraId="63B8C2DC" w14:textId="77777777" w:rsidR="00C3269D" w:rsidRPr="00CB239D" w:rsidRDefault="00C3269D" w:rsidP="00C3269D">
            <w:pPr>
              <w:spacing w:before="120" w:after="120"/>
              <w:rPr>
                <w:sz w:val="18"/>
                <w:szCs w:val="18"/>
              </w:rPr>
            </w:pPr>
          </w:p>
          <w:p w14:paraId="6088A206" w14:textId="21310477" w:rsidR="0000738B" w:rsidRPr="00CB239D" w:rsidRDefault="00DD061C" w:rsidP="00157BE0">
            <w:pPr>
              <w:spacing w:before="120" w:after="120"/>
              <w:rPr>
                <w:sz w:val="18"/>
                <w:szCs w:val="18"/>
              </w:rPr>
            </w:pPr>
            <w:r w:rsidRPr="00CB239D">
              <w:rPr>
                <w:sz w:val="18"/>
                <w:szCs w:val="18"/>
              </w:rPr>
              <w:t xml:space="preserve">*% </w:t>
            </w:r>
            <w:proofErr w:type="gramStart"/>
            <w:r w:rsidRPr="00CB239D">
              <w:rPr>
                <w:sz w:val="18"/>
                <w:szCs w:val="18"/>
              </w:rPr>
              <w:t>represents</w:t>
            </w:r>
            <w:proofErr w:type="gramEnd"/>
            <w:r w:rsidRPr="00CB239D">
              <w:rPr>
                <w:sz w:val="18"/>
                <w:szCs w:val="18"/>
              </w:rPr>
              <w:t xml:space="preserve"> the % of included studies that used the particular outcome measure.</w:t>
            </w:r>
          </w:p>
        </w:tc>
      </w:tr>
      <w:tr w:rsidR="0000738B" w:rsidRPr="00CB239D" w14:paraId="117502B7" w14:textId="77777777" w:rsidTr="004F60A2">
        <w:tc>
          <w:tcPr>
            <w:tcW w:w="10421" w:type="dxa"/>
            <w:shd w:val="clear" w:color="auto" w:fill="E6E6E6"/>
          </w:tcPr>
          <w:p w14:paraId="0797C801" w14:textId="77777777" w:rsidR="0000738B" w:rsidRPr="00CB239D" w:rsidRDefault="0000738B" w:rsidP="004F60A2">
            <w:pPr>
              <w:spacing w:before="120" w:after="120"/>
              <w:rPr>
                <w:b/>
                <w:sz w:val="18"/>
                <w:szCs w:val="18"/>
              </w:rPr>
            </w:pPr>
            <w:r w:rsidRPr="00CB239D">
              <w:rPr>
                <w:b/>
                <w:sz w:val="18"/>
                <w:szCs w:val="18"/>
              </w:rPr>
              <w:lastRenderedPageBreak/>
              <w:t>Original Authors’ Conclusions</w:t>
            </w:r>
          </w:p>
          <w:p w14:paraId="64E071A7" w14:textId="77777777" w:rsidR="0000738B" w:rsidRPr="00CB239D" w:rsidRDefault="0000738B" w:rsidP="004F60A2">
            <w:pPr>
              <w:spacing w:before="120" w:after="120"/>
              <w:rPr>
                <w:sz w:val="18"/>
                <w:szCs w:val="18"/>
              </w:rPr>
            </w:pPr>
            <w:r w:rsidRPr="00CB239D">
              <w:rPr>
                <w:sz w:val="18"/>
                <w:szCs w:val="18"/>
              </w:rPr>
              <w:t>[Paraphrase as required.  If providing a direct quote, add page number]</w:t>
            </w:r>
          </w:p>
        </w:tc>
      </w:tr>
      <w:tr w:rsidR="0000738B" w:rsidRPr="00CB239D" w14:paraId="6DB245A6" w14:textId="77777777" w:rsidTr="004F60A2">
        <w:tc>
          <w:tcPr>
            <w:tcW w:w="10421" w:type="dxa"/>
            <w:tcBorders>
              <w:bottom w:val="single" w:sz="4" w:space="0" w:color="auto"/>
            </w:tcBorders>
            <w:shd w:val="clear" w:color="auto" w:fill="auto"/>
          </w:tcPr>
          <w:p w14:paraId="0DC87FFC" w14:textId="520D19EF" w:rsidR="00CB291B" w:rsidRPr="00CB239D" w:rsidRDefault="00157BE0" w:rsidP="00157BE0">
            <w:pPr>
              <w:pStyle w:val="ListParagraph"/>
              <w:numPr>
                <w:ilvl w:val="0"/>
                <w:numId w:val="34"/>
              </w:numPr>
              <w:spacing w:before="120" w:after="120"/>
              <w:rPr>
                <w:rFonts w:ascii="Verdana" w:hAnsi="Verdana"/>
                <w:sz w:val="18"/>
                <w:szCs w:val="18"/>
              </w:rPr>
            </w:pPr>
            <w:r w:rsidRPr="00CB239D">
              <w:rPr>
                <w:rFonts w:ascii="Verdana" w:hAnsi="Verdana"/>
                <w:sz w:val="18"/>
                <w:szCs w:val="18"/>
              </w:rPr>
              <w:t xml:space="preserve">PRP injections resulted in greater </w:t>
            </w:r>
            <w:r w:rsidR="009B0B1F" w:rsidRPr="00CB239D">
              <w:rPr>
                <w:rFonts w:ascii="Verdana" w:hAnsi="Verdana"/>
                <w:sz w:val="18"/>
                <w:szCs w:val="18"/>
              </w:rPr>
              <w:t xml:space="preserve">function and pain </w:t>
            </w:r>
            <w:r w:rsidRPr="00CB239D">
              <w:rPr>
                <w:rFonts w:ascii="Verdana" w:hAnsi="Verdana"/>
                <w:sz w:val="18"/>
                <w:szCs w:val="18"/>
              </w:rPr>
              <w:t>outcomes at 3 months</w:t>
            </w:r>
            <w:r w:rsidR="009B0B1F" w:rsidRPr="00CB239D">
              <w:rPr>
                <w:rFonts w:ascii="Verdana" w:hAnsi="Verdana"/>
                <w:sz w:val="18"/>
                <w:szCs w:val="18"/>
              </w:rPr>
              <w:t xml:space="preserve">, however the </w:t>
            </w:r>
            <w:r w:rsidR="00CB291B" w:rsidRPr="00CB239D">
              <w:rPr>
                <w:rFonts w:ascii="Verdana" w:hAnsi="Verdana"/>
                <w:sz w:val="18"/>
                <w:szCs w:val="18"/>
              </w:rPr>
              <w:t>results between both groups were not significantly different during the long-term follow-ups. The current literature is lacking high quality studies that compare the long-term effects of both injections.</w:t>
            </w:r>
          </w:p>
          <w:p w14:paraId="61679941" w14:textId="77777777" w:rsidR="0000738B" w:rsidRPr="00CB239D" w:rsidRDefault="0000738B" w:rsidP="004F60A2">
            <w:pPr>
              <w:spacing w:before="120" w:after="120"/>
              <w:rPr>
                <w:sz w:val="18"/>
                <w:szCs w:val="18"/>
              </w:rPr>
            </w:pPr>
          </w:p>
          <w:p w14:paraId="5E6F44E1" w14:textId="77777777" w:rsidR="0000738B" w:rsidRPr="00CB239D" w:rsidRDefault="0000738B" w:rsidP="004F60A2">
            <w:pPr>
              <w:spacing w:before="120" w:after="120"/>
              <w:jc w:val="right"/>
              <w:rPr>
                <w:sz w:val="18"/>
                <w:szCs w:val="18"/>
              </w:rPr>
            </w:pPr>
          </w:p>
        </w:tc>
      </w:tr>
      <w:tr w:rsidR="0000738B" w:rsidRPr="00CB239D" w14:paraId="4FDDDC0B" w14:textId="77777777" w:rsidTr="004F60A2">
        <w:tc>
          <w:tcPr>
            <w:tcW w:w="10421" w:type="dxa"/>
            <w:shd w:val="clear" w:color="auto" w:fill="E6E6E6"/>
          </w:tcPr>
          <w:p w14:paraId="6B26F04E" w14:textId="77777777" w:rsidR="0000738B" w:rsidRPr="00CB239D" w:rsidRDefault="0000738B" w:rsidP="004F60A2">
            <w:pPr>
              <w:spacing w:before="120" w:after="120"/>
              <w:rPr>
                <w:b/>
                <w:sz w:val="18"/>
                <w:szCs w:val="18"/>
              </w:rPr>
            </w:pPr>
            <w:r w:rsidRPr="00CB239D">
              <w:rPr>
                <w:b/>
                <w:sz w:val="18"/>
                <w:szCs w:val="18"/>
              </w:rPr>
              <w:t>Critical Appraisal</w:t>
            </w:r>
          </w:p>
        </w:tc>
      </w:tr>
      <w:tr w:rsidR="0000738B" w:rsidRPr="00CB239D" w14:paraId="6F100C05" w14:textId="77777777" w:rsidTr="004F60A2">
        <w:tc>
          <w:tcPr>
            <w:tcW w:w="10421" w:type="dxa"/>
            <w:shd w:val="clear" w:color="auto" w:fill="auto"/>
          </w:tcPr>
          <w:p w14:paraId="0D4F67A4" w14:textId="77777777" w:rsidR="0000738B" w:rsidRPr="00CB239D" w:rsidRDefault="0000738B" w:rsidP="004F60A2">
            <w:pPr>
              <w:spacing w:before="120" w:after="120"/>
              <w:rPr>
                <w:b/>
                <w:sz w:val="18"/>
                <w:szCs w:val="18"/>
              </w:rPr>
            </w:pPr>
            <w:r w:rsidRPr="00CB239D">
              <w:rPr>
                <w:b/>
                <w:sz w:val="18"/>
                <w:szCs w:val="18"/>
              </w:rPr>
              <w:t>Validity</w:t>
            </w:r>
          </w:p>
          <w:p w14:paraId="3A47C9A8" w14:textId="77777777" w:rsidR="0000738B" w:rsidRPr="00CB239D" w:rsidRDefault="0000738B" w:rsidP="0000738B">
            <w:pPr>
              <w:spacing w:before="120" w:after="120"/>
              <w:rPr>
                <w:sz w:val="18"/>
                <w:szCs w:val="18"/>
              </w:rPr>
            </w:pPr>
            <w:r w:rsidRPr="00CB239D">
              <w:rPr>
                <w:sz w:val="18"/>
                <w:szCs w:val="18"/>
              </w:rPr>
              <w:t>[Summarize the internal and external validity of the study. Highlight key strengths and weaknesses. Comment on the overall evidence quality provided by this study.]</w:t>
            </w:r>
          </w:p>
        </w:tc>
      </w:tr>
      <w:tr w:rsidR="0000738B" w:rsidRPr="00CB239D" w14:paraId="27D8A410" w14:textId="77777777" w:rsidTr="004F60A2">
        <w:tc>
          <w:tcPr>
            <w:tcW w:w="10421" w:type="dxa"/>
            <w:shd w:val="clear" w:color="auto" w:fill="auto"/>
          </w:tcPr>
          <w:p w14:paraId="55A9FB6D" w14:textId="3F74EF37" w:rsidR="0000738B" w:rsidRPr="00CB239D" w:rsidRDefault="00A875E0" w:rsidP="00A875E0">
            <w:pPr>
              <w:pStyle w:val="ListParagraph"/>
              <w:numPr>
                <w:ilvl w:val="0"/>
                <w:numId w:val="34"/>
              </w:numPr>
              <w:spacing w:before="120" w:after="120"/>
              <w:rPr>
                <w:rFonts w:ascii="Verdana" w:hAnsi="Verdana"/>
                <w:sz w:val="18"/>
                <w:szCs w:val="18"/>
              </w:rPr>
            </w:pPr>
            <w:r w:rsidRPr="00CB239D">
              <w:rPr>
                <w:rFonts w:ascii="Verdana" w:hAnsi="Verdana"/>
                <w:sz w:val="18"/>
                <w:szCs w:val="18"/>
              </w:rPr>
              <w:t>AMSTAR score: 9/11 Priori design provided: Yes; Two independent data extractors: Yes; Comprehensive search: Yes; Stat</w:t>
            </w:r>
            <w:r w:rsidR="00AB5A22" w:rsidRPr="00CB239D">
              <w:rPr>
                <w:rFonts w:ascii="Verdana" w:hAnsi="Verdana"/>
                <w:sz w:val="18"/>
                <w:szCs w:val="18"/>
              </w:rPr>
              <w:t>us of publication: No</w:t>
            </w:r>
            <w:r w:rsidRPr="00CB239D">
              <w:rPr>
                <w:rFonts w:ascii="Verdana" w:hAnsi="Verdana"/>
                <w:sz w:val="18"/>
                <w:szCs w:val="18"/>
              </w:rPr>
              <w:t xml:space="preserve">; List of studies: No; Characteristics of studies: Yes; Quality of studies noted: Yes; Quality of studies used in conclusions: Yes; </w:t>
            </w:r>
            <w:r w:rsidR="00AB5A22" w:rsidRPr="00CB239D">
              <w:rPr>
                <w:rFonts w:ascii="Verdana" w:hAnsi="Verdana"/>
                <w:sz w:val="18"/>
                <w:szCs w:val="18"/>
              </w:rPr>
              <w:t>Appropriate methods: Yes; Publication bias assessed: Yes; Conflict of interest noted: Yes.</w:t>
            </w:r>
          </w:p>
          <w:p w14:paraId="1CCE92F3" w14:textId="78B64C42" w:rsidR="00C20533" w:rsidRPr="00CB239D" w:rsidRDefault="004D0237" w:rsidP="001D40B5">
            <w:pPr>
              <w:pStyle w:val="ListParagraph"/>
              <w:numPr>
                <w:ilvl w:val="0"/>
                <w:numId w:val="34"/>
              </w:numPr>
              <w:spacing w:before="120" w:after="120"/>
              <w:rPr>
                <w:rFonts w:ascii="Verdana" w:hAnsi="Verdana"/>
                <w:sz w:val="18"/>
                <w:szCs w:val="18"/>
              </w:rPr>
            </w:pPr>
            <w:r w:rsidRPr="00CB239D">
              <w:rPr>
                <w:rFonts w:ascii="Verdana" w:hAnsi="Verdana"/>
                <w:sz w:val="18"/>
                <w:szCs w:val="18"/>
              </w:rPr>
              <w:t xml:space="preserve">Strengths: </w:t>
            </w:r>
            <w:r w:rsidR="00C0174A" w:rsidRPr="00CB239D">
              <w:rPr>
                <w:rFonts w:ascii="Verdana" w:hAnsi="Verdana"/>
                <w:sz w:val="18"/>
                <w:szCs w:val="18"/>
              </w:rPr>
              <w:t>Authors assessed t</w:t>
            </w:r>
            <w:r w:rsidR="00C611EC" w:rsidRPr="00CB239D">
              <w:rPr>
                <w:rFonts w:ascii="Verdana" w:hAnsi="Verdana"/>
                <w:sz w:val="18"/>
                <w:szCs w:val="18"/>
              </w:rPr>
              <w:t>he quality of each study using</w:t>
            </w:r>
            <w:r w:rsidR="00C0174A" w:rsidRPr="00CB239D">
              <w:rPr>
                <w:rFonts w:ascii="Verdana" w:hAnsi="Verdana"/>
                <w:sz w:val="18"/>
                <w:szCs w:val="18"/>
              </w:rPr>
              <w:t xml:space="preserve"> validated measure</w:t>
            </w:r>
            <w:r w:rsidR="00C611EC" w:rsidRPr="00CB239D">
              <w:rPr>
                <w:rFonts w:ascii="Verdana" w:hAnsi="Verdana"/>
                <w:sz w:val="18"/>
                <w:szCs w:val="18"/>
              </w:rPr>
              <w:t>s</w:t>
            </w:r>
            <w:r w:rsidR="00C0174A" w:rsidRPr="00CB239D">
              <w:rPr>
                <w:rFonts w:ascii="Verdana" w:hAnsi="Verdana"/>
                <w:sz w:val="18"/>
                <w:szCs w:val="18"/>
              </w:rPr>
              <w:t xml:space="preserve"> and included a chart detailing these finding</w:t>
            </w:r>
            <w:r w:rsidR="001D40B5" w:rsidRPr="00CB239D">
              <w:rPr>
                <w:rFonts w:ascii="Verdana" w:hAnsi="Verdana"/>
                <w:sz w:val="18"/>
                <w:szCs w:val="18"/>
              </w:rPr>
              <w:t>s</w:t>
            </w:r>
            <w:r w:rsidR="00C0174A" w:rsidRPr="00CB239D">
              <w:rPr>
                <w:rFonts w:ascii="Verdana" w:hAnsi="Verdana"/>
                <w:sz w:val="18"/>
                <w:szCs w:val="18"/>
              </w:rPr>
              <w:t xml:space="preserve">. This meta-analysis included all of the studies that were reviewed for the PICO question. Authors used a funnel plot to determine if there </w:t>
            </w:r>
            <w:r w:rsidRPr="00CB239D">
              <w:rPr>
                <w:rFonts w:ascii="Verdana" w:hAnsi="Verdana"/>
                <w:sz w:val="18"/>
                <w:szCs w:val="18"/>
              </w:rPr>
              <w:t>was any publication bias</w:t>
            </w:r>
            <w:r w:rsidR="00C0174A" w:rsidRPr="00CB239D">
              <w:rPr>
                <w:rFonts w:ascii="Verdana" w:hAnsi="Verdana"/>
                <w:sz w:val="18"/>
                <w:szCs w:val="18"/>
              </w:rPr>
              <w:t>.</w:t>
            </w:r>
            <w:r w:rsidRPr="00CB239D">
              <w:rPr>
                <w:rFonts w:ascii="Verdana" w:hAnsi="Verdana"/>
                <w:sz w:val="18"/>
                <w:szCs w:val="18"/>
              </w:rPr>
              <w:t xml:space="preserve"> There was significant heterogeneity</w:t>
            </w:r>
            <w:r w:rsidR="001D40B5" w:rsidRPr="00CB239D">
              <w:rPr>
                <w:rFonts w:ascii="Verdana" w:hAnsi="Verdana"/>
                <w:sz w:val="18"/>
                <w:szCs w:val="18"/>
              </w:rPr>
              <w:t xml:space="preserve"> </w:t>
            </w:r>
            <w:r w:rsidR="009A1A94" w:rsidRPr="00CB239D">
              <w:rPr>
                <w:rFonts w:ascii="Verdana" w:hAnsi="Verdana"/>
                <w:sz w:val="18"/>
                <w:szCs w:val="18"/>
              </w:rPr>
              <w:t>in the preparation of PRP</w:t>
            </w:r>
            <w:r w:rsidRPr="00CB239D">
              <w:rPr>
                <w:rFonts w:ascii="Verdana" w:hAnsi="Verdana"/>
                <w:sz w:val="18"/>
                <w:szCs w:val="18"/>
              </w:rPr>
              <w:t xml:space="preserve"> </w:t>
            </w:r>
            <w:r w:rsidR="001D40B5" w:rsidRPr="00CB239D">
              <w:rPr>
                <w:rFonts w:ascii="Verdana" w:hAnsi="Verdana"/>
                <w:sz w:val="18"/>
                <w:szCs w:val="18"/>
              </w:rPr>
              <w:t xml:space="preserve">and type of steroid administered </w:t>
            </w:r>
            <w:r w:rsidRPr="00CB239D">
              <w:rPr>
                <w:rFonts w:ascii="Verdana" w:hAnsi="Verdana"/>
                <w:sz w:val="18"/>
                <w:szCs w:val="18"/>
              </w:rPr>
              <w:t>between studies so authors perfo</w:t>
            </w:r>
            <w:r w:rsidR="009A1A94" w:rsidRPr="00CB239D">
              <w:rPr>
                <w:rFonts w:ascii="Verdana" w:hAnsi="Verdana"/>
                <w:sz w:val="18"/>
                <w:szCs w:val="18"/>
              </w:rPr>
              <w:t>rmed a random effects analysis.</w:t>
            </w:r>
          </w:p>
          <w:p w14:paraId="5879838C" w14:textId="0F4F21C0" w:rsidR="00A54025" w:rsidRPr="00CB239D" w:rsidRDefault="00C0174A" w:rsidP="00C3269D">
            <w:pPr>
              <w:pStyle w:val="ListParagraph"/>
              <w:numPr>
                <w:ilvl w:val="0"/>
                <w:numId w:val="34"/>
              </w:numPr>
              <w:spacing w:before="120" w:after="120"/>
              <w:rPr>
                <w:rFonts w:ascii="Verdana" w:hAnsi="Verdana"/>
                <w:sz w:val="18"/>
                <w:szCs w:val="18"/>
              </w:rPr>
            </w:pPr>
            <w:r w:rsidRPr="00CB239D">
              <w:rPr>
                <w:rFonts w:ascii="Verdana" w:hAnsi="Verdana"/>
                <w:sz w:val="18"/>
                <w:szCs w:val="18"/>
              </w:rPr>
              <w:t>Weaknesses: Authors provided a flow chart that detailed their screening process but did not include the list of studies that were excluded</w:t>
            </w:r>
            <w:r w:rsidR="00A54025" w:rsidRPr="00CB239D">
              <w:rPr>
                <w:rFonts w:ascii="Verdana" w:hAnsi="Verdana"/>
                <w:sz w:val="18"/>
                <w:szCs w:val="18"/>
              </w:rPr>
              <w:t xml:space="preserve"> from this meta-analysis. Authors also did not search for unpublished studies. Both of these factors are potentials for publication bias. Half of the included articles were not blinded and only three were double </w:t>
            </w:r>
            <w:r w:rsidR="00E901CD" w:rsidRPr="00CB239D">
              <w:rPr>
                <w:rFonts w:ascii="Verdana" w:hAnsi="Verdana"/>
                <w:sz w:val="18"/>
                <w:szCs w:val="18"/>
              </w:rPr>
              <w:t>blinded</w:t>
            </w:r>
            <w:r w:rsidR="00A54025" w:rsidRPr="00CB239D">
              <w:rPr>
                <w:rFonts w:ascii="Verdana" w:hAnsi="Verdana"/>
                <w:sz w:val="18"/>
                <w:szCs w:val="18"/>
              </w:rPr>
              <w:t xml:space="preserve"> so the included studies have a high risk of reporting bias. Only one of the articles included </w:t>
            </w:r>
            <w:r w:rsidR="006C08A3" w:rsidRPr="00CB239D">
              <w:rPr>
                <w:rFonts w:ascii="Verdana" w:hAnsi="Verdana"/>
                <w:sz w:val="18"/>
                <w:szCs w:val="18"/>
              </w:rPr>
              <w:t>a</w:t>
            </w:r>
            <w:r w:rsidR="00A54025" w:rsidRPr="00CB239D">
              <w:rPr>
                <w:rFonts w:ascii="Verdana" w:hAnsi="Verdana"/>
                <w:sz w:val="18"/>
                <w:szCs w:val="18"/>
              </w:rPr>
              <w:t xml:space="preserve"> placebo, which truly validates that the improvements were not caused spontaneously</w:t>
            </w:r>
            <w:r w:rsidR="002811EF" w:rsidRPr="00CB239D">
              <w:rPr>
                <w:rFonts w:ascii="Verdana" w:hAnsi="Verdana"/>
                <w:sz w:val="18"/>
                <w:szCs w:val="18"/>
              </w:rPr>
              <w:t xml:space="preserve"> over time</w:t>
            </w:r>
            <w:r w:rsidR="00A54025" w:rsidRPr="00CB239D">
              <w:rPr>
                <w:rFonts w:ascii="Verdana" w:hAnsi="Verdana"/>
                <w:sz w:val="18"/>
                <w:szCs w:val="18"/>
              </w:rPr>
              <w:t xml:space="preserve">. </w:t>
            </w:r>
            <w:r w:rsidR="002811EF" w:rsidRPr="00CB239D">
              <w:rPr>
                <w:rFonts w:ascii="Verdana" w:hAnsi="Verdana"/>
                <w:sz w:val="18"/>
                <w:szCs w:val="18"/>
              </w:rPr>
              <w:t>A</w:t>
            </w:r>
            <w:r w:rsidR="006C08A3" w:rsidRPr="00CB239D">
              <w:rPr>
                <w:rFonts w:ascii="Verdana" w:hAnsi="Verdana"/>
                <w:sz w:val="18"/>
                <w:szCs w:val="18"/>
              </w:rPr>
              <w:t>uth</w:t>
            </w:r>
            <w:r w:rsidR="002811EF" w:rsidRPr="00CB239D">
              <w:rPr>
                <w:rFonts w:ascii="Verdana" w:hAnsi="Verdana"/>
                <w:sz w:val="18"/>
                <w:szCs w:val="18"/>
              </w:rPr>
              <w:t>ors stated their search terms but t</w:t>
            </w:r>
            <w:r w:rsidR="006C08A3" w:rsidRPr="00CB239D">
              <w:rPr>
                <w:rFonts w:ascii="Verdana" w:hAnsi="Verdana"/>
                <w:sz w:val="18"/>
                <w:szCs w:val="18"/>
              </w:rPr>
              <w:t xml:space="preserve">hey did not </w:t>
            </w:r>
            <w:r w:rsidR="005B4153" w:rsidRPr="00CB239D">
              <w:rPr>
                <w:rFonts w:ascii="Verdana" w:hAnsi="Verdana"/>
                <w:sz w:val="18"/>
                <w:szCs w:val="18"/>
              </w:rPr>
              <w:t>report</w:t>
            </w:r>
            <w:r w:rsidR="006C08A3" w:rsidRPr="00CB239D">
              <w:rPr>
                <w:rFonts w:ascii="Verdana" w:hAnsi="Verdana"/>
                <w:sz w:val="18"/>
                <w:szCs w:val="18"/>
              </w:rPr>
              <w:t xml:space="preserve"> their</w:t>
            </w:r>
            <w:r w:rsidR="005B4153" w:rsidRPr="00CB239D">
              <w:rPr>
                <w:rFonts w:ascii="Verdana" w:hAnsi="Verdana"/>
                <w:sz w:val="18"/>
                <w:szCs w:val="18"/>
              </w:rPr>
              <w:t xml:space="preserve"> </w:t>
            </w:r>
            <w:r w:rsidR="00C3269D" w:rsidRPr="00CB239D">
              <w:rPr>
                <w:rFonts w:ascii="Verdana" w:hAnsi="Verdana"/>
                <w:sz w:val="18"/>
                <w:szCs w:val="18"/>
              </w:rPr>
              <w:t>exact</w:t>
            </w:r>
            <w:r w:rsidR="00387CBC" w:rsidRPr="00CB239D">
              <w:rPr>
                <w:rFonts w:ascii="Verdana" w:hAnsi="Verdana"/>
                <w:sz w:val="18"/>
                <w:szCs w:val="18"/>
              </w:rPr>
              <w:t xml:space="preserve"> search</w:t>
            </w:r>
            <w:r w:rsidR="006C08A3" w:rsidRPr="00CB239D">
              <w:rPr>
                <w:rFonts w:ascii="Verdana" w:hAnsi="Verdana"/>
                <w:sz w:val="18"/>
                <w:szCs w:val="18"/>
              </w:rPr>
              <w:t xml:space="preserve"> strategy, which </w:t>
            </w:r>
            <w:r w:rsidR="009D35E3" w:rsidRPr="00CB239D">
              <w:rPr>
                <w:rFonts w:ascii="Verdana" w:hAnsi="Verdana"/>
                <w:sz w:val="18"/>
                <w:szCs w:val="18"/>
              </w:rPr>
              <w:t>could</w:t>
            </w:r>
            <w:r w:rsidR="006C08A3" w:rsidRPr="00CB239D">
              <w:rPr>
                <w:rFonts w:ascii="Verdana" w:hAnsi="Verdana"/>
                <w:sz w:val="18"/>
                <w:szCs w:val="18"/>
              </w:rPr>
              <w:t xml:space="preserve"> make </w:t>
            </w:r>
            <w:r w:rsidR="009D35E3" w:rsidRPr="00CB239D">
              <w:rPr>
                <w:rFonts w:ascii="Verdana" w:hAnsi="Verdana"/>
                <w:sz w:val="18"/>
                <w:szCs w:val="18"/>
              </w:rPr>
              <w:t>this search</w:t>
            </w:r>
            <w:r w:rsidR="006C08A3" w:rsidRPr="00CB239D">
              <w:rPr>
                <w:rFonts w:ascii="Verdana" w:hAnsi="Verdana"/>
                <w:sz w:val="18"/>
                <w:szCs w:val="18"/>
              </w:rPr>
              <w:t xml:space="preserve"> difficult to replicate</w:t>
            </w:r>
            <w:r w:rsidR="009D35E3" w:rsidRPr="00CB239D">
              <w:rPr>
                <w:rFonts w:ascii="Verdana" w:hAnsi="Verdana"/>
                <w:sz w:val="18"/>
                <w:szCs w:val="18"/>
              </w:rPr>
              <w:t>.</w:t>
            </w:r>
            <w:r w:rsidR="0070036E" w:rsidRPr="00CB239D">
              <w:rPr>
                <w:rFonts w:ascii="Verdana" w:hAnsi="Verdana"/>
                <w:sz w:val="18"/>
                <w:szCs w:val="18"/>
              </w:rPr>
              <w:t xml:space="preserve"> </w:t>
            </w:r>
            <w:r w:rsidR="00C3269D" w:rsidRPr="00CB239D">
              <w:rPr>
                <w:rFonts w:ascii="Verdana" w:hAnsi="Verdana"/>
                <w:sz w:val="18"/>
                <w:szCs w:val="18"/>
              </w:rPr>
              <w:t xml:space="preserve">Only six of the studies included long-term follow-ups (≥6 months). </w:t>
            </w:r>
            <w:r w:rsidR="0070036E" w:rsidRPr="00CB239D">
              <w:rPr>
                <w:rFonts w:ascii="Verdana" w:hAnsi="Verdana"/>
                <w:sz w:val="18"/>
                <w:szCs w:val="18"/>
              </w:rPr>
              <w:t xml:space="preserve">Also, this study does not include any </w:t>
            </w:r>
            <w:r w:rsidR="00C3269D" w:rsidRPr="00CB239D">
              <w:rPr>
                <w:rFonts w:ascii="Verdana" w:hAnsi="Verdana"/>
                <w:sz w:val="18"/>
                <w:szCs w:val="18"/>
              </w:rPr>
              <w:t xml:space="preserve">mean </w:t>
            </w:r>
            <w:r w:rsidR="0070036E" w:rsidRPr="00CB239D">
              <w:rPr>
                <w:rFonts w:ascii="Verdana" w:hAnsi="Verdana"/>
                <w:sz w:val="18"/>
                <w:szCs w:val="18"/>
              </w:rPr>
              <w:t>baseline measures so it is difficult to determine the severity of the subjects’ plantar fasciitis prior to treatment.</w:t>
            </w:r>
            <w:r w:rsidR="006C1B1F" w:rsidRPr="00CB239D">
              <w:rPr>
                <w:rFonts w:ascii="Verdana" w:hAnsi="Verdana"/>
                <w:sz w:val="18"/>
                <w:szCs w:val="18"/>
              </w:rPr>
              <w:t xml:space="preserve"> This also prevents </w:t>
            </w:r>
            <w:r w:rsidR="00E77F0F" w:rsidRPr="00CB239D">
              <w:rPr>
                <w:rFonts w:ascii="Verdana" w:hAnsi="Verdana"/>
                <w:sz w:val="18"/>
                <w:szCs w:val="18"/>
              </w:rPr>
              <w:t>readers</w:t>
            </w:r>
            <w:r w:rsidR="006C1B1F" w:rsidRPr="00CB239D">
              <w:rPr>
                <w:rFonts w:ascii="Verdana" w:hAnsi="Verdana"/>
                <w:sz w:val="18"/>
                <w:szCs w:val="18"/>
              </w:rPr>
              <w:t xml:space="preserve"> from knowing the</w:t>
            </w:r>
            <w:r w:rsidR="00AC26F7" w:rsidRPr="00CB239D">
              <w:rPr>
                <w:rFonts w:ascii="Verdana" w:hAnsi="Verdana"/>
                <w:sz w:val="18"/>
                <w:szCs w:val="18"/>
              </w:rPr>
              <w:t xml:space="preserve"> overall</w:t>
            </w:r>
            <w:r w:rsidR="006C1B1F" w:rsidRPr="00CB239D">
              <w:rPr>
                <w:rFonts w:ascii="Verdana" w:hAnsi="Verdana"/>
                <w:sz w:val="18"/>
                <w:szCs w:val="18"/>
              </w:rPr>
              <w:t xml:space="preserve"> </w:t>
            </w:r>
            <w:r w:rsidR="0086263B" w:rsidRPr="00CB239D">
              <w:rPr>
                <w:rFonts w:ascii="Verdana" w:hAnsi="Verdana"/>
                <w:sz w:val="18"/>
                <w:szCs w:val="18"/>
              </w:rPr>
              <w:t>treatment effect</w:t>
            </w:r>
            <w:r w:rsidR="00E77F0F" w:rsidRPr="00CB239D">
              <w:rPr>
                <w:rFonts w:ascii="Verdana" w:hAnsi="Verdana"/>
                <w:sz w:val="18"/>
                <w:szCs w:val="18"/>
              </w:rPr>
              <w:t>.</w:t>
            </w:r>
          </w:p>
          <w:p w14:paraId="2D22F1F4" w14:textId="77777777" w:rsidR="0000738B" w:rsidRPr="00CB239D" w:rsidRDefault="0000738B" w:rsidP="004F60A2">
            <w:pPr>
              <w:spacing w:before="120" w:after="120"/>
              <w:rPr>
                <w:sz w:val="18"/>
                <w:szCs w:val="18"/>
              </w:rPr>
            </w:pPr>
          </w:p>
          <w:p w14:paraId="5F75089F" w14:textId="77777777" w:rsidR="0000738B" w:rsidRPr="00CB239D" w:rsidRDefault="0000738B" w:rsidP="00387CBC">
            <w:pPr>
              <w:spacing w:before="120" w:after="120"/>
              <w:rPr>
                <w:sz w:val="18"/>
                <w:szCs w:val="18"/>
              </w:rPr>
            </w:pPr>
          </w:p>
        </w:tc>
      </w:tr>
      <w:tr w:rsidR="0000738B" w:rsidRPr="00CB239D" w14:paraId="54BEEEBE" w14:textId="77777777" w:rsidTr="004F60A2">
        <w:tc>
          <w:tcPr>
            <w:tcW w:w="10421" w:type="dxa"/>
            <w:shd w:val="clear" w:color="auto" w:fill="auto"/>
          </w:tcPr>
          <w:p w14:paraId="3D1ACDA8" w14:textId="77777777" w:rsidR="0000738B" w:rsidRPr="00CB239D" w:rsidRDefault="0000738B" w:rsidP="004F60A2">
            <w:pPr>
              <w:spacing w:before="120" w:after="120"/>
              <w:jc w:val="both"/>
              <w:rPr>
                <w:b/>
                <w:sz w:val="18"/>
                <w:szCs w:val="18"/>
              </w:rPr>
            </w:pPr>
            <w:r w:rsidRPr="00CB239D">
              <w:rPr>
                <w:b/>
                <w:sz w:val="18"/>
                <w:szCs w:val="18"/>
              </w:rPr>
              <w:t>Interpretation of Results</w:t>
            </w:r>
          </w:p>
          <w:p w14:paraId="485089B0" w14:textId="77777777" w:rsidR="0000738B" w:rsidRPr="00CB239D" w:rsidRDefault="0000738B" w:rsidP="004F60A2">
            <w:pPr>
              <w:spacing w:before="120" w:after="120"/>
              <w:jc w:val="both"/>
              <w:rPr>
                <w:sz w:val="18"/>
                <w:szCs w:val="18"/>
              </w:rPr>
            </w:pPr>
            <w:r w:rsidRPr="00CB239D">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CB239D" w14:paraId="420E0942" w14:textId="77777777" w:rsidTr="004F60A2">
        <w:trPr>
          <w:trHeight w:val="1365"/>
        </w:trPr>
        <w:tc>
          <w:tcPr>
            <w:tcW w:w="10421" w:type="dxa"/>
            <w:shd w:val="clear" w:color="auto" w:fill="auto"/>
          </w:tcPr>
          <w:p w14:paraId="55D4D880" w14:textId="3572628C" w:rsidR="00A83E91" w:rsidRPr="00CB239D" w:rsidRDefault="008E7334" w:rsidP="00A83E91">
            <w:pPr>
              <w:pStyle w:val="ListParagraph"/>
              <w:numPr>
                <w:ilvl w:val="0"/>
                <w:numId w:val="35"/>
              </w:numPr>
              <w:spacing w:before="120" w:after="120"/>
              <w:rPr>
                <w:rFonts w:ascii="Verdana" w:hAnsi="Verdana"/>
                <w:sz w:val="18"/>
                <w:szCs w:val="18"/>
              </w:rPr>
            </w:pPr>
            <w:r w:rsidRPr="00CB239D">
              <w:rPr>
                <w:rFonts w:ascii="Verdana" w:hAnsi="Verdana"/>
                <w:sz w:val="18"/>
                <w:szCs w:val="18"/>
              </w:rPr>
              <w:t xml:space="preserve">Currently, the amount of high quality, </w:t>
            </w:r>
            <w:r w:rsidR="00A83E91" w:rsidRPr="00CB239D">
              <w:rPr>
                <w:rFonts w:ascii="Verdana" w:hAnsi="Verdana"/>
                <w:sz w:val="18"/>
                <w:szCs w:val="18"/>
              </w:rPr>
              <w:t>long-term</w:t>
            </w:r>
            <w:r w:rsidRPr="00CB239D">
              <w:rPr>
                <w:rFonts w:ascii="Verdana" w:hAnsi="Verdana"/>
                <w:sz w:val="18"/>
                <w:szCs w:val="18"/>
              </w:rPr>
              <w:t xml:space="preserve"> studies that compare PRP injections versus corticosteroid injections in regards to plantar fasciitis is scarce. The </w:t>
            </w:r>
            <w:r w:rsidR="00FE2FB8" w:rsidRPr="00CB239D">
              <w:rPr>
                <w:rFonts w:ascii="Verdana" w:hAnsi="Verdana"/>
                <w:sz w:val="18"/>
                <w:szCs w:val="18"/>
              </w:rPr>
              <w:t>results from this meta-analysis indicate</w:t>
            </w:r>
            <w:r w:rsidRPr="00CB239D">
              <w:rPr>
                <w:rFonts w:ascii="Verdana" w:hAnsi="Verdana"/>
                <w:sz w:val="18"/>
                <w:szCs w:val="18"/>
              </w:rPr>
              <w:t xml:space="preserve"> that PRP injections are superior in regards to pain and function at 3 months, however the results are similar </w:t>
            </w:r>
            <w:r w:rsidR="00C3269D" w:rsidRPr="00CB239D">
              <w:rPr>
                <w:rFonts w:ascii="Verdana" w:hAnsi="Verdana"/>
                <w:sz w:val="18"/>
                <w:szCs w:val="18"/>
              </w:rPr>
              <w:t>during succeeding follow-</w:t>
            </w:r>
            <w:r w:rsidR="001D3B31" w:rsidRPr="00CB239D">
              <w:rPr>
                <w:rFonts w:ascii="Verdana" w:hAnsi="Verdana"/>
                <w:sz w:val="18"/>
                <w:szCs w:val="18"/>
              </w:rPr>
              <w:t>ups.</w:t>
            </w:r>
            <w:r w:rsidR="00CF22FA" w:rsidRPr="00CB239D">
              <w:rPr>
                <w:rFonts w:ascii="Verdana" w:hAnsi="Verdana"/>
                <w:sz w:val="18"/>
                <w:szCs w:val="18"/>
              </w:rPr>
              <w:t xml:space="preserve"> This meta-analysis has a low risk of bias as evidenced by the AMSTAR </w:t>
            </w:r>
            <w:r w:rsidR="006937A2" w:rsidRPr="00CB239D">
              <w:rPr>
                <w:rFonts w:ascii="Verdana" w:hAnsi="Verdana"/>
                <w:sz w:val="18"/>
                <w:szCs w:val="18"/>
              </w:rPr>
              <w:t xml:space="preserve">measurement tool and </w:t>
            </w:r>
            <w:r w:rsidR="00B86EA6" w:rsidRPr="00CB239D">
              <w:rPr>
                <w:rFonts w:ascii="Verdana" w:hAnsi="Verdana"/>
                <w:sz w:val="18"/>
                <w:szCs w:val="18"/>
              </w:rPr>
              <w:t xml:space="preserve">it </w:t>
            </w:r>
            <w:r w:rsidR="006937A2" w:rsidRPr="00CB239D">
              <w:rPr>
                <w:rFonts w:ascii="Verdana" w:hAnsi="Verdana"/>
                <w:sz w:val="18"/>
                <w:szCs w:val="18"/>
              </w:rPr>
              <w:t>includes the latest evidence in regards to the topic.</w:t>
            </w:r>
            <w:r w:rsidR="00A83E91" w:rsidRPr="00CB239D">
              <w:rPr>
                <w:rFonts w:ascii="Verdana" w:hAnsi="Verdana"/>
                <w:sz w:val="18"/>
                <w:szCs w:val="18"/>
              </w:rPr>
              <w:t xml:space="preserve"> It is worth noting that only two studies included follow-ups beyond 6 months so knowledge of </w:t>
            </w:r>
            <w:r w:rsidR="00C611EC" w:rsidRPr="00CB239D">
              <w:rPr>
                <w:rFonts w:ascii="Verdana" w:hAnsi="Verdana"/>
                <w:sz w:val="18"/>
                <w:szCs w:val="18"/>
              </w:rPr>
              <w:t>the injections</w:t>
            </w:r>
            <w:r w:rsidR="00A83E91" w:rsidRPr="00CB239D">
              <w:rPr>
                <w:rFonts w:ascii="Verdana" w:hAnsi="Verdana"/>
                <w:sz w:val="18"/>
                <w:szCs w:val="18"/>
              </w:rPr>
              <w:t xml:space="preserve"> </w:t>
            </w:r>
            <w:r w:rsidR="00C611EC" w:rsidRPr="00CB239D">
              <w:rPr>
                <w:rFonts w:ascii="Verdana" w:hAnsi="Verdana"/>
                <w:sz w:val="18"/>
                <w:szCs w:val="18"/>
              </w:rPr>
              <w:t>long-term</w:t>
            </w:r>
            <w:r w:rsidR="00A83E91" w:rsidRPr="00CB239D">
              <w:rPr>
                <w:rFonts w:ascii="Verdana" w:hAnsi="Verdana"/>
                <w:sz w:val="18"/>
                <w:szCs w:val="18"/>
              </w:rPr>
              <w:t xml:space="preserve"> effects is currently limited.</w:t>
            </w:r>
          </w:p>
          <w:p w14:paraId="452DA218" w14:textId="23A929E1" w:rsidR="0000738B" w:rsidRPr="00CB239D" w:rsidRDefault="0000738B" w:rsidP="00C611EC">
            <w:pPr>
              <w:spacing w:before="120" w:after="120"/>
              <w:rPr>
                <w:sz w:val="18"/>
                <w:szCs w:val="18"/>
              </w:rPr>
            </w:pPr>
          </w:p>
          <w:p w14:paraId="02B05734" w14:textId="77777777" w:rsidR="0000738B" w:rsidRPr="00CB239D" w:rsidRDefault="0000738B" w:rsidP="004F60A2">
            <w:pPr>
              <w:spacing w:before="120" w:after="120"/>
              <w:jc w:val="right"/>
              <w:rPr>
                <w:sz w:val="18"/>
                <w:szCs w:val="18"/>
              </w:rPr>
            </w:pPr>
          </w:p>
        </w:tc>
      </w:tr>
      <w:tr w:rsidR="0000738B" w:rsidRPr="00CB239D" w14:paraId="331A4724" w14:textId="77777777" w:rsidTr="0000738B">
        <w:trPr>
          <w:trHeight w:val="741"/>
        </w:trPr>
        <w:tc>
          <w:tcPr>
            <w:tcW w:w="10421" w:type="dxa"/>
            <w:shd w:val="clear" w:color="auto" w:fill="auto"/>
          </w:tcPr>
          <w:p w14:paraId="2F85F8A1" w14:textId="77777777" w:rsidR="0000738B" w:rsidRPr="00CB239D" w:rsidRDefault="0000738B" w:rsidP="004F60A2">
            <w:pPr>
              <w:spacing w:before="120" w:after="120"/>
              <w:jc w:val="both"/>
              <w:rPr>
                <w:b/>
                <w:sz w:val="18"/>
                <w:szCs w:val="18"/>
              </w:rPr>
            </w:pPr>
            <w:r w:rsidRPr="00CB239D">
              <w:rPr>
                <w:b/>
                <w:sz w:val="18"/>
                <w:szCs w:val="18"/>
              </w:rPr>
              <w:lastRenderedPageBreak/>
              <w:t>Applicability of Study Results</w:t>
            </w:r>
          </w:p>
          <w:p w14:paraId="41A00630" w14:textId="77777777" w:rsidR="0000738B" w:rsidRPr="00CB239D" w:rsidRDefault="00752AAC" w:rsidP="004F60A2">
            <w:pPr>
              <w:spacing w:before="120" w:after="120"/>
              <w:rPr>
                <w:sz w:val="18"/>
                <w:szCs w:val="18"/>
              </w:rPr>
            </w:pPr>
            <w:r w:rsidRPr="00CB239D">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CB239D" w14:paraId="3FCE2CC1" w14:textId="77777777" w:rsidTr="004F60A2">
        <w:trPr>
          <w:trHeight w:val="1594"/>
        </w:trPr>
        <w:tc>
          <w:tcPr>
            <w:tcW w:w="10421" w:type="dxa"/>
            <w:tcBorders>
              <w:bottom w:val="single" w:sz="4" w:space="0" w:color="auto"/>
            </w:tcBorders>
            <w:shd w:val="clear" w:color="auto" w:fill="auto"/>
          </w:tcPr>
          <w:p w14:paraId="49162E02" w14:textId="291900AC" w:rsidR="003D59FF" w:rsidRPr="00CB239D" w:rsidRDefault="00661B1E" w:rsidP="00CB239D">
            <w:pPr>
              <w:pStyle w:val="ListParagraph"/>
              <w:numPr>
                <w:ilvl w:val="0"/>
                <w:numId w:val="35"/>
              </w:numPr>
              <w:spacing w:before="120" w:after="120"/>
              <w:rPr>
                <w:rFonts w:ascii="Verdana" w:hAnsi="Verdana"/>
                <w:sz w:val="18"/>
                <w:szCs w:val="18"/>
              </w:rPr>
            </w:pPr>
            <w:r w:rsidRPr="00CB239D">
              <w:rPr>
                <w:rFonts w:ascii="Verdana" w:hAnsi="Verdana"/>
                <w:sz w:val="18"/>
                <w:szCs w:val="18"/>
              </w:rPr>
              <w:t xml:space="preserve">This meta-analysis does not </w:t>
            </w:r>
            <w:r w:rsidR="00103D2A" w:rsidRPr="00CB239D">
              <w:rPr>
                <w:rFonts w:ascii="Verdana" w:hAnsi="Verdana"/>
                <w:sz w:val="18"/>
                <w:szCs w:val="18"/>
              </w:rPr>
              <w:t>include</w:t>
            </w:r>
            <w:r w:rsidRPr="00CB239D">
              <w:rPr>
                <w:rFonts w:ascii="Verdana" w:hAnsi="Verdana"/>
                <w:sz w:val="18"/>
                <w:szCs w:val="18"/>
              </w:rPr>
              <w:t xml:space="preserve"> the characteristics of the individuals</w:t>
            </w:r>
            <w:r w:rsidR="002E644F" w:rsidRPr="00CB239D">
              <w:rPr>
                <w:rFonts w:ascii="Verdana" w:hAnsi="Verdana"/>
                <w:sz w:val="18"/>
                <w:szCs w:val="18"/>
              </w:rPr>
              <w:t>, beyond their age range,</w:t>
            </w:r>
            <w:r w:rsidRPr="00CB239D">
              <w:rPr>
                <w:rFonts w:ascii="Verdana" w:hAnsi="Verdana"/>
                <w:sz w:val="18"/>
                <w:szCs w:val="18"/>
              </w:rPr>
              <w:t xml:space="preserve"> in the studies</w:t>
            </w:r>
            <w:r w:rsidR="00695361" w:rsidRPr="00CB239D">
              <w:rPr>
                <w:rFonts w:ascii="Verdana" w:hAnsi="Verdana"/>
                <w:sz w:val="18"/>
                <w:szCs w:val="18"/>
              </w:rPr>
              <w:t xml:space="preserve">. Authors did report that </w:t>
            </w:r>
            <w:r w:rsidR="005477A7" w:rsidRPr="00CB239D">
              <w:rPr>
                <w:rFonts w:ascii="Verdana" w:hAnsi="Verdana"/>
                <w:sz w:val="18"/>
                <w:szCs w:val="18"/>
              </w:rPr>
              <w:t xml:space="preserve">subjects in 8 of the 10 studies </w:t>
            </w:r>
            <w:r w:rsidR="002E644F" w:rsidRPr="00CB239D">
              <w:rPr>
                <w:rFonts w:ascii="Verdana" w:hAnsi="Verdana"/>
                <w:sz w:val="18"/>
                <w:szCs w:val="18"/>
              </w:rPr>
              <w:t xml:space="preserve">had chronic plantar fasciitis as evidenced by them failing conservative treatment for at least 3 months. </w:t>
            </w:r>
            <w:r w:rsidR="007B0B55" w:rsidRPr="00CB239D">
              <w:rPr>
                <w:rFonts w:ascii="Verdana" w:hAnsi="Verdana"/>
                <w:sz w:val="18"/>
                <w:szCs w:val="18"/>
              </w:rPr>
              <w:t xml:space="preserve">Since all of the articles that were reviewed for the PICO were included in this meta-analysis, </w:t>
            </w:r>
            <w:r w:rsidR="00103D2A" w:rsidRPr="00CB239D">
              <w:rPr>
                <w:rFonts w:ascii="Verdana" w:hAnsi="Verdana"/>
                <w:sz w:val="18"/>
                <w:szCs w:val="18"/>
              </w:rPr>
              <w:t xml:space="preserve">it is known that the majority of the subjects were female. </w:t>
            </w:r>
            <w:r w:rsidR="007B0B55" w:rsidRPr="00CB239D">
              <w:rPr>
                <w:rFonts w:ascii="Verdana" w:hAnsi="Verdana"/>
                <w:sz w:val="18"/>
                <w:szCs w:val="18"/>
              </w:rPr>
              <w:t xml:space="preserve">The ages of both groups ranged between 30.7 to 59.0 years. </w:t>
            </w:r>
            <w:r w:rsidR="00F7170C" w:rsidRPr="00CB239D">
              <w:rPr>
                <w:rFonts w:ascii="Verdana" w:hAnsi="Verdana"/>
                <w:sz w:val="18"/>
                <w:szCs w:val="18"/>
              </w:rPr>
              <w:t>Both PRP and corticosteroid injections provide effective pain relief an</w:t>
            </w:r>
            <w:r w:rsidR="00CB239D" w:rsidRPr="00CB239D">
              <w:rPr>
                <w:rFonts w:ascii="Verdana" w:hAnsi="Verdana"/>
                <w:sz w:val="18"/>
                <w:szCs w:val="18"/>
              </w:rPr>
              <w:t xml:space="preserve">d improve function in subjects. </w:t>
            </w:r>
            <w:r w:rsidR="00E07C64" w:rsidRPr="00CB239D">
              <w:rPr>
                <w:rFonts w:ascii="Verdana" w:hAnsi="Verdana"/>
                <w:sz w:val="18"/>
                <w:szCs w:val="18"/>
              </w:rPr>
              <w:t>Based o</w:t>
            </w:r>
            <w:r w:rsidR="00CB239D" w:rsidRPr="00CB239D">
              <w:rPr>
                <w:rFonts w:ascii="Verdana" w:hAnsi="Verdana"/>
                <w:sz w:val="18"/>
                <w:szCs w:val="18"/>
              </w:rPr>
              <w:t xml:space="preserve">n the information provided, the reader would recommend PRP injections since it produces significant improve in the patient’s pain and function at 3 months. If the financial cost </w:t>
            </w:r>
            <w:proofErr w:type="gramStart"/>
            <w:r w:rsidR="00CB239D" w:rsidRPr="00CB239D">
              <w:rPr>
                <w:rFonts w:ascii="Verdana" w:hAnsi="Verdana"/>
                <w:sz w:val="18"/>
                <w:szCs w:val="18"/>
              </w:rPr>
              <w:t>was</w:t>
            </w:r>
            <w:proofErr w:type="gramEnd"/>
            <w:r w:rsidR="00CB239D" w:rsidRPr="00CB239D">
              <w:rPr>
                <w:rFonts w:ascii="Verdana" w:hAnsi="Verdana"/>
                <w:sz w:val="18"/>
                <w:szCs w:val="18"/>
              </w:rPr>
              <w:t xml:space="preserve"> a significant factor, reader would recommend whichever injection was the cheapest since both bring similar outcomes for the most of the follow ups. </w:t>
            </w:r>
            <w:r w:rsidR="00F91C46" w:rsidRPr="00CB239D">
              <w:rPr>
                <w:rFonts w:ascii="Verdana" w:hAnsi="Verdana"/>
                <w:sz w:val="18"/>
                <w:szCs w:val="18"/>
              </w:rPr>
              <w:t xml:space="preserve">Since characteristic information is limited, this only </w:t>
            </w:r>
            <w:r w:rsidR="00C376E9" w:rsidRPr="00CB239D">
              <w:rPr>
                <w:rFonts w:ascii="Verdana" w:hAnsi="Verdana"/>
                <w:sz w:val="18"/>
                <w:szCs w:val="18"/>
              </w:rPr>
              <w:t>allows readers to generalize t</w:t>
            </w:r>
            <w:r w:rsidR="00E77F0F" w:rsidRPr="00CB239D">
              <w:rPr>
                <w:rFonts w:ascii="Verdana" w:hAnsi="Verdana"/>
                <w:sz w:val="18"/>
                <w:szCs w:val="18"/>
              </w:rPr>
              <w:t>hese finding</w:t>
            </w:r>
            <w:r w:rsidR="00F91C46" w:rsidRPr="00CB239D">
              <w:rPr>
                <w:rFonts w:ascii="Verdana" w:hAnsi="Verdana"/>
                <w:sz w:val="18"/>
                <w:szCs w:val="18"/>
              </w:rPr>
              <w:t>s</w:t>
            </w:r>
            <w:r w:rsidR="00E77F0F" w:rsidRPr="00CB239D">
              <w:rPr>
                <w:rFonts w:ascii="Verdana" w:hAnsi="Verdana"/>
                <w:sz w:val="18"/>
                <w:szCs w:val="18"/>
              </w:rPr>
              <w:t xml:space="preserve"> to individuals that have </w:t>
            </w:r>
            <w:r w:rsidR="001065A6" w:rsidRPr="00CB239D">
              <w:rPr>
                <w:rFonts w:ascii="Verdana" w:hAnsi="Verdana"/>
                <w:sz w:val="18"/>
                <w:szCs w:val="18"/>
              </w:rPr>
              <w:t>failed stand</w:t>
            </w:r>
            <w:r w:rsidR="001D444F" w:rsidRPr="00CB239D">
              <w:rPr>
                <w:rFonts w:ascii="Verdana" w:hAnsi="Verdana"/>
                <w:sz w:val="18"/>
                <w:szCs w:val="18"/>
              </w:rPr>
              <w:t xml:space="preserve">ard care for at least 3 months, which </w:t>
            </w:r>
            <w:r w:rsidR="00F91C46" w:rsidRPr="00CB239D">
              <w:rPr>
                <w:rFonts w:ascii="Verdana" w:hAnsi="Verdana"/>
                <w:sz w:val="18"/>
                <w:szCs w:val="18"/>
              </w:rPr>
              <w:t>restricts</w:t>
            </w:r>
            <w:r w:rsidR="001D444F" w:rsidRPr="00CB239D">
              <w:rPr>
                <w:rFonts w:ascii="Verdana" w:hAnsi="Verdana"/>
                <w:sz w:val="18"/>
                <w:szCs w:val="18"/>
              </w:rPr>
              <w:t xml:space="preserve"> the reader’s ability to apply these results to</w:t>
            </w:r>
            <w:r w:rsidR="003D59FF" w:rsidRPr="00CB239D">
              <w:rPr>
                <w:rFonts w:ascii="Verdana" w:hAnsi="Verdana"/>
                <w:sz w:val="18"/>
                <w:szCs w:val="18"/>
              </w:rPr>
              <w:t xml:space="preserve"> </w:t>
            </w:r>
            <w:r w:rsidR="00F91C46" w:rsidRPr="00CB239D">
              <w:rPr>
                <w:rFonts w:ascii="Verdana" w:hAnsi="Verdana"/>
                <w:sz w:val="18"/>
                <w:szCs w:val="18"/>
              </w:rPr>
              <w:t xml:space="preserve">a </w:t>
            </w:r>
            <w:r w:rsidR="003D59FF" w:rsidRPr="00CB239D">
              <w:rPr>
                <w:rFonts w:ascii="Verdana" w:hAnsi="Verdana"/>
                <w:sz w:val="18"/>
                <w:szCs w:val="18"/>
              </w:rPr>
              <w:t>specific patient.</w:t>
            </w:r>
            <w:r w:rsidR="00F91C46" w:rsidRPr="00CB239D">
              <w:rPr>
                <w:rFonts w:ascii="Verdana" w:hAnsi="Verdana"/>
                <w:sz w:val="18"/>
                <w:szCs w:val="18"/>
              </w:rPr>
              <w:t xml:space="preserve"> The reader is unable to conclude if the patient’s obesity will factor into the</w:t>
            </w:r>
            <w:r w:rsidR="00CB239D" w:rsidRPr="00CB239D">
              <w:rPr>
                <w:rFonts w:ascii="Verdana" w:hAnsi="Verdana"/>
                <w:sz w:val="18"/>
                <w:szCs w:val="18"/>
              </w:rPr>
              <w:t xml:space="preserve"> outcomes of this intervention. </w:t>
            </w:r>
            <w:r w:rsidR="003D59FF" w:rsidRPr="00CB239D">
              <w:rPr>
                <w:rFonts w:ascii="Verdana" w:hAnsi="Verdana"/>
                <w:sz w:val="18"/>
                <w:szCs w:val="18"/>
              </w:rPr>
              <w:t>The known characteristics of these subjects were similar to patient in the scenario in regards to her gender, age, and failed conservative treatment</w:t>
            </w:r>
            <w:r w:rsidR="00F91C46" w:rsidRPr="00CB239D">
              <w:rPr>
                <w:rFonts w:ascii="Verdana" w:hAnsi="Verdana"/>
                <w:sz w:val="18"/>
                <w:szCs w:val="18"/>
              </w:rPr>
              <w:t xml:space="preserve">. </w:t>
            </w:r>
            <w:r w:rsidR="003D59FF" w:rsidRPr="00CB239D">
              <w:rPr>
                <w:rFonts w:ascii="Verdana" w:hAnsi="Verdana"/>
                <w:sz w:val="18"/>
                <w:szCs w:val="18"/>
              </w:rPr>
              <w:t xml:space="preserve">The meta-analysis does </w:t>
            </w:r>
            <w:r w:rsidR="001B1022" w:rsidRPr="00CB239D">
              <w:rPr>
                <w:rFonts w:ascii="Verdana" w:hAnsi="Verdana"/>
                <w:sz w:val="18"/>
                <w:szCs w:val="18"/>
              </w:rPr>
              <w:t>report short term and long term results of both interventions but the lack of high quality, long term evidence does not make it conclusive.</w:t>
            </w:r>
          </w:p>
          <w:p w14:paraId="246445EE" w14:textId="77777777" w:rsidR="0000738B" w:rsidRPr="00CB239D" w:rsidRDefault="0000738B" w:rsidP="004F60A2">
            <w:pPr>
              <w:spacing w:before="120" w:after="120"/>
              <w:rPr>
                <w:sz w:val="18"/>
                <w:szCs w:val="18"/>
              </w:rPr>
            </w:pPr>
          </w:p>
          <w:p w14:paraId="35DB796D" w14:textId="77777777" w:rsidR="0000738B" w:rsidRPr="00CB239D" w:rsidRDefault="0000738B" w:rsidP="004F60A2">
            <w:pPr>
              <w:spacing w:before="120" w:after="120"/>
              <w:jc w:val="right"/>
              <w:rPr>
                <w:b/>
                <w:sz w:val="18"/>
                <w:szCs w:val="18"/>
              </w:rPr>
            </w:pPr>
          </w:p>
        </w:tc>
      </w:tr>
    </w:tbl>
    <w:p w14:paraId="6397C001" w14:textId="77777777" w:rsidR="001D4F60" w:rsidRPr="00CB239D" w:rsidRDefault="001D4F60" w:rsidP="001D4F60">
      <w:pPr>
        <w:spacing w:before="240" w:after="240"/>
        <w:rPr>
          <w:b/>
          <w:sz w:val="18"/>
          <w:szCs w:val="18"/>
        </w:rPr>
      </w:pPr>
    </w:p>
    <w:p w14:paraId="4FADC2AD" w14:textId="77777777" w:rsidR="00D018FF" w:rsidRPr="00CB239D" w:rsidRDefault="009A38BC" w:rsidP="001E5719">
      <w:pPr>
        <w:spacing w:before="120" w:after="120"/>
        <w:rPr>
          <w:b/>
          <w:sz w:val="18"/>
          <w:szCs w:val="18"/>
        </w:rPr>
      </w:pPr>
      <w:r w:rsidRPr="00CB239D">
        <w:rPr>
          <w:b/>
          <w:sz w:val="18"/>
          <w:szCs w:val="18"/>
        </w:rPr>
        <w:t xml:space="preserve">SYNTHESIS AND </w:t>
      </w:r>
      <w:r w:rsidR="00B631A9" w:rsidRPr="00CB239D">
        <w:rPr>
          <w:b/>
          <w:sz w:val="18"/>
          <w:szCs w:val="18"/>
        </w:rPr>
        <w:t xml:space="preserve">CLINICAL </w:t>
      </w:r>
      <w:r w:rsidRPr="00CB239D">
        <w:rPr>
          <w:b/>
          <w:sz w:val="18"/>
          <w:szCs w:val="18"/>
        </w:rPr>
        <w:t>IMPLICATIONS</w:t>
      </w:r>
    </w:p>
    <w:p w14:paraId="5812384B" w14:textId="77777777" w:rsidR="00B631A9" w:rsidRPr="00CB239D" w:rsidRDefault="00B631A9" w:rsidP="001E5719">
      <w:pPr>
        <w:spacing w:before="120" w:after="120"/>
        <w:rPr>
          <w:sz w:val="18"/>
          <w:szCs w:val="18"/>
        </w:rPr>
      </w:pPr>
      <w:r w:rsidRPr="00CB239D">
        <w:rPr>
          <w:sz w:val="18"/>
          <w:szCs w:val="18"/>
        </w:rPr>
        <w:t>[Synthesize the results, quality/validity, and applicability of the two studies reviewed for the CAT.</w:t>
      </w:r>
      <w:r w:rsidR="005C6870" w:rsidRPr="00CB239D">
        <w:rPr>
          <w:sz w:val="18"/>
          <w:szCs w:val="18"/>
        </w:rPr>
        <w:t xml:space="preserve"> Future implications for research should be addressed briefly. Limit: 1 page.</w:t>
      </w:r>
      <w:r w:rsidRPr="00CB239D">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CB239D" w14:paraId="29F6353F" w14:textId="77777777" w:rsidTr="002F16E1">
        <w:tc>
          <w:tcPr>
            <w:tcW w:w="10421" w:type="dxa"/>
            <w:shd w:val="clear" w:color="auto" w:fill="auto"/>
          </w:tcPr>
          <w:p w14:paraId="5FF1B9F5" w14:textId="537E319C" w:rsidR="00E609EF" w:rsidRPr="00CB239D" w:rsidRDefault="00C20F5F" w:rsidP="00F91C46">
            <w:pPr>
              <w:pStyle w:val="ListParagraph"/>
              <w:numPr>
                <w:ilvl w:val="0"/>
                <w:numId w:val="23"/>
              </w:numPr>
              <w:spacing w:before="120" w:after="120"/>
              <w:rPr>
                <w:rFonts w:ascii="Verdana" w:hAnsi="Verdana"/>
                <w:sz w:val="18"/>
                <w:szCs w:val="18"/>
              </w:rPr>
            </w:pPr>
            <w:r w:rsidRPr="00CB239D">
              <w:rPr>
                <w:rFonts w:ascii="Verdana" w:hAnsi="Verdana"/>
                <w:sz w:val="18"/>
                <w:szCs w:val="18"/>
              </w:rPr>
              <w:t xml:space="preserve">Clinically, </w:t>
            </w:r>
            <w:r w:rsidR="00EB5A7B" w:rsidRPr="00CB239D">
              <w:rPr>
                <w:rFonts w:ascii="Verdana" w:hAnsi="Verdana"/>
                <w:sz w:val="18"/>
                <w:szCs w:val="18"/>
              </w:rPr>
              <w:t xml:space="preserve">physical therapists will not be the ones administering these injections but they will be in place to provide recommendations to this patient population. This is a disease that is commonly treated in the clinic. </w:t>
            </w:r>
            <w:r w:rsidR="00781188" w:rsidRPr="00CB239D">
              <w:rPr>
                <w:rFonts w:ascii="Verdana" w:hAnsi="Verdana"/>
                <w:sz w:val="18"/>
                <w:szCs w:val="18"/>
              </w:rPr>
              <w:t xml:space="preserve">Plantar fasciitis affects more than 1 </w:t>
            </w:r>
            <w:r w:rsidR="008C2BAA" w:rsidRPr="00CB239D">
              <w:rPr>
                <w:rFonts w:ascii="Verdana" w:hAnsi="Verdana"/>
                <w:sz w:val="18"/>
                <w:szCs w:val="18"/>
              </w:rPr>
              <w:t>million individuals every</w:t>
            </w:r>
            <w:r w:rsidR="001B1022" w:rsidRPr="00CB239D">
              <w:rPr>
                <w:rFonts w:ascii="Verdana" w:hAnsi="Verdana"/>
                <w:sz w:val="18"/>
                <w:szCs w:val="18"/>
              </w:rPr>
              <w:t xml:space="preserve"> year and 1</w:t>
            </w:r>
            <w:r w:rsidR="008C2BAA" w:rsidRPr="00CB239D">
              <w:rPr>
                <w:rFonts w:ascii="Verdana" w:hAnsi="Verdana"/>
                <w:sz w:val="18"/>
                <w:szCs w:val="18"/>
              </w:rPr>
              <w:t>0-30% of them do not respond to conservative management</w:t>
            </w:r>
            <w:r w:rsidR="008C2BAA" w:rsidRPr="00CB239D">
              <w:rPr>
                <w:rFonts w:ascii="Verdana" w:hAnsi="Verdana"/>
                <w:sz w:val="18"/>
                <w:szCs w:val="18"/>
              </w:rPr>
              <w:fldChar w:fldCharType="begin"/>
            </w:r>
            <w:r w:rsidR="00CB239D">
              <w:rPr>
                <w:rFonts w:ascii="Verdana" w:hAnsi="Verdana"/>
                <w:sz w:val="18"/>
                <w:szCs w:val="18"/>
              </w:rPr>
              <w:instrText>ADDIN F1000_CSL_CITATION&lt;~#@#~&gt;[{"First":false,"Last":false,"PMID":"21916393","abstract":"Plantar fasciitis, a self-limiting condition, is a common cause of heel pain in adults. It affects more than 1 million persons per year, and two-thirds of patients with plantar fasciitis will seek care from their family physician. Plantar fasciitis affects sedentary and athletic populations. Obesity, excessive foot pronation, excessive running, and prolonged standing are risk factors for developing plantar fasciitis. Diagnosis is primarily based on history and physical examination. Patients may present with heel pain with their first steps in the morning or after prolonged sitting, and sharp pain with palpation of the medial plantar calcaneal region. Discomfort in the proximal plantar fascia can be elicited by passive ankle/first toe dorsiflexion. Diagnostic imaging is rarely needed for the initial diagnosis of plantar fasciitis. Use of ultrasonography and magnetic resonance imaging is reserved for recalcitrant cases or to rule out other heel pathology; findings of increased plantar fascia thickness and abnormal tissue signal the diagnosis of plantar fasciitis. Conservative treatments help with the disabling pain. Initially, patient-directed treatments consisting of rest, activity modification, ice massage, oral analgesics, and stretching techniques can be tried for several weeks. If heel pain persists, then physician-prescribed treatments such as physical therapy modalities, foot orthotics, night splinting, and corticosteroid injections should be considered. Ninety percent of patients will improve with these conservative techniques. Patients with chronic recalcitrant plantar fasciitis lasting six months or longer can consider extracorporeal shock wave therapy or plantar fasciotomy.","author":[{"family":"Goff","given":"James D"},{"family":"Crawford","given":"Robert"}],"authorYearDisplayFormat":false,"citation-label":"4378638","container-title":"American Family Physician","container-title-short":"Am Fam Physician","id":"4378638","invisible":false,"issue":"6","issued":{"date-parts":[["2011","9","15"]]},"journalAbbreviation":"Am Fam Physician","page":"676-682","suppress-author":false,"title":"Diagnosis and treatment of plantar fasciitis.","type":"article-journal","volume":"84"},{"DOI":"10.1097/01.jsm.0000164039.91787.dc","First":false,"Last":false,"PMID":"15867552","abstract":"&lt;strong&gt;OBJECTIVE:&lt;/strong&gt; To compare the efficacy of low-energy extracorporeal shock wave therapy (ESWT) and intralesional corticosteroid injection (CSI) for the treatment of plantar fasciopathy present for at least 6 weeks.&lt;br&gt;&lt;br&gt;&lt;strong&gt;DESIGN:&lt;/strong&gt; A prospective, randomized, controlled, observer-blinded study over a period of 12 months.&lt;br&gt;&lt;br&gt;&lt;strong&gt;SETTING:&lt;/strong&gt; Primary care and hospital setting.&lt;br&gt;&lt;br&gt;&lt;strong&gt;PATIENTS:&lt;/strong&gt; A total of 132 patients were enrolled in the study, and 125 completed the study. Nineteen nonrandomized patients acted as a surrogate control group.&lt;br&gt;&lt;br&gt;&lt;strong&gt;INTERVENTIONS:&lt;/strong&gt; All patients performed a standardized Achilles tendon and plantar fascia stretching program. The patients were randomly allocated to either treatment group A or B. Group A received a single CSI, while group B were referred for a course of low-dose ESWT comprising 3 treatments over a period of 3 weeks. Group C consisted of 19 nonrandomized patients who performed the standardized stretching program only.&lt;br&gt;&lt;br&gt;&lt;strong&gt;MAIN OUTCOME MEASUREMENTS:&lt;/strong&gt; The worst daily pain recorded on a visual analogue scale (VAS), and the tenderness at the plantar fascia insertion as determined by an algometer. These measures were recorded immediately prior to the commencement of treatment and 3 months and 12 months posttreatment.&lt;br&gt;&lt;br&gt;&lt;strong&gt;RESULTS:&lt;/strong&gt; With regard to VAS pain scores, values for the CSI (1.48; 0-7) were significantly lower than both ESWT (3.69; 0-8), and controls (3.58; 2-5) at 3 months. At 12 months, VAS scores for CSI (0.84; 0-7) and ESWT (0.84; 0-4) were both significantly lower than controls (2.42; 1-4). The tenderness values at 3 months were significantly higher for CSI (9.42; 7-11) than both ESWT (6.72; 4-11) and controls (7.63; 6-9). P &lt;  0.05 was used throughout.&lt;br&gt;&lt;br&gt;&lt;strong&gt;CONCLUSIONS:&lt;/strong&gt; Corticosteroid injection is more efficacious and multiple times more cost-effective than ESWT in the treatment of plantar fasciopathy that has been symptomatic for more than 6 weeks.","author":[{"family":"Porter","given":"Mark D"},{"family":"Shadbolt","given":"Bruce"}],"authorYearDisplayFormat":false,"citation-label":"4498502","container-title":"Clinical journal of sport medicine : official journal of the Canadian Academy of Sport Medicine","container-title-short":"Clin J Sport Med","id":"4498502","invisible":false,"issue":"3","issued":{"date-parts":[["2005","5"]]},"journalAbbreviation":"Clin J Sport Med","page":"119-124","suppress-author":false,"title":"Intralesional corticosteroid injection versus extracorporeal shock wave therapy for plantar fasciopathy.","type":"article-journal","volume":"15"}]</w:instrText>
            </w:r>
            <w:r w:rsidR="008C2BAA" w:rsidRPr="00CB239D">
              <w:rPr>
                <w:rFonts w:ascii="Verdana" w:hAnsi="Verdana"/>
                <w:sz w:val="18"/>
                <w:szCs w:val="18"/>
              </w:rPr>
              <w:fldChar w:fldCharType="separate"/>
            </w:r>
            <w:r w:rsidR="00CB239D" w:rsidRPr="00CB239D">
              <w:rPr>
                <w:rFonts w:ascii="Verdana" w:hAnsi="Verdana"/>
                <w:noProof/>
                <w:sz w:val="18"/>
                <w:szCs w:val="18"/>
                <w:vertAlign w:val="superscript"/>
              </w:rPr>
              <w:t>21,22</w:t>
            </w:r>
            <w:r w:rsidR="008C2BAA" w:rsidRPr="00CB239D">
              <w:rPr>
                <w:rFonts w:ascii="Verdana" w:hAnsi="Verdana"/>
                <w:sz w:val="18"/>
                <w:szCs w:val="18"/>
              </w:rPr>
              <w:fldChar w:fldCharType="end"/>
            </w:r>
            <w:r w:rsidR="008C2BAA" w:rsidRPr="00CB239D">
              <w:rPr>
                <w:rFonts w:ascii="Verdana" w:hAnsi="Verdana"/>
                <w:sz w:val="18"/>
                <w:szCs w:val="18"/>
              </w:rPr>
              <w:t xml:space="preserve">. </w:t>
            </w:r>
            <w:r w:rsidR="00F1081B" w:rsidRPr="00CB239D">
              <w:rPr>
                <w:rFonts w:ascii="Verdana" w:hAnsi="Verdana"/>
                <w:sz w:val="18"/>
                <w:szCs w:val="18"/>
              </w:rPr>
              <w:t>S</w:t>
            </w:r>
            <w:r w:rsidR="008C2BAA" w:rsidRPr="00CB239D">
              <w:rPr>
                <w:rFonts w:ascii="Verdana" w:hAnsi="Verdana"/>
                <w:sz w:val="18"/>
                <w:szCs w:val="18"/>
              </w:rPr>
              <w:t xml:space="preserve">tudies reported that PRP and corticosteroid injections are effective at providing pain relief and improving function. </w:t>
            </w:r>
            <w:r w:rsidR="00F1081B" w:rsidRPr="00CB239D">
              <w:rPr>
                <w:rFonts w:ascii="Verdana" w:hAnsi="Verdana"/>
                <w:sz w:val="18"/>
                <w:szCs w:val="18"/>
              </w:rPr>
              <w:t xml:space="preserve">Both studies demonstrated a low risk of bias as evidenced by their respective quality assessment tools. </w:t>
            </w:r>
            <w:r w:rsidR="008C2BAA" w:rsidRPr="00CB239D">
              <w:rPr>
                <w:rFonts w:ascii="Verdana" w:hAnsi="Verdana"/>
                <w:sz w:val="18"/>
                <w:szCs w:val="18"/>
              </w:rPr>
              <w:t>The Mahindra</w:t>
            </w:r>
            <w:r w:rsidR="00540635" w:rsidRPr="00CB239D">
              <w:rPr>
                <w:rFonts w:ascii="Verdana" w:hAnsi="Verdana"/>
                <w:sz w:val="18"/>
                <w:szCs w:val="18"/>
              </w:rPr>
              <w:t xml:space="preserve"> article reported that these improvements were similar between groups at 3 weeks and 3 months, except the PRP </w:t>
            </w:r>
            <w:r w:rsidR="007B1A2E" w:rsidRPr="00CB239D">
              <w:rPr>
                <w:rFonts w:ascii="Verdana" w:hAnsi="Verdana"/>
                <w:sz w:val="18"/>
                <w:szCs w:val="18"/>
              </w:rPr>
              <w:t xml:space="preserve">injections </w:t>
            </w:r>
            <w:r w:rsidR="00540635" w:rsidRPr="00CB239D">
              <w:rPr>
                <w:rFonts w:ascii="Verdana" w:hAnsi="Verdana"/>
                <w:sz w:val="18"/>
                <w:szCs w:val="18"/>
              </w:rPr>
              <w:t>had a significantly higher AOFAS score at 3 months.</w:t>
            </w:r>
            <w:r w:rsidR="007B1A2E" w:rsidRPr="00CB239D">
              <w:rPr>
                <w:rFonts w:ascii="Verdana" w:hAnsi="Verdana"/>
                <w:sz w:val="18"/>
                <w:szCs w:val="18"/>
              </w:rPr>
              <w:t xml:space="preserve"> The meta-analysis by Singh, which included the Mahindra article, reported that PRP injections had a significant difference in </w:t>
            </w:r>
            <w:r w:rsidR="00F05CD2" w:rsidRPr="00CB239D">
              <w:rPr>
                <w:rFonts w:ascii="Verdana" w:hAnsi="Verdana"/>
                <w:sz w:val="18"/>
                <w:szCs w:val="18"/>
              </w:rPr>
              <w:t>pain and function at 3 mo</w:t>
            </w:r>
            <w:r w:rsidR="00804F91" w:rsidRPr="00CB239D">
              <w:rPr>
                <w:rFonts w:ascii="Verdana" w:hAnsi="Verdana"/>
                <w:sz w:val="18"/>
                <w:szCs w:val="18"/>
              </w:rPr>
              <w:t xml:space="preserve">nths, however there were not a significant difference during the groups during the 6 month and 12 month follow ups. </w:t>
            </w:r>
            <w:r w:rsidR="00E7744B" w:rsidRPr="00CB239D">
              <w:rPr>
                <w:rFonts w:ascii="Verdana" w:hAnsi="Verdana"/>
                <w:sz w:val="18"/>
                <w:szCs w:val="18"/>
              </w:rPr>
              <w:t>The applicability of both articles to the patient in the scenario is limited by the lack of characteristic information</w:t>
            </w:r>
            <w:r w:rsidR="00DF3449" w:rsidRPr="00CB239D">
              <w:rPr>
                <w:rFonts w:ascii="Verdana" w:hAnsi="Verdana"/>
                <w:sz w:val="18"/>
                <w:szCs w:val="18"/>
              </w:rPr>
              <w:t>, which only included age and gender,</w:t>
            </w:r>
            <w:r w:rsidR="00E7744B" w:rsidRPr="00CB239D">
              <w:rPr>
                <w:rFonts w:ascii="Verdana" w:hAnsi="Verdana"/>
                <w:sz w:val="18"/>
                <w:szCs w:val="18"/>
              </w:rPr>
              <w:t xml:space="preserve"> provided on the subjects</w:t>
            </w:r>
            <w:r w:rsidR="00393BE0" w:rsidRPr="00CB239D">
              <w:rPr>
                <w:rFonts w:ascii="Verdana" w:hAnsi="Verdana"/>
                <w:sz w:val="18"/>
                <w:szCs w:val="18"/>
              </w:rPr>
              <w:t xml:space="preserve"> in the study</w:t>
            </w:r>
            <w:r w:rsidR="00DF3449" w:rsidRPr="00CB239D">
              <w:rPr>
                <w:rFonts w:ascii="Verdana" w:hAnsi="Verdana"/>
                <w:sz w:val="18"/>
                <w:szCs w:val="18"/>
              </w:rPr>
              <w:t xml:space="preserve">. </w:t>
            </w:r>
            <w:r w:rsidR="00393BE0" w:rsidRPr="00CB239D">
              <w:rPr>
                <w:rFonts w:ascii="Verdana" w:hAnsi="Verdana"/>
                <w:sz w:val="18"/>
                <w:szCs w:val="18"/>
              </w:rPr>
              <w:t>Subject c</w:t>
            </w:r>
            <w:r w:rsidR="00E7744B" w:rsidRPr="00CB239D">
              <w:rPr>
                <w:rFonts w:ascii="Verdana" w:hAnsi="Verdana"/>
                <w:sz w:val="18"/>
                <w:szCs w:val="18"/>
              </w:rPr>
              <w:t>haracteristics such as level of activity, obesity, occupations that require prolonged standing, over pronation, decreased ankle dorsiflexion</w:t>
            </w:r>
            <w:r w:rsidR="002F45DB" w:rsidRPr="00CB239D">
              <w:rPr>
                <w:rFonts w:ascii="Verdana" w:hAnsi="Verdana"/>
                <w:sz w:val="18"/>
                <w:szCs w:val="18"/>
              </w:rPr>
              <w:t xml:space="preserve">, and time before receiving treatment </w:t>
            </w:r>
            <w:r w:rsidR="00393BE0" w:rsidRPr="00CB239D">
              <w:rPr>
                <w:rFonts w:ascii="Verdana" w:hAnsi="Verdana"/>
                <w:sz w:val="18"/>
                <w:szCs w:val="18"/>
              </w:rPr>
              <w:t xml:space="preserve">can factor into their </w:t>
            </w:r>
            <w:r w:rsidR="00E7744B" w:rsidRPr="00CB239D">
              <w:rPr>
                <w:rFonts w:ascii="Verdana" w:hAnsi="Verdana"/>
                <w:sz w:val="18"/>
                <w:szCs w:val="18"/>
              </w:rPr>
              <w:t>recovery</w:t>
            </w:r>
            <w:r w:rsidR="001B1022" w:rsidRPr="00CB239D">
              <w:rPr>
                <w:rFonts w:ascii="Verdana" w:hAnsi="Verdana"/>
                <w:sz w:val="18"/>
                <w:szCs w:val="18"/>
              </w:rPr>
              <w:fldChar w:fldCharType="begin"/>
            </w:r>
            <w:r w:rsidR="00CB239D">
              <w:rPr>
                <w:rFonts w:ascii="Verdana" w:hAnsi="Verdana"/>
                <w:sz w:val="18"/>
                <w:szCs w:val="18"/>
              </w:rPr>
              <w:instrText>ADDIN F1000_CSL_CITATION&lt;~#@#~&gt;[{"First":false,"Last":false,"PMID":"12728038","abstract":"&lt;strong&gt;BACKGROUND:&lt;/strong&gt; Plantar fasciitis is one of the more common soft-tissue disorders of the foot, yet little is known about its etiology. The purpose of the present study was to use an epidemiological design to determine whether risk factors for plantar fasciitis could be identified. Specifically, we examined the risk factors of limited ankle dorsiflexion with the knee extended, obesity, and time spent weight-bearing.&lt;br&gt;&lt;br&gt;&lt;strong&gt;METHODS:&lt;/strong&gt; We used a matched case-control design, with two controls for each patient. The matching criteria were age and gender. We identified fifty consecutive patients with unilateral plantar fasciitis who met the inclusion criteria. The data that were collected included height, weight, whether the subject spent the majority of the workday weight-bearing, and whether the subject was a jogger or runner. We used a reliable goniometric method to measure passive ankle dorsiflexion bilaterally. The main outcome measure was the adjusted odds ratio of plantar fasciitis associated with varying degrees of limitation of ankle dorsiflexion, different levels of body mass, and the subjects' reports on weight-bearing.&lt;br&gt;&lt;br&gt;&lt;strong&gt;RESULTS:&lt;/strong&gt; Individuals with &lt; /=0 degrees of dorsiflexion had an odds ratio of 23.3 (95% confidence interval, 4.3 to 124.4) when compared with the referent group of individuals who had &gt;10 degrees of ankle dorsiflexion. Individuals who had a body-mass index of &gt;30 kg/m (2) had an odds ratio of 5.6 (95% confidence interval, 1.9 to 16.6) when compared with the referent group of individuals who had a body-mass index of &lt; /=25 kg/m (2). Individuals who reported that they spent the majority of their workday on their feet had an odds ratio of 3.6 (95% confidence interval, 1.3 to 10.1) when compared with the referent group of those who did not.&lt;br&gt;&lt;br&gt;&lt;strong&gt;CONCLUSIONS:&lt;/strong&gt; The risk of plantar fasciitis increases as the range of ankle dorsiflexion decreases. Individuals who spend the majority of their workday on their feet and those whose body-mass index is &gt;30 kg/m (2) are also at increased risk for the development of plantar fasciitis. Reduced ankle dorsiflexion, obesity, and work-related weight-bearing appear to be independent risk factors for plantar fasciitis. Reduced ankle dorsiflexion appears to be the most important risk factor.","author":[{"family":"Riddle","given":"Daniel L"},{"family":"Pulisic","given":"Matthew"},{"family":"Pidcoe","given":"Peter"},{"family":"Johnson","given":"Robert E"}],"authorYearDisplayFormat":false,"citation-label":"4471595","container-title":"The Journal of Bone and Joint Surgery. American Volume","container-title-short":"J Bone Joint Surg Am","id":"4471595","invisible":false,"issue":"5","issued":{"date-parts":[["2003","5"]]},"journalAbbreviation":"J Bone Joint Surg Am","page":"872-877","suppress-author":false,"title":"Risk factors for Plantar fasciitis: a matched case-control study.","type":"article-journal","volume":"85-A"}]</w:instrText>
            </w:r>
            <w:r w:rsidR="001B1022" w:rsidRPr="00CB239D">
              <w:rPr>
                <w:rFonts w:ascii="Verdana" w:hAnsi="Verdana"/>
                <w:sz w:val="18"/>
                <w:szCs w:val="18"/>
              </w:rPr>
              <w:fldChar w:fldCharType="separate"/>
            </w:r>
            <w:r w:rsidR="00CB239D" w:rsidRPr="00CB239D">
              <w:rPr>
                <w:rFonts w:ascii="Verdana" w:hAnsi="Verdana"/>
                <w:noProof/>
                <w:sz w:val="18"/>
                <w:szCs w:val="18"/>
                <w:vertAlign w:val="superscript"/>
              </w:rPr>
              <w:t>16</w:t>
            </w:r>
            <w:r w:rsidR="001B1022" w:rsidRPr="00CB239D">
              <w:rPr>
                <w:rFonts w:ascii="Verdana" w:hAnsi="Verdana"/>
                <w:sz w:val="18"/>
                <w:szCs w:val="18"/>
              </w:rPr>
              <w:fldChar w:fldCharType="end"/>
            </w:r>
            <w:r w:rsidR="00F91C46" w:rsidRPr="00CB239D">
              <w:rPr>
                <w:rFonts w:ascii="Verdana" w:hAnsi="Verdana"/>
                <w:sz w:val="18"/>
                <w:szCs w:val="18"/>
              </w:rPr>
              <w:t>.</w:t>
            </w:r>
            <w:r w:rsidR="00E7744B" w:rsidRPr="00CB239D">
              <w:rPr>
                <w:rFonts w:ascii="Verdana" w:hAnsi="Verdana"/>
                <w:sz w:val="18"/>
                <w:szCs w:val="18"/>
              </w:rPr>
              <w:t xml:space="preserve"> Knowing these factors would allow readers to apply these studies to specific patient</w:t>
            </w:r>
            <w:r w:rsidR="00DF3449" w:rsidRPr="00CB239D">
              <w:rPr>
                <w:rFonts w:ascii="Verdana" w:hAnsi="Verdana"/>
                <w:sz w:val="18"/>
                <w:szCs w:val="18"/>
              </w:rPr>
              <w:t xml:space="preserve"> populations</w:t>
            </w:r>
            <w:r w:rsidR="00E7744B" w:rsidRPr="00CB239D">
              <w:rPr>
                <w:rFonts w:ascii="Verdana" w:hAnsi="Verdana"/>
                <w:sz w:val="18"/>
                <w:szCs w:val="18"/>
              </w:rPr>
              <w:t>, instead of having to generalize</w:t>
            </w:r>
            <w:r w:rsidR="001B1022" w:rsidRPr="00CB239D">
              <w:rPr>
                <w:rFonts w:ascii="Verdana" w:hAnsi="Verdana"/>
                <w:sz w:val="18"/>
                <w:szCs w:val="18"/>
              </w:rPr>
              <w:t>.</w:t>
            </w:r>
            <w:r w:rsidR="00E7744B" w:rsidRPr="00CB239D">
              <w:rPr>
                <w:rFonts w:ascii="Verdana" w:hAnsi="Verdana"/>
                <w:sz w:val="18"/>
                <w:szCs w:val="18"/>
              </w:rPr>
              <w:t xml:space="preserve"> </w:t>
            </w:r>
            <w:r w:rsidR="0076642A" w:rsidRPr="00CB239D">
              <w:rPr>
                <w:rFonts w:ascii="Verdana" w:hAnsi="Verdana"/>
                <w:sz w:val="18"/>
                <w:szCs w:val="18"/>
              </w:rPr>
              <w:t xml:space="preserve">Half of the studies in the meta-analysis were not blinded, which could be a source of reporting bias. </w:t>
            </w:r>
            <w:r w:rsidR="00F8231B" w:rsidRPr="00CB239D">
              <w:rPr>
                <w:rFonts w:ascii="Verdana" w:hAnsi="Verdana"/>
                <w:sz w:val="18"/>
                <w:szCs w:val="18"/>
              </w:rPr>
              <w:t>The Mahindra article is the only study to incorporate a placebo group, which validates that the improvements</w:t>
            </w:r>
            <w:r w:rsidR="00393BE0" w:rsidRPr="00CB239D">
              <w:rPr>
                <w:rFonts w:ascii="Verdana" w:hAnsi="Verdana"/>
                <w:sz w:val="18"/>
                <w:szCs w:val="18"/>
              </w:rPr>
              <w:t xml:space="preserve"> made</w:t>
            </w:r>
            <w:r w:rsidR="00F8231B" w:rsidRPr="00CB239D">
              <w:rPr>
                <w:rFonts w:ascii="Verdana" w:hAnsi="Verdana"/>
                <w:sz w:val="18"/>
                <w:szCs w:val="18"/>
              </w:rPr>
              <w:t xml:space="preserve"> were not due to the subjects recovering with time. </w:t>
            </w:r>
            <w:r w:rsidR="004A6E47" w:rsidRPr="00CB239D">
              <w:rPr>
                <w:rFonts w:ascii="Verdana" w:hAnsi="Verdana"/>
                <w:sz w:val="18"/>
                <w:szCs w:val="18"/>
              </w:rPr>
              <w:t>Currently, there is a lack of high quality, long term studies</w:t>
            </w:r>
            <w:r w:rsidR="00393BE0" w:rsidRPr="00CB239D">
              <w:rPr>
                <w:rFonts w:ascii="Verdana" w:hAnsi="Verdana"/>
                <w:sz w:val="18"/>
                <w:szCs w:val="18"/>
              </w:rPr>
              <w:t>,</w:t>
            </w:r>
            <w:r w:rsidR="004A6E47" w:rsidRPr="00CB239D">
              <w:rPr>
                <w:rFonts w:ascii="Verdana" w:hAnsi="Verdana"/>
                <w:sz w:val="18"/>
                <w:szCs w:val="18"/>
              </w:rPr>
              <w:t xml:space="preserve"> which limit</w:t>
            </w:r>
            <w:r w:rsidR="00F91C46" w:rsidRPr="00CB239D">
              <w:rPr>
                <w:rFonts w:ascii="Verdana" w:hAnsi="Verdana"/>
                <w:sz w:val="18"/>
                <w:szCs w:val="18"/>
              </w:rPr>
              <w:t>s</w:t>
            </w:r>
            <w:r w:rsidR="004A6E47" w:rsidRPr="00CB239D">
              <w:rPr>
                <w:rFonts w:ascii="Verdana" w:hAnsi="Verdana"/>
                <w:sz w:val="18"/>
                <w:szCs w:val="18"/>
              </w:rPr>
              <w:t xml:space="preserve"> the readers understanding of the </w:t>
            </w:r>
            <w:r w:rsidR="00117FA7" w:rsidRPr="00CB239D">
              <w:rPr>
                <w:rFonts w:ascii="Verdana" w:hAnsi="Verdana"/>
                <w:sz w:val="18"/>
                <w:szCs w:val="18"/>
              </w:rPr>
              <w:t>long-term</w:t>
            </w:r>
            <w:r w:rsidR="004A6E47" w:rsidRPr="00CB239D">
              <w:rPr>
                <w:rFonts w:ascii="Verdana" w:hAnsi="Verdana"/>
                <w:sz w:val="18"/>
                <w:szCs w:val="18"/>
              </w:rPr>
              <w:t xml:space="preserve"> </w:t>
            </w:r>
            <w:r w:rsidR="00117FA7" w:rsidRPr="00CB239D">
              <w:rPr>
                <w:rFonts w:ascii="Verdana" w:hAnsi="Verdana"/>
                <w:sz w:val="18"/>
                <w:szCs w:val="18"/>
              </w:rPr>
              <w:t>implications</w:t>
            </w:r>
            <w:r w:rsidR="004A6E47" w:rsidRPr="00CB239D">
              <w:rPr>
                <w:rFonts w:ascii="Verdana" w:hAnsi="Verdana"/>
                <w:sz w:val="18"/>
                <w:szCs w:val="18"/>
              </w:rPr>
              <w:t xml:space="preserve"> between the injections.</w:t>
            </w:r>
            <w:r w:rsidR="00117FA7" w:rsidRPr="00CB239D">
              <w:rPr>
                <w:rFonts w:ascii="Verdana" w:hAnsi="Verdana"/>
                <w:sz w:val="18"/>
                <w:szCs w:val="18"/>
              </w:rPr>
              <w:t xml:space="preserve"> </w:t>
            </w:r>
            <w:r w:rsidR="00393BE0" w:rsidRPr="00CB239D">
              <w:rPr>
                <w:rFonts w:ascii="Verdana" w:hAnsi="Verdana"/>
                <w:sz w:val="18"/>
                <w:szCs w:val="18"/>
              </w:rPr>
              <w:t xml:space="preserve">Singh reported that </w:t>
            </w:r>
            <w:r w:rsidR="003272D9" w:rsidRPr="00CB239D">
              <w:rPr>
                <w:rFonts w:ascii="Verdana" w:hAnsi="Verdana"/>
                <w:sz w:val="18"/>
                <w:szCs w:val="18"/>
              </w:rPr>
              <w:t>there were not any reported adverse effects from either injection</w:t>
            </w:r>
            <w:r w:rsidR="00393BE0" w:rsidRPr="00CB239D">
              <w:rPr>
                <w:rFonts w:ascii="Verdana" w:hAnsi="Verdana"/>
                <w:sz w:val="18"/>
                <w:szCs w:val="18"/>
              </w:rPr>
              <w:t xml:space="preserve">, however </w:t>
            </w:r>
            <w:r w:rsidR="002F45DB" w:rsidRPr="00CB239D">
              <w:rPr>
                <w:rFonts w:ascii="Verdana" w:hAnsi="Verdana"/>
                <w:sz w:val="18"/>
                <w:szCs w:val="18"/>
              </w:rPr>
              <w:t xml:space="preserve">corticosteroids </w:t>
            </w:r>
            <w:r w:rsidR="00F1081B" w:rsidRPr="00CB239D">
              <w:rPr>
                <w:rFonts w:ascii="Verdana" w:hAnsi="Verdana"/>
                <w:sz w:val="18"/>
                <w:szCs w:val="18"/>
              </w:rPr>
              <w:t>ha</w:t>
            </w:r>
            <w:r w:rsidR="00CB239D">
              <w:rPr>
                <w:rFonts w:ascii="Verdana" w:hAnsi="Verdana"/>
                <w:sz w:val="18"/>
                <w:szCs w:val="18"/>
              </w:rPr>
              <w:t>ve been shown to have poor long-</w:t>
            </w:r>
            <w:r w:rsidR="00F1081B" w:rsidRPr="00CB239D">
              <w:rPr>
                <w:rFonts w:ascii="Verdana" w:hAnsi="Verdana"/>
                <w:sz w:val="18"/>
                <w:szCs w:val="18"/>
              </w:rPr>
              <w:t xml:space="preserve">term relief and increases </w:t>
            </w:r>
            <w:r w:rsidR="00CB239D">
              <w:rPr>
                <w:rFonts w:ascii="Verdana" w:hAnsi="Verdana"/>
                <w:sz w:val="18"/>
                <w:szCs w:val="18"/>
              </w:rPr>
              <w:t xml:space="preserve">the </w:t>
            </w:r>
            <w:r w:rsidR="00F1081B" w:rsidRPr="00CB239D">
              <w:rPr>
                <w:rFonts w:ascii="Verdana" w:hAnsi="Verdana"/>
                <w:sz w:val="18"/>
                <w:szCs w:val="18"/>
              </w:rPr>
              <w:t>risk of rupture</w:t>
            </w:r>
            <w:r w:rsidR="00F1081B" w:rsidRPr="00CB239D">
              <w:rPr>
                <w:rFonts w:ascii="Verdana" w:hAnsi="Verdana"/>
                <w:sz w:val="18"/>
                <w:szCs w:val="18"/>
              </w:rPr>
              <w:fldChar w:fldCharType="begin"/>
            </w:r>
            <w:r w:rsidR="00CB239D">
              <w:rPr>
                <w:rFonts w:ascii="Verdana" w:hAnsi="Verdana"/>
                <w:sz w:val="18"/>
                <w:szCs w:val="18"/>
              </w:rPr>
              <w:instrText>ADDIN F1000_CSL_CITATION&lt;~#@#~&gt;[{"First":false,"Last":false,"PMID":"16162982","abstract":"&lt;strong&gt;BACKGROUND:&lt;/strong&gt; The potent anti-inflammatory pharmacologic effects of the corticosteroids (cortisone and synthetic derivatives) has led to their extensive usage in the management of rheumatologic diseases and athletic musculoskeletal injuries. The efficacy and risks of locally injected or systemically administered corticosteroids in the treatment of athletic injuries are unclear.&lt;br&gt;&lt;br&gt;&lt;strong&gt;OBJECTIVE:&lt;/strong&gt; To review critically the medical literature and determine complications and risks associated with corticosteroid treatment of athletic injuries.&lt;br&gt;&lt;br&gt;&lt;strong&gt;DATA SOURCES:&lt;/strong&gt; A search of 3 databases-MEDLINE, CINAHL, and Cochrane Clinical Trial Register-was performed using the OVID interface for all years between 1966 and 2003. The search first combined all references under the medical subject headings adrenal cortex hormones, glucocorticoids, and glucocorticoids, synthetic. A second search combined all references under the medical subject headings athletic injuries, sprains and strains, tendon injuries, shoulder injuries, rotator cuff disease, tennis elbow, and lateral epicondylitis. The references identified by these 2 searches were intersected and limited to human only to produce 130 articles. Relevant review articles were scanned, references reviewed, and additional articles retrieved for consideration of inclusion.&lt;br&gt;&lt;br&gt;&lt;strong&gt;STUDY SELECTION:&lt;/strong&gt; For inclusion in this critical review, articles must meet the following criteria: (1) subjects were human, (2) subjects had athletic-related injuries, and (3) subjects received corticosteroid treatment. Ultimately, 43 studies met inclusion criteria.&lt;br&gt;&lt;br&gt;&lt;strong&gt;DATA EXTRACTION AND SYNTHESIS:&lt;/strong&gt; Selected articles were then categorized as to whether the primary focus was usage/efficacy of corticosteroid injection therapy, occurrence of complications of corticosteroid injection therapy, or usage or complications of systemic corticosteroid therapy.&lt;br&gt;&lt;br&gt;&lt;strong&gt;MAIN RESULTS:&lt;/strong&gt; Twenty-five selected studies primarily examined the usage/efficacy of corticosteroid injections in the treatment of various athletic injuries. Of the 983 total subjects who received corticosteroid injections among these studies, only minor complications of treatment were reported. Eighteen selected studies primarily described complications of corticosteroid injections in the treatment of athletic injuries. Of these, tendon and fascial ruptures were the predominant complications reported. The search identified no articles that addressed the usage of or complications of systemic corticosteroids in the treatment of athletic injuries, although tibial stress fracture and multifocal osteonecrosis occurred in individuals being treated for nonathletic injury conditions.&lt;br&gt;&lt;br&gt;&lt;strong&gt;CONCLUSIONS:&lt;/strong&gt; This critical review reveals that the existing medical literature does not provide precise estimates for complication rates following the therapeutic use of injected or systemic corticosteroids in the treatment of athletic injuries. Tendon and fascial ruptures are often reported complications of injected corticosteroids, whereas tibial stress fractures and multifocal osteonecrosis were described with systemic corticosteroids.","author":[{"family":"Nichols","given":"Andrew W"}],"authorYearDisplayFormat":false,"citation-label":"3205122","container-title":"Clinical journal of sport medicine : official journal of the Canadian Academy of Sport Medicine","container-title-short":"Clin J Sport Med","id":"3205122","invisible":false,"issue":"5","issued":{"date-parts":[["2005","9"]]},"journalAbbreviation":"Clin J Sport Med","page":"370-375","suppress-author":false,"title":"Complications associated with the use of corticosteroids in the treatment of athletic injuries.","type":"article-journal","volume":"15"},{"DOI":"10.1016/S0140-6736(10)61160-9","First":false,"Last":false,"PMID":"20970844","abstract":"&lt;strong&gt;BACKGROUND:&lt;/strong&gt; Few evidence-based treatment guidelines for tendinopathy exist. We undertook a systematic review of randomised trials to establish clinical efficacy and risk of adverse events for treatment by injection.&lt;br&gt;&lt;br&gt;&lt;strong&gt;METHODS:&lt;/strong&gt; We searched eight databases without language, publication, or date restrictions. We included randomised trials assessing efficacy of one or more peritendinous injections with placebo or non-surgical interventions for tendinopathy, scoring more than 50% on the modified physiotherapy evidence database scale. We undertook meta-analyses with a random-effects model, and estimated relative risk and standardised mean differences (SMDs). The primary outcome of clinical efficacy was protocol-defined pain score in the short term (4 weeks, range 0-12), intermediate term (26 weeks, 13-26), or long term (52 weeks, ≥52). Adverse events were also reported.&lt;br&gt;&lt;br&gt;&lt;strong&gt;FINDINGS:&lt;/strong&gt; 3824 trials were identified and 41 met inclusion criteria, providing data for 2672 participants. We showed consistent findings between many high-quality randomised controlled trials that corticosteroid injections reduced pain in the short term compared with other interventions, but this effect was reversed at intermediate and long terms. For example, in pooled analysis of treatment for lateral epicondylalgia, corticosteroid injection had a large effect (defined as SMD&gt;0·8) on reduction of pain compared with no intervention in the short term (SMD 1·44, 95% CI 1·17-1·71, p&lt; 0·0001), but no intervention was favoured at intermediate term (-0·40, -0·67 to -0·14, p&lt; 0·003) and long term (-0·31, -0·61 to -0·01, p=0·05). Short-term efficacy of corticosteroid injections for rotator-cuff tendinopathy is not clear. Of 991 participants who received corticosteroid injections in studies that reported adverse events, only one (0·1%) had a serious adverse event (tendon rupture). By comparison with placebo, reductions in pain were reported after injections of sodium hyaluronate (short [3·91, 3·54-4·28, p&lt; 0·0001], intermediate [2·89, 2·58-3·20, p&lt; 0·0001], and long [3·91, 3·55-4·28, p&lt; 0·0001] terms), botulinum toxin (short term [1·23, 0·67-1·78, p&lt; 0·0001]), and prolotherapy (intermediate term [2·62, 1·36-3·88, p&lt; 0·0001]) for treatment of lateral epicondylalgia. Lauromacrogol (polidocanol), aprotinin, and platelet-rich plasma were not more efficacious than was placebo for Achilles tendinopathy, while prolotherapy was not more effective than was eccentric exercise.&lt;br&gt;&lt;br&gt;&lt;strong&gt;INTERPRETATION:&lt;/strong&gt; Despite the effectiveness of corticosteroid injections in the short term, non-corticosteroid injections might be of benefit for long-term treatment of lateral epicondylalgia. However, response to injection should not be generalised because of variation in effect between sites of tendinopathy.&lt;br&gt;&lt;br&gt;&lt;strong&gt;FUNDING:&lt;/strong&gt; None.&lt;br&gt;&lt;br&gt;Copyright © 2010 Elsevier Ltd. All rights reserved.","author":[{"family":"Coombes","given":"Brooke K"},{"family":"Bisset","given":"Leanne"},{"family":"Vicenzino","given":"Bill"}],"authorYearDisplayFormat":false,"citation-label":"2803487","container-title":"The Lancet","container-title-short":"Lancet","id":"2803487","invisible":false,"issue":"9754","issued":{"date-parts":[["2010","11","20"]]},"journalAbbreviation":"Lancet","page":"1751-1767","suppress-author":false,"title":"Efficacy and safety of corticosteroid injections and other injections for management of tendinopathy: a systematic review of randomised controlled trials.","type":"article-journal","volume":"376"}]</w:instrText>
            </w:r>
            <w:r w:rsidR="00F1081B" w:rsidRPr="00CB239D">
              <w:rPr>
                <w:rFonts w:ascii="Verdana" w:hAnsi="Verdana"/>
                <w:sz w:val="18"/>
                <w:szCs w:val="18"/>
              </w:rPr>
              <w:fldChar w:fldCharType="separate"/>
            </w:r>
            <w:r w:rsidR="00CB239D" w:rsidRPr="00CB239D">
              <w:rPr>
                <w:rFonts w:ascii="Verdana" w:hAnsi="Verdana"/>
                <w:noProof/>
                <w:sz w:val="18"/>
                <w:szCs w:val="18"/>
                <w:vertAlign w:val="superscript"/>
              </w:rPr>
              <w:t>6,23</w:t>
            </w:r>
            <w:r w:rsidR="00F1081B" w:rsidRPr="00CB239D">
              <w:rPr>
                <w:rFonts w:ascii="Verdana" w:hAnsi="Verdana"/>
                <w:sz w:val="18"/>
                <w:szCs w:val="18"/>
              </w:rPr>
              <w:fldChar w:fldCharType="end"/>
            </w:r>
            <w:r w:rsidR="00F1081B" w:rsidRPr="00CB239D">
              <w:rPr>
                <w:rFonts w:ascii="Verdana" w:hAnsi="Verdana"/>
                <w:sz w:val="18"/>
                <w:szCs w:val="18"/>
              </w:rPr>
              <w:t>.</w:t>
            </w:r>
            <w:r w:rsidR="00595E40" w:rsidRPr="00CB239D">
              <w:rPr>
                <w:rFonts w:ascii="Verdana" w:hAnsi="Verdana"/>
                <w:sz w:val="18"/>
                <w:szCs w:val="18"/>
              </w:rPr>
              <w:t xml:space="preserve"> Future studies should focus on the long-term difference between </w:t>
            </w:r>
            <w:r w:rsidR="00F91C46" w:rsidRPr="00CB239D">
              <w:rPr>
                <w:rFonts w:ascii="Verdana" w:hAnsi="Verdana"/>
                <w:sz w:val="18"/>
                <w:szCs w:val="18"/>
              </w:rPr>
              <w:t xml:space="preserve">the </w:t>
            </w:r>
            <w:r w:rsidR="00595E40" w:rsidRPr="00CB239D">
              <w:rPr>
                <w:rFonts w:ascii="Verdana" w:hAnsi="Verdana"/>
                <w:sz w:val="18"/>
                <w:szCs w:val="18"/>
              </w:rPr>
              <w:t xml:space="preserve">injections. This would give </w:t>
            </w:r>
            <w:r w:rsidR="005476A4" w:rsidRPr="00CB239D">
              <w:rPr>
                <w:rFonts w:ascii="Verdana" w:hAnsi="Verdana"/>
                <w:sz w:val="18"/>
                <w:szCs w:val="18"/>
              </w:rPr>
              <w:t xml:space="preserve">readers </w:t>
            </w:r>
            <w:r w:rsidR="00595E40" w:rsidRPr="00CB239D">
              <w:rPr>
                <w:rFonts w:ascii="Verdana" w:hAnsi="Verdana"/>
                <w:sz w:val="18"/>
                <w:szCs w:val="18"/>
              </w:rPr>
              <w:t xml:space="preserve">a clearer picture of which injection would ultimately </w:t>
            </w:r>
            <w:r w:rsidR="00AF30C6" w:rsidRPr="00CB239D">
              <w:rPr>
                <w:rFonts w:ascii="Verdana" w:hAnsi="Verdana"/>
                <w:sz w:val="18"/>
                <w:szCs w:val="18"/>
              </w:rPr>
              <w:t xml:space="preserve">be the most beneficial in regards to </w:t>
            </w:r>
            <w:r w:rsidR="005476A4" w:rsidRPr="00CB239D">
              <w:rPr>
                <w:rFonts w:ascii="Verdana" w:hAnsi="Verdana"/>
                <w:sz w:val="18"/>
                <w:szCs w:val="18"/>
              </w:rPr>
              <w:t xml:space="preserve">expected outcomes, </w:t>
            </w:r>
            <w:r w:rsidR="00595E40" w:rsidRPr="00CB239D">
              <w:rPr>
                <w:rFonts w:ascii="Verdana" w:hAnsi="Verdana"/>
                <w:sz w:val="18"/>
                <w:szCs w:val="18"/>
              </w:rPr>
              <w:t>safety</w:t>
            </w:r>
            <w:r w:rsidR="005476A4" w:rsidRPr="00CB239D">
              <w:rPr>
                <w:rFonts w:ascii="Verdana" w:hAnsi="Verdana"/>
                <w:sz w:val="18"/>
                <w:szCs w:val="18"/>
              </w:rPr>
              <w:t>,</w:t>
            </w:r>
            <w:r w:rsidR="00595E40" w:rsidRPr="00CB239D">
              <w:rPr>
                <w:rFonts w:ascii="Verdana" w:hAnsi="Verdana"/>
                <w:sz w:val="18"/>
                <w:szCs w:val="18"/>
              </w:rPr>
              <w:t xml:space="preserve"> and </w:t>
            </w:r>
            <w:r w:rsidR="005476A4" w:rsidRPr="00CB239D">
              <w:rPr>
                <w:rFonts w:ascii="Verdana" w:hAnsi="Verdana"/>
                <w:sz w:val="18"/>
                <w:szCs w:val="18"/>
              </w:rPr>
              <w:t xml:space="preserve">financial </w:t>
            </w:r>
            <w:r w:rsidR="00595E40" w:rsidRPr="00CB239D">
              <w:rPr>
                <w:rFonts w:ascii="Verdana" w:hAnsi="Verdana"/>
                <w:sz w:val="18"/>
                <w:szCs w:val="18"/>
              </w:rPr>
              <w:t>cost.</w:t>
            </w:r>
            <w:r w:rsidR="005476A4" w:rsidRPr="00CB239D">
              <w:rPr>
                <w:rFonts w:ascii="Verdana" w:hAnsi="Verdana"/>
                <w:sz w:val="18"/>
                <w:szCs w:val="18"/>
              </w:rPr>
              <w:t xml:space="preserve"> Since PRP injections are likely to be more expensive due to its </w:t>
            </w:r>
            <w:r w:rsidR="0034462D" w:rsidRPr="00CB239D">
              <w:rPr>
                <w:rFonts w:ascii="Verdana" w:hAnsi="Verdana"/>
                <w:sz w:val="18"/>
                <w:szCs w:val="18"/>
              </w:rPr>
              <w:t xml:space="preserve">required </w:t>
            </w:r>
            <w:r w:rsidR="005476A4" w:rsidRPr="00CB239D">
              <w:rPr>
                <w:rFonts w:ascii="Verdana" w:hAnsi="Verdana"/>
                <w:sz w:val="18"/>
                <w:szCs w:val="18"/>
              </w:rPr>
              <w:t xml:space="preserve">preparation, its cost benefit must be worth it </w:t>
            </w:r>
            <w:r w:rsidR="0034462D" w:rsidRPr="00CB239D">
              <w:rPr>
                <w:rFonts w:ascii="Verdana" w:hAnsi="Verdana"/>
                <w:sz w:val="18"/>
                <w:szCs w:val="18"/>
              </w:rPr>
              <w:t>to the patient. There was significant heterogeneity in the studies included in the meta-analysis. Future studies should also work to standard</w:t>
            </w:r>
            <w:r w:rsidR="00535577" w:rsidRPr="00CB239D">
              <w:rPr>
                <w:rFonts w:ascii="Verdana" w:hAnsi="Verdana"/>
                <w:sz w:val="18"/>
                <w:szCs w:val="18"/>
              </w:rPr>
              <w:t>ize</w:t>
            </w:r>
            <w:r w:rsidR="0034462D" w:rsidRPr="00CB239D">
              <w:rPr>
                <w:rFonts w:ascii="Verdana" w:hAnsi="Verdana"/>
                <w:sz w:val="18"/>
                <w:szCs w:val="18"/>
              </w:rPr>
              <w:t xml:space="preserve"> the preparation of the PRP</w:t>
            </w:r>
            <w:r w:rsidR="00351D10" w:rsidRPr="00CB239D">
              <w:rPr>
                <w:rFonts w:ascii="Verdana" w:hAnsi="Verdana"/>
                <w:sz w:val="18"/>
                <w:szCs w:val="18"/>
              </w:rPr>
              <w:t xml:space="preserve"> because currently studies differed in use of activation agents, buffering agents, centrifugation, and volume injected.</w:t>
            </w:r>
            <w:r w:rsidR="00535577" w:rsidRPr="00CB239D">
              <w:rPr>
                <w:rFonts w:ascii="Verdana" w:hAnsi="Verdana"/>
                <w:sz w:val="18"/>
                <w:szCs w:val="18"/>
              </w:rPr>
              <w:t xml:space="preserve"> </w:t>
            </w:r>
          </w:p>
          <w:p w14:paraId="5777CCBC" w14:textId="77777777" w:rsidR="00E609EF" w:rsidRPr="00CB239D" w:rsidRDefault="00E609EF" w:rsidP="002F16E1">
            <w:pPr>
              <w:spacing w:before="120" w:after="120"/>
              <w:rPr>
                <w:sz w:val="18"/>
                <w:szCs w:val="18"/>
              </w:rPr>
            </w:pPr>
          </w:p>
        </w:tc>
      </w:tr>
    </w:tbl>
    <w:p w14:paraId="65656968" w14:textId="77777777" w:rsidR="009E380F" w:rsidRPr="00CB239D" w:rsidRDefault="009E380F" w:rsidP="001E1518">
      <w:pPr>
        <w:spacing w:before="120"/>
        <w:rPr>
          <w:b/>
          <w:sz w:val="18"/>
          <w:szCs w:val="18"/>
        </w:rPr>
      </w:pPr>
    </w:p>
    <w:p w14:paraId="7E89AB78" w14:textId="77777777" w:rsidR="00E609EF" w:rsidRPr="00CB239D" w:rsidRDefault="00415B87" w:rsidP="001E1518">
      <w:pPr>
        <w:spacing w:before="120"/>
        <w:rPr>
          <w:b/>
          <w:sz w:val="18"/>
          <w:szCs w:val="18"/>
        </w:rPr>
      </w:pPr>
      <w:r w:rsidRPr="00CB239D">
        <w:rPr>
          <w:b/>
          <w:sz w:val="18"/>
          <w:szCs w:val="18"/>
        </w:rPr>
        <w:br w:type="page"/>
      </w:r>
      <w:r w:rsidR="001403EC" w:rsidRPr="00CB239D">
        <w:rPr>
          <w:b/>
          <w:sz w:val="18"/>
          <w:szCs w:val="18"/>
        </w:rPr>
        <w:lastRenderedPageBreak/>
        <w:t>REFERENCES</w:t>
      </w:r>
    </w:p>
    <w:p w14:paraId="028421FE" w14:textId="77777777" w:rsidR="001403EC" w:rsidRPr="00CB239D" w:rsidRDefault="001E1518" w:rsidP="001E1518">
      <w:pPr>
        <w:spacing w:after="120"/>
        <w:rPr>
          <w:sz w:val="18"/>
          <w:szCs w:val="18"/>
        </w:rPr>
      </w:pPr>
      <w:r w:rsidRPr="00CB239D">
        <w:rPr>
          <w:sz w:val="18"/>
          <w:szCs w:val="18"/>
        </w:rPr>
        <w:t>[</w:t>
      </w:r>
      <w:r w:rsidR="001403EC" w:rsidRPr="00CB239D">
        <w:rPr>
          <w:sz w:val="18"/>
          <w:szCs w:val="18"/>
        </w:rPr>
        <w:t xml:space="preserve">List </w:t>
      </w:r>
      <w:r w:rsidR="007D35DE" w:rsidRPr="00CB239D">
        <w:rPr>
          <w:sz w:val="18"/>
          <w:szCs w:val="18"/>
        </w:rPr>
        <w:t xml:space="preserve">all </w:t>
      </w:r>
      <w:r w:rsidR="001403EC" w:rsidRPr="00CB239D">
        <w:rPr>
          <w:sz w:val="18"/>
          <w:szCs w:val="18"/>
        </w:rPr>
        <w:t>references</w:t>
      </w:r>
      <w:r w:rsidR="007D35DE" w:rsidRPr="00CB239D">
        <w:rPr>
          <w:sz w:val="18"/>
          <w:szCs w:val="18"/>
        </w:rPr>
        <w:t xml:space="preserve"> cited in the CAT</w:t>
      </w:r>
      <w:r w:rsidRPr="00CB239D">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CB239D" w14:paraId="624E58D6" w14:textId="77777777" w:rsidTr="002F16E1">
        <w:tc>
          <w:tcPr>
            <w:tcW w:w="10421" w:type="dxa"/>
            <w:shd w:val="clear" w:color="auto" w:fill="auto"/>
          </w:tcPr>
          <w:p w14:paraId="14D5C770" w14:textId="0AE07192" w:rsidR="00DE36F2" w:rsidRPr="00DE36F2" w:rsidRDefault="00DE36F2" w:rsidP="00DE36F2">
            <w:pPr>
              <w:rPr>
                <w:sz w:val="18"/>
                <w:szCs w:val="18"/>
              </w:rPr>
            </w:pPr>
            <w:r>
              <w:rPr>
                <w:sz w:val="18"/>
                <w:szCs w:val="18"/>
              </w:rPr>
              <w:br w:type="page"/>
            </w:r>
            <w:r>
              <w:rPr>
                <w:sz w:val="18"/>
                <w:szCs w:val="18"/>
              </w:rPr>
              <w:fldChar w:fldCharType="begin"/>
            </w:r>
            <w:r>
              <w:rPr>
                <w:sz w:val="18"/>
                <w:szCs w:val="18"/>
              </w:rPr>
              <w:instrText>ADDIN F1000_CSL_BIBLIOGRAPHY</w:instrText>
            </w:r>
            <w:r>
              <w:rPr>
                <w:sz w:val="18"/>
                <w:szCs w:val="18"/>
              </w:rPr>
              <w:fldChar w:fldCharType="separate"/>
            </w:r>
          </w:p>
          <w:p w14:paraId="6850C5E3"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 </w:t>
            </w:r>
            <w:r w:rsidRPr="00CB239D">
              <w:rPr>
                <w:noProof/>
                <w:sz w:val="18"/>
                <w:szCs w:val="24"/>
              </w:rPr>
              <w:tab/>
              <w:t xml:space="preserve">Sharkey NA, Donahue SW, Ferris L. Biomechanical consequences of plantar fascial release or rupture during gait. Part II: alterations in forefoot loading. </w:t>
            </w:r>
            <w:r w:rsidRPr="00CB239D">
              <w:rPr>
                <w:i/>
                <w:iCs/>
                <w:noProof/>
                <w:sz w:val="18"/>
                <w:szCs w:val="24"/>
              </w:rPr>
              <w:t>Foot Ankle Int</w:t>
            </w:r>
            <w:r w:rsidRPr="00CB239D">
              <w:rPr>
                <w:noProof/>
                <w:sz w:val="18"/>
                <w:szCs w:val="24"/>
              </w:rPr>
              <w:t xml:space="preserve"> 1999;20(2):86-96. doi:10.1177/107110079902000204.</w:t>
            </w:r>
            <w:r w:rsidRPr="00CB239D">
              <w:rPr>
                <w:noProof/>
                <w:sz w:val="18"/>
                <w:szCs w:val="24"/>
              </w:rPr>
              <w:br/>
            </w:r>
          </w:p>
          <w:p w14:paraId="7DC48A20"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2. </w:t>
            </w:r>
            <w:r w:rsidRPr="00CB239D">
              <w:rPr>
                <w:noProof/>
                <w:sz w:val="18"/>
                <w:szCs w:val="24"/>
              </w:rPr>
              <w:tab/>
              <w:t xml:space="preserve">Murphy GA, Pneumaticos SG, Kamaric E, Noble PC, Trevino SG, Baxter DE. Biomechanical consequences of sequential plantar fascia release. </w:t>
            </w:r>
            <w:r w:rsidRPr="00CB239D">
              <w:rPr>
                <w:i/>
                <w:iCs/>
                <w:noProof/>
                <w:sz w:val="18"/>
                <w:szCs w:val="24"/>
              </w:rPr>
              <w:t>Foot Ankle Int</w:t>
            </w:r>
            <w:r w:rsidRPr="00CB239D">
              <w:rPr>
                <w:noProof/>
                <w:sz w:val="18"/>
                <w:szCs w:val="24"/>
              </w:rPr>
              <w:t xml:space="preserve"> 1998;19(3):149-152. doi:10.1177/107110079801900306.</w:t>
            </w:r>
            <w:r w:rsidRPr="00CB239D">
              <w:rPr>
                <w:noProof/>
                <w:sz w:val="18"/>
                <w:szCs w:val="24"/>
              </w:rPr>
              <w:br/>
            </w:r>
          </w:p>
          <w:p w14:paraId="77F3E6B5"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3. </w:t>
            </w:r>
            <w:r w:rsidRPr="00CB239D">
              <w:rPr>
                <w:noProof/>
                <w:sz w:val="18"/>
                <w:szCs w:val="24"/>
              </w:rPr>
              <w:tab/>
              <w:t xml:space="preserve">Kitaoka HB, Luo ZP, An KN. Mechanical behavior of the foot and ankle after plantar fascia release in the unstable foot. </w:t>
            </w:r>
            <w:r w:rsidRPr="00CB239D">
              <w:rPr>
                <w:i/>
                <w:iCs/>
                <w:noProof/>
                <w:sz w:val="18"/>
                <w:szCs w:val="24"/>
              </w:rPr>
              <w:t>Foot Ankle Int</w:t>
            </w:r>
            <w:r w:rsidRPr="00CB239D">
              <w:rPr>
                <w:noProof/>
                <w:sz w:val="18"/>
                <w:szCs w:val="24"/>
              </w:rPr>
              <w:t xml:space="preserve"> 1997;18(1):8-15. doi:10.1177/107110079701800103.</w:t>
            </w:r>
            <w:r w:rsidRPr="00CB239D">
              <w:rPr>
                <w:noProof/>
                <w:sz w:val="18"/>
                <w:szCs w:val="24"/>
              </w:rPr>
              <w:br/>
            </w:r>
          </w:p>
          <w:p w14:paraId="62E69BF9"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4. </w:t>
            </w:r>
            <w:r w:rsidRPr="00CB239D">
              <w:rPr>
                <w:noProof/>
                <w:sz w:val="18"/>
                <w:szCs w:val="24"/>
              </w:rPr>
              <w:tab/>
              <w:t xml:space="preserve">Huang C-K, Kitaoka HB, An K-N, Chao EYS. Biomechanical evaluation of longitudinal arch stability. </w:t>
            </w:r>
            <w:r w:rsidRPr="00CB239D">
              <w:rPr>
                <w:i/>
                <w:iCs/>
                <w:noProof/>
                <w:sz w:val="18"/>
                <w:szCs w:val="24"/>
              </w:rPr>
              <w:t>Foot Ankle</w:t>
            </w:r>
            <w:r w:rsidRPr="00CB239D">
              <w:rPr>
                <w:noProof/>
                <w:sz w:val="18"/>
                <w:szCs w:val="24"/>
              </w:rPr>
              <w:t xml:space="preserve"> 1993;14(6):353-357. doi:10.1177/107110079301400609.</w:t>
            </w:r>
            <w:r w:rsidRPr="00CB239D">
              <w:rPr>
                <w:noProof/>
                <w:sz w:val="18"/>
                <w:szCs w:val="24"/>
              </w:rPr>
              <w:br/>
            </w:r>
          </w:p>
          <w:p w14:paraId="43FA80CA"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5. </w:t>
            </w:r>
            <w:r w:rsidRPr="00CB239D">
              <w:rPr>
                <w:noProof/>
                <w:sz w:val="18"/>
                <w:szCs w:val="24"/>
              </w:rPr>
              <w:tab/>
              <w:t xml:space="preserve">Wheeler P, Boyd K, Shipton M. Surgery for Patients With Recalcitrant Plantar Fasciitis: Good Results at Short-, Medium-, and Long-term Follow-up. </w:t>
            </w:r>
            <w:r w:rsidRPr="00CB239D">
              <w:rPr>
                <w:i/>
                <w:iCs/>
                <w:noProof/>
                <w:sz w:val="18"/>
                <w:szCs w:val="24"/>
              </w:rPr>
              <w:t>Orthopaedic journal of sports medicine</w:t>
            </w:r>
            <w:r w:rsidRPr="00CB239D">
              <w:rPr>
                <w:noProof/>
                <w:sz w:val="18"/>
                <w:szCs w:val="24"/>
              </w:rPr>
              <w:t xml:space="preserve"> 2014;2(3):2325967114527901. doi:10.1177/2325967114527901.</w:t>
            </w:r>
            <w:r w:rsidRPr="00CB239D">
              <w:rPr>
                <w:noProof/>
                <w:sz w:val="18"/>
                <w:szCs w:val="24"/>
              </w:rPr>
              <w:br/>
            </w:r>
          </w:p>
          <w:p w14:paraId="7C2B9D58"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6. </w:t>
            </w:r>
            <w:r w:rsidRPr="00CB239D">
              <w:rPr>
                <w:noProof/>
                <w:sz w:val="18"/>
                <w:szCs w:val="24"/>
              </w:rPr>
              <w:tab/>
              <w:t xml:space="preserve">Nichols AW. Complications associated with the use of corticosteroids in the treatment of athletic injuries. </w:t>
            </w:r>
            <w:r w:rsidRPr="00CB239D">
              <w:rPr>
                <w:i/>
                <w:iCs/>
                <w:noProof/>
                <w:sz w:val="18"/>
                <w:szCs w:val="24"/>
              </w:rPr>
              <w:t>Clin J Sport Med</w:t>
            </w:r>
            <w:r w:rsidRPr="00CB239D">
              <w:rPr>
                <w:noProof/>
                <w:sz w:val="18"/>
                <w:szCs w:val="24"/>
              </w:rPr>
              <w:t xml:space="preserve"> 2005;15(5):370-375.</w:t>
            </w:r>
            <w:r w:rsidRPr="00CB239D">
              <w:rPr>
                <w:noProof/>
                <w:sz w:val="18"/>
                <w:szCs w:val="24"/>
              </w:rPr>
              <w:br/>
            </w:r>
          </w:p>
          <w:p w14:paraId="3040429D"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7. </w:t>
            </w:r>
            <w:r w:rsidRPr="00CB239D">
              <w:rPr>
                <w:noProof/>
                <w:sz w:val="18"/>
                <w:szCs w:val="24"/>
              </w:rPr>
              <w:tab/>
              <w:t xml:space="preserve">Singh P, Madanipour S, Bhamra JS, Gill I. A systematic review and meta-analysis of platelet-rich plasma versus corticosteroid injections for plantar fasciopathy. </w:t>
            </w:r>
            <w:r w:rsidRPr="00CB239D">
              <w:rPr>
                <w:i/>
                <w:iCs/>
                <w:noProof/>
                <w:sz w:val="18"/>
                <w:szCs w:val="24"/>
              </w:rPr>
              <w:t>Int Orthop</w:t>
            </w:r>
            <w:r w:rsidRPr="00CB239D">
              <w:rPr>
                <w:noProof/>
                <w:sz w:val="18"/>
                <w:szCs w:val="24"/>
              </w:rPr>
              <w:t xml:space="preserve"> 2017;41(6):1169-1181. doi:10.1007/s00264-017-3470-x.</w:t>
            </w:r>
            <w:r w:rsidRPr="00CB239D">
              <w:rPr>
                <w:noProof/>
                <w:sz w:val="18"/>
                <w:szCs w:val="24"/>
              </w:rPr>
              <w:br/>
            </w:r>
          </w:p>
          <w:p w14:paraId="2C484E70"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8. </w:t>
            </w:r>
            <w:r w:rsidRPr="00CB239D">
              <w:rPr>
                <w:noProof/>
                <w:sz w:val="18"/>
                <w:szCs w:val="24"/>
              </w:rPr>
              <w:tab/>
              <w:t xml:space="preserve">Mahindra P, Yamin M, Selhi HS, Singla S, Soni A. Chronic Plantar Fasciitis: Effect of Platelet-Rich Plasma, Corticosteroid, and Placebo. </w:t>
            </w:r>
            <w:r w:rsidRPr="00CB239D">
              <w:rPr>
                <w:i/>
                <w:iCs/>
                <w:noProof/>
                <w:sz w:val="18"/>
                <w:szCs w:val="24"/>
              </w:rPr>
              <w:t>Orthopedics</w:t>
            </w:r>
            <w:r w:rsidRPr="00CB239D">
              <w:rPr>
                <w:noProof/>
                <w:sz w:val="18"/>
                <w:szCs w:val="24"/>
              </w:rPr>
              <w:t xml:space="preserve"> 2016;39(2):e285-9. doi:10.3928/01477447-20160222-01.</w:t>
            </w:r>
            <w:r w:rsidRPr="00CB239D">
              <w:rPr>
                <w:noProof/>
                <w:sz w:val="18"/>
                <w:szCs w:val="24"/>
              </w:rPr>
              <w:br/>
            </w:r>
          </w:p>
          <w:p w14:paraId="6CF5EA83"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9. </w:t>
            </w:r>
            <w:r w:rsidRPr="00CB239D">
              <w:rPr>
                <w:noProof/>
                <w:sz w:val="18"/>
                <w:szCs w:val="24"/>
              </w:rPr>
              <w:tab/>
              <w:t xml:space="preserve">Jain K, Murphy PN, Clough TM. Platelet rich plasma versus corticosteroid injection for plantar fasciitis: A comparative study. </w:t>
            </w:r>
            <w:r w:rsidRPr="00CB239D">
              <w:rPr>
                <w:i/>
                <w:iCs/>
                <w:noProof/>
                <w:sz w:val="18"/>
                <w:szCs w:val="24"/>
              </w:rPr>
              <w:t>Foot (Edinb)</w:t>
            </w:r>
            <w:r w:rsidRPr="00CB239D">
              <w:rPr>
                <w:noProof/>
                <w:sz w:val="18"/>
                <w:szCs w:val="24"/>
              </w:rPr>
              <w:t xml:space="preserve"> 2015;25(4):235-237. doi:10.1016/j.foot.2015.08.006.</w:t>
            </w:r>
            <w:r w:rsidRPr="00CB239D">
              <w:rPr>
                <w:noProof/>
                <w:sz w:val="18"/>
                <w:szCs w:val="24"/>
              </w:rPr>
              <w:br/>
            </w:r>
          </w:p>
          <w:p w14:paraId="31329CE6"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10. </w:t>
            </w:r>
            <w:r w:rsidRPr="00CB239D">
              <w:rPr>
                <w:noProof/>
                <w:sz w:val="18"/>
                <w:szCs w:val="24"/>
              </w:rPr>
              <w:tab/>
              <w:t xml:space="preserve">Monto RR. Platelet-rich plasma efficacy versus corticosteroid injection treatment for chronic severe plantar fasciitis. </w:t>
            </w:r>
            <w:r w:rsidRPr="00CB239D">
              <w:rPr>
                <w:i/>
                <w:iCs/>
                <w:noProof/>
                <w:sz w:val="18"/>
                <w:szCs w:val="24"/>
              </w:rPr>
              <w:t>Foot Ankle Int</w:t>
            </w:r>
            <w:r w:rsidRPr="00CB239D">
              <w:rPr>
                <w:noProof/>
                <w:sz w:val="18"/>
                <w:szCs w:val="24"/>
              </w:rPr>
              <w:t xml:space="preserve"> 2014;35(4):313-318. doi:10.1177/1071100713519778.</w:t>
            </w:r>
            <w:r w:rsidRPr="00CB239D">
              <w:rPr>
                <w:noProof/>
                <w:sz w:val="18"/>
                <w:szCs w:val="24"/>
              </w:rPr>
              <w:br/>
            </w:r>
          </w:p>
          <w:p w14:paraId="7DBA0063"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11. </w:t>
            </w:r>
            <w:r w:rsidRPr="00CB239D">
              <w:rPr>
                <w:noProof/>
                <w:sz w:val="18"/>
                <w:szCs w:val="24"/>
              </w:rPr>
              <w:tab/>
              <w:t xml:space="preserve">Sherpy NA, Hammad MA, Hagrass HA, Samir H, Abu-ElMaaty SE, Mortada MA. Local injection of autologous platelet rich plasma compared to corticosteroid treatment of chronic plantar fasciitis patients: A clinical and ultrasonographic follow-up study. </w:t>
            </w:r>
            <w:r w:rsidRPr="00CB239D">
              <w:rPr>
                <w:i/>
                <w:iCs/>
                <w:noProof/>
                <w:sz w:val="18"/>
                <w:szCs w:val="24"/>
              </w:rPr>
              <w:t>The Egyptian Rheumatologist</w:t>
            </w:r>
            <w:r w:rsidRPr="00CB239D">
              <w:rPr>
                <w:noProof/>
                <w:sz w:val="18"/>
                <w:szCs w:val="24"/>
              </w:rPr>
              <w:t xml:space="preserve"> 2016;38(3):247-252. doi:10.1016/j.ejr.2015.09.008.</w:t>
            </w:r>
            <w:r w:rsidRPr="00CB239D">
              <w:rPr>
                <w:noProof/>
                <w:sz w:val="18"/>
                <w:szCs w:val="24"/>
              </w:rPr>
              <w:br/>
            </w:r>
          </w:p>
          <w:p w14:paraId="63ADD830"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12. </w:t>
            </w:r>
            <w:r w:rsidRPr="00CB239D">
              <w:rPr>
                <w:noProof/>
                <w:sz w:val="18"/>
                <w:szCs w:val="24"/>
              </w:rPr>
              <w:tab/>
              <w:t xml:space="preserve">SAY F. Comparison of platelet-rich plasma and steroid injection in the treatment of plantar fasciitis. </w:t>
            </w:r>
            <w:r w:rsidRPr="00CB239D">
              <w:rPr>
                <w:i/>
                <w:iCs/>
                <w:noProof/>
                <w:sz w:val="18"/>
                <w:szCs w:val="24"/>
              </w:rPr>
              <w:t>Acta Orthop Traumatol Turc</w:t>
            </w:r>
            <w:r w:rsidRPr="00CB239D">
              <w:rPr>
                <w:noProof/>
                <w:sz w:val="18"/>
                <w:szCs w:val="24"/>
              </w:rPr>
              <w:t xml:space="preserve"> 2014;48(6):667-672. doi:10.3944/AOTT.2014.13.0142.</w:t>
            </w:r>
            <w:r w:rsidRPr="00CB239D">
              <w:rPr>
                <w:noProof/>
                <w:sz w:val="18"/>
                <w:szCs w:val="24"/>
              </w:rPr>
              <w:br/>
            </w:r>
          </w:p>
          <w:p w14:paraId="1F4B9DF4"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13. </w:t>
            </w:r>
            <w:r w:rsidRPr="00CB239D">
              <w:rPr>
                <w:noProof/>
                <w:sz w:val="18"/>
                <w:szCs w:val="24"/>
              </w:rPr>
              <w:tab/>
              <w:t xml:space="preserve">Lee JS, Hobden E, Stiell IG, Wells GA. Clinically important change in the visual analog scale after adequate pain control. </w:t>
            </w:r>
            <w:r w:rsidRPr="00CB239D">
              <w:rPr>
                <w:i/>
                <w:iCs/>
                <w:noProof/>
                <w:sz w:val="18"/>
                <w:szCs w:val="24"/>
              </w:rPr>
              <w:t>Acad Emerg Med</w:t>
            </w:r>
            <w:r w:rsidRPr="00CB239D">
              <w:rPr>
                <w:noProof/>
                <w:sz w:val="18"/>
                <w:szCs w:val="24"/>
              </w:rPr>
              <w:t xml:space="preserve"> 2003;10(10):1128-1130.</w:t>
            </w:r>
            <w:r w:rsidRPr="00CB239D">
              <w:rPr>
                <w:noProof/>
                <w:sz w:val="18"/>
                <w:szCs w:val="24"/>
              </w:rPr>
              <w:br/>
            </w:r>
          </w:p>
          <w:p w14:paraId="32F75E6D"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14. </w:t>
            </w:r>
            <w:r w:rsidRPr="00CB239D">
              <w:rPr>
                <w:noProof/>
                <w:sz w:val="18"/>
                <w:szCs w:val="24"/>
              </w:rPr>
              <w:tab/>
              <w:t xml:space="preserve">Van Lieshout EMM, De Boer AS, Meuffels DE, et al. American Orthopaedic Foot and Ankle Society (AOFAS) Ankle-Hindfoot Score: a study protocol for the translation and validation of the Dutch language version. </w:t>
            </w:r>
            <w:r w:rsidRPr="00CB239D">
              <w:rPr>
                <w:i/>
                <w:iCs/>
                <w:noProof/>
                <w:sz w:val="18"/>
                <w:szCs w:val="24"/>
              </w:rPr>
              <w:t>BMJ Open</w:t>
            </w:r>
            <w:r w:rsidRPr="00CB239D">
              <w:rPr>
                <w:noProof/>
                <w:sz w:val="18"/>
                <w:szCs w:val="24"/>
              </w:rPr>
              <w:t xml:space="preserve"> 2017;7(2):e012884. doi:10.1136/bmjopen-2016-012884.</w:t>
            </w:r>
            <w:r w:rsidRPr="00CB239D">
              <w:rPr>
                <w:noProof/>
                <w:sz w:val="18"/>
                <w:szCs w:val="24"/>
              </w:rPr>
              <w:br/>
            </w:r>
          </w:p>
          <w:p w14:paraId="56EE4BB2"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15. </w:t>
            </w:r>
            <w:r w:rsidRPr="00CB239D">
              <w:rPr>
                <w:noProof/>
                <w:sz w:val="18"/>
                <w:szCs w:val="24"/>
              </w:rPr>
              <w:tab/>
              <w:t xml:space="preserve">Chan HY, Chen JY, Zainul-Abidin S, Ying H, Koo K, Rikhraj IS. Minimal clinically important differences for american orthopaedic foot &amp; ankle society score in hallux valgus surgery. </w:t>
            </w:r>
            <w:r w:rsidRPr="00CB239D">
              <w:rPr>
                <w:i/>
                <w:iCs/>
                <w:noProof/>
                <w:sz w:val="18"/>
                <w:szCs w:val="24"/>
              </w:rPr>
              <w:t>Foot Ankle Int</w:t>
            </w:r>
            <w:r w:rsidRPr="00CB239D">
              <w:rPr>
                <w:noProof/>
                <w:sz w:val="18"/>
                <w:szCs w:val="24"/>
              </w:rPr>
              <w:t xml:space="preserve"> 2017;38(5):551-557. doi:10.1177/1071100716688724.</w:t>
            </w:r>
            <w:r w:rsidRPr="00CB239D">
              <w:rPr>
                <w:noProof/>
                <w:sz w:val="18"/>
                <w:szCs w:val="24"/>
              </w:rPr>
              <w:br/>
            </w:r>
          </w:p>
          <w:p w14:paraId="0EDACC2D"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16. </w:t>
            </w:r>
            <w:r w:rsidRPr="00CB239D">
              <w:rPr>
                <w:noProof/>
                <w:sz w:val="18"/>
                <w:szCs w:val="24"/>
              </w:rPr>
              <w:tab/>
              <w:t xml:space="preserve">Riddle DL, Pulisic M, Pidcoe P, Johnson RE. Risk factors for Plantar fasciitis: a matched case-control study. </w:t>
            </w:r>
            <w:r w:rsidRPr="00CB239D">
              <w:rPr>
                <w:i/>
                <w:iCs/>
                <w:noProof/>
                <w:sz w:val="18"/>
                <w:szCs w:val="24"/>
              </w:rPr>
              <w:t>J Bone Joint Surg Am</w:t>
            </w:r>
            <w:r w:rsidRPr="00CB239D">
              <w:rPr>
                <w:noProof/>
                <w:sz w:val="18"/>
                <w:szCs w:val="24"/>
              </w:rPr>
              <w:t xml:space="preserve"> 2003;85-A(5):872-877.</w:t>
            </w:r>
            <w:r w:rsidRPr="00CB239D">
              <w:rPr>
                <w:noProof/>
                <w:sz w:val="18"/>
                <w:szCs w:val="24"/>
              </w:rPr>
              <w:br/>
            </w:r>
          </w:p>
          <w:p w14:paraId="7AD78C06" w14:textId="77777777" w:rsidR="00DE36F2" w:rsidRPr="00DE36F2" w:rsidRDefault="00DE36F2" w:rsidP="00DE36F2">
            <w:pPr>
              <w:widowControl w:val="0"/>
              <w:autoSpaceDE w:val="0"/>
              <w:autoSpaceDN w:val="0"/>
              <w:adjustRightInd w:val="0"/>
              <w:ind w:left="560" w:hanging="560"/>
              <w:rPr>
                <w:noProof/>
                <w:sz w:val="18"/>
                <w:szCs w:val="24"/>
              </w:rPr>
            </w:pPr>
            <w:r>
              <w:rPr>
                <w:noProof/>
                <w:sz w:val="18"/>
                <w:szCs w:val="24"/>
              </w:rPr>
              <w:t xml:space="preserve">17. </w:t>
            </w:r>
            <w:r>
              <w:rPr>
                <w:noProof/>
                <w:sz w:val="18"/>
                <w:szCs w:val="24"/>
              </w:rPr>
              <w:tab/>
            </w:r>
            <w:r w:rsidRPr="00DE36F2">
              <w:rPr>
                <w:sz w:val="18"/>
                <w:szCs w:val="18"/>
              </w:rPr>
              <w:t>Physiopedia. Foot and Ankle Disability Index. Foot and Ankle Disability Index - Physiopedia. http://www.physio-pedia.com/Foot_and_Ankle_Disabi</w:t>
            </w:r>
            <w:r>
              <w:rPr>
                <w:sz w:val="18"/>
                <w:szCs w:val="18"/>
              </w:rPr>
              <w:t>lity_Index. Accessed November 12</w:t>
            </w:r>
            <w:r w:rsidRPr="00DE36F2">
              <w:rPr>
                <w:sz w:val="18"/>
                <w:szCs w:val="18"/>
              </w:rPr>
              <w:t>, 2017.</w:t>
            </w:r>
          </w:p>
          <w:p w14:paraId="3A23AC6E"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br/>
            </w:r>
          </w:p>
          <w:p w14:paraId="059AC152"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18. </w:t>
            </w:r>
            <w:r w:rsidRPr="00CB239D">
              <w:rPr>
                <w:noProof/>
                <w:sz w:val="18"/>
                <w:szCs w:val="24"/>
              </w:rPr>
              <w:tab/>
              <w:t xml:space="preserve">Furia JP. High-energy extracorporeal shock wave therapy as a treatment for insertional Achilles tendinopathy. </w:t>
            </w:r>
            <w:r w:rsidRPr="00CB239D">
              <w:rPr>
                <w:i/>
                <w:iCs/>
                <w:noProof/>
                <w:sz w:val="18"/>
                <w:szCs w:val="24"/>
              </w:rPr>
              <w:t>Am J Sports Med</w:t>
            </w:r>
            <w:r w:rsidRPr="00CB239D">
              <w:rPr>
                <w:noProof/>
                <w:sz w:val="18"/>
                <w:szCs w:val="24"/>
              </w:rPr>
              <w:t xml:space="preserve"> 2006;34(5):733-740. doi:10.1177/0363546505281810.</w:t>
            </w:r>
            <w:r w:rsidRPr="00CB239D">
              <w:rPr>
                <w:noProof/>
                <w:sz w:val="18"/>
                <w:szCs w:val="24"/>
              </w:rPr>
              <w:br/>
            </w:r>
          </w:p>
          <w:p w14:paraId="1CF71399"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19. </w:t>
            </w:r>
            <w:r w:rsidRPr="00CB239D">
              <w:rPr>
                <w:noProof/>
                <w:sz w:val="18"/>
                <w:szCs w:val="24"/>
              </w:rPr>
              <w:tab/>
              <w:t>National Institute For H</w:t>
            </w:r>
            <w:r>
              <w:rPr>
                <w:noProof/>
                <w:sz w:val="18"/>
                <w:szCs w:val="24"/>
              </w:rPr>
              <w:t xml:space="preserve">ealth And Clinical Excellence. </w:t>
            </w:r>
            <w:r w:rsidRPr="00CB239D">
              <w:rPr>
                <w:noProof/>
                <w:sz w:val="18"/>
                <w:szCs w:val="24"/>
              </w:rPr>
              <w:t xml:space="preserve">Interventional procedure overview of extracorporealshockwave therapy for refractory greater trochantericpain syndrome. 2010. Available at: </w:t>
            </w:r>
            <w:r w:rsidRPr="00CB239D">
              <w:rPr>
                <w:noProof/>
                <w:sz w:val="18"/>
                <w:szCs w:val="24"/>
              </w:rPr>
              <w:lastRenderedPageBreak/>
              <w:t>https://www.nice.org.uk/guidance/ipg376/evidence/overview-pdf-495682381.</w:t>
            </w:r>
            <w:r w:rsidRPr="00CB239D">
              <w:rPr>
                <w:noProof/>
                <w:sz w:val="18"/>
                <w:szCs w:val="24"/>
              </w:rPr>
              <w:br/>
            </w:r>
          </w:p>
          <w:p w14:paraId="4DB79FE2"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20. </w:t>
            </w:r>
            <w:r w:rsidRPr="00CB239D">
              <w:rPr>
                <w:noProof/>
                <w:sz w:val="18"/>
                <w:szCs w:val="24"/>
              </w:rPr>
              <w:tab/>
              <w:t xml:space="preserve">Riskowski JL, Hagedorn TJ, Hannan MT. Measures of foot function, foot health, and foot pain: American Academy of Orthopedic Surgeons Lower Limb Outcomes Assessment: Foot and Ankle Module (AAOS-FAM), Bristol Foot Score (BFS), Revised Foot Function Index (FFI-R), Foot Health Status Questionnaire (FHSQ), Manchester Foot Pain and Disability Index (MFPDI), Podiatric Health Questionnaire (PHQ), and Rowan Foot Pain Assessment (ROFPAQ). </w:t>
            </w:r>
            <w:r w:rsidRPr="00CB239D">
              <w:rPr>
                <w:i/>
                <w:iCs/>
                <w:noProof/>
                <w:sz w:val="18"/>
                <w:szCs w:val="24"/>
              </w:rPr>
              <w:t>Arthritis Care Res (Hoboken)</w:t>
            </w:r>
            <w:r w:rsidRPr="00CB239D">
              <w:rPr>
                <w:noProof/>
                <w:sz w:val="18"/>
                <w:szCs w:val="24"/>
              </w:rPr>
              <w:t xml:space="preserve"> 2011;63 Suppl 11:S229-39. doi:10.1002/acr.20554.</w:t>
            </w:r>
            <w:r w:rsidRPr="00CB239D">
              <w:rPr>
                <w:noProof/>
                <w:sz w:val="18"/>
                <w:szCs w:val="24"/>
              </w:rPr>
              <w:br/>
            </w:r>
          </w:p>
          <w:p w14:paraId="187D9000"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21. </w:t>
            </w:r>
            <w:r w:rsidRPr="00CB239D">
              <w:rPr>
                <w:noProof/>
                <w:sz w:val="18"/>
                <w:szCs w:val="24"/>
              </w:rPr>
              <w:tab/>
              <w:t xml:space="preserve">Goff JD, Crawford R. Diagnosis and treatment of plantar fasciitis. </w:t>
            </w:r>
            <w:r w:rsidRPr="00CB239D">
              <w:rPr>
                <w:i/>
                <w:iCs/>
                <w:noProof/>
                <w:sz w:val="18"/>
                <w:szCs w:val="24"/>
              </w:rPr>
              <w:t>Am Fam Physician</w:t>
            </w:r>
            <w:r w:rsidRPr="00CB239D">
              <w:rPr>
                <w:noProof/>
                <w:sz w:val="18"/>
                <w:szCs w:val="24"/>
              </w:rPr>
              <w:t xml:space="preserve"> 2011;84(6):676-682.</w:t>
            </w:r>
            <w:r w:rsidRPr="00CB239D">
              <w:rPr>
                <w:noProof/>
                <w:sz w:val="18"/>
                <w:szCs w:val="24"/>
              </w:rPr>
              <w:br/>
            </w:r>
          </w:p>
          <w:p w14:paraId="2409FCE2" w14:textId="77777777" w:rsidR="00DE36F2" w:rsidRPr="00CB239D" w:rsidRDefault="00DE36F2" w:rsidP="00DE36F2">
            <w:pPr>
              <w:widowControl w:val="0"/>
              <w:autoSpaceDE w:val="0"/>
              <w:autoSpaceDN w:val="0"/>
              <w:adjustRightInd w:val="0"/>
              <w:ind w:left="560" w:hanging="560"/>
              <w:rPr>
                <w:noProof/>
                <w:sz w:val="18"/>
                <w:szCs w:val="24"/>
              </w:rPr>
            </w:pPr>
            <w:r w:rsidRPr="00CB239D">
              <w:rPr>
                <w:noProof/>
                <w:sz w:val="18"/>
                <w:szCs w:val="24"/>
              </w:rPr>
              <w:t xml:space="preserve">22. </w:t>
            </w:r>
            <w:r w:rsidRPr="00CB239D">
              <w:rPr>
                <w:noProof/>
                <w:sz w:val="18"/>
                <w:szCs w:val="24"/>
              </w:rPr>
              <w:tab/>
              <w:t xml:space="preserve">Porter MD, Shadbolt B. Intralesional corticosteroid injection versus extracorporeal shock wave therapy for plantar fasciopathy. </w:t>
            </w:r>
            <w:r w:rsidRPr="00CB239D">
              <w:rPr>
                <w:i/>
                <w:iCs/>
                <w:noProof/>
                <w:sz w:val="18"/>
                <w:szCs w:val="24"/>
              </w:rPr>
              <w:t>Clin J Sport Med</w:t>
            </w:r>
            <w:r w:rsidRPr="00CB239D">
              <w:rPr>
                <w:noProof/>
                <w:sz w:val="18"/>
                <w:szCs w:val="24"/>
              </w:rPr>
              <w:t xml:space="preserve"> 2005;15(3):119-124. doi:10.1097/01.jsm.0000164039.91787.dc.</w:t>
            </w:r>
            <w:r w:rsidRPr="00CB239D">
              <w:rPr>
                <w:noProof/>
                <w:sz w:val="18"/>
                <w:szCs w:val="24"/>
              </w:rPr>
              <w:br/>
            </w:r>
          </w:p>
          <w:p w14:paraId="2E373C60" w14:textId="77777777" w:rsidR="00DE36F2" w:rsidRDefault="00DE36F2" w:rsidP="00DE36F2">
            <w:pPr>
              <w:widowControl w:val="0"/>
              <w:autoSpaceDE w:val="0"/>
              <w:autoSpaceDN w:val="0"/>
              <w:adjustRightInd w:val="0"/>
              <w:ind w:left="560" w:hanging="560"/>
              <w:rPr>
                <w:noProof/>
                <w:sz w:val="18"/>
                <w:szCs w:val="24"/>
              </w:rPr>
            </w:pPr>
            <w:r w:rsidRPr="00CB239D">
              <w:rPr>
                <w:noProof/>
                <w:sz w:val="18"/>
                <w:szCs w:val="24"/>
              </w:rPr>
              <w:t xml:space="preserve">23. </w:t>
            </w:r>
            <w:r w:rsidRPr="00CB239D">
              <w:rPr>
                <w:noProof/>
                <w:sz w:val="18"/>
                <w:szCs w:val="24"/>
              </w:rPr>
              <w:tab/>
              <w:t xml:space="preserve">Coombes BK, Bisset L, Vicenzino B. Efficacy and safety of corticosteroid injections and other injections for management of tendinopathy: a systematic review of randomised controlled trials. </w:t>
            </w:r>
            <w:r w:rsidRPr="00CB239D">
              <w:rPr>
                <w:i/>
                <w:iCs/>
                <w:noProof/>
                <w:sz w:val="18"/>
                <w:szCs w:val="24"/>
              </w:rPr>
              <w:t>The Lancet</w:t>
            </w:r>
            <w:r w:rsidRPr="00CB239D">
              <w:rPr>
                <w:noProof/>
                <w:sz w:val="18"/>
                <w:szCs w:val="24"/>
              </w:rPr>
              <w:t xml:space="preserve"> 2010;376(9754):1751-1767. doi:10.1016/S0140-6736(10)61160-9.</w:t>
            </w:r>
          </w:p>
          <w:p w14:paraId="1813F34A" w14:textId="77777777" w:rsidR="00DE36F2" w:rsidRPr="00CB239D" w:rsidRDefault="00DE36F2" w:rsidP="00DE36F2">
            <w:pPr>
              <w:widowControl w:val="0"/>
              <w:autoSpaceDE w:val="0"/>
              <w:autoSpaceDN w:val="0"/>
              <w:adjustRightInd w:val="0"/>
              <w:ind w:left="560" w:hanging="560"/>
              <w:rPr>
                <w:noProof/>
                <w:sz w:val="18"/>
                <w:szCs w:val="24"/>
              </w:rPr>
            </w:pPr>
            <w:r>
              <w:rPr>
                <w:noProof/>
                <w:sz w:val="18"/>
                <w:szCs w:val="24"/>
              </w:rPr>
              <w:t xml:space="preserve">24.    </w:t>
            </w:r>
            <w:r w:rsidRPr="00CB239D">
              <w:rPr>
                <w:color w:val="020621"/>
                <w:spacing w:val="5"/>
                <w:sz w:val="18"/>
                <w:szCs w:val="18"/>
                <w:lang w:val="en-US"/>
              </w:rPr>
              <w:t>D. Gould et al. Visual Analogue Scale (VAS). Journal of Clinical Nursing 2001; 10:697-706</w:t>
            </w:r>
          </w:p>
          <w:p w14:paraId="50690B24" w14:textId="77777777" w:rsidR="00DE36F2" w:rsidRPr="00CB239D" w:rsidRDefault="00DE36F2" w:rsidP="00DE36F2">
            <w:pPr>
              <w:widowControl w:val="0"/>
              <w:autoSpaceDE w:val="0"/>
              <w:autoSpaceDN w:val="0"/>
              <w:adjustRightInd w:val="0"/>
              <w:ind w:left="560" w:hanging="560"/>
              <w:rPr>
                <w:noProof/>
                <w:sz w:val="18"/>
              </w:rPr>
            </w:pPr>
            <w:r w:rsidRPr="00CB239D">
              <w:rPr>
                <w:noProof/>
                <w:sz w:val="18"/>
                <w:szCs w:val="24"/>
              </w:rPr>
              <w:br/>
            </w:r>
          </w:p>
          <w:p w14:paraId="28F88D38" w14:textId="0303CF11" w:rsidR="001E1518" w:rsidRPr="00CB239D" w:rsidRDefault="00DE36F2" w:rsidP="00DE36F2">
            <w:pPr>
              <w:numPr>
                <w:ilvl w:val="0"/>
                <w:numId w:val="20"/>
              </w:numPr>
              <w:spacing w:before="120" w:beforeAutospacing="1" w:after="120" w:afterAutospacing="1"/>
              <w:ind w:left="0"/>
              <w:rPr>
                <w:sz w:val="18"/>
                <w:szCs w:val="18"/>
              </w:rPr>
            </w:pPr>
            <w:r>
              <w:rPr>
                <w:sz w:val="18"/>
                <w:szCs w:val="18"/>
              </w:rPr>
              <w:fldChar w:fldCharType="end"/>
            </w:r>
          </w:p>
        </w:tc>
      </w:tr>
    </w:tbl>
    <w:p w14:paraId="72B2EC1F" w14:textId="768B4470" w:rsidR="00CB239D" w:rsidRDefault="00CB239D" w:rsidP="001403EC">
      <w:pPr>
        <w:tabs>
          <w:tab w:val="left" w:pos="480"/>
        </w:tabs>
        <w:jc w:val="both"/>
        <w:rPr>
          <w:sz w:val="18"/>
          <w:szCs w:val="18"/>
        </w:rPr>
      </w:pPr>
    </w:p>
    <w:p w14:paraId="2CF97ED4" w14:textId="2F600812" w:rsidR="00CB239D" w:rsidRPr="00CB239D" w:rsidRDefault="00CB239D" w:rsidP="001403EC">
      <w:pPr>
        <w:tabs>
          <w:tab w:val="left" w:pos="480"/>
        </w:tabs>
        <w:jc w:val="both"/>
        <w:rPr>
          <w:sz w:val="18"/>
          <w:szCs w:val="18"/>
        </w:rPr>
      </w:pPr>
    </w:p>
    <w:sectPr w:rsidR="00CB239D" w:rsidRPr="00CB239D" w:rsidSect="001068A4">
      <w:pgSz w:w="11907" w:h="16840" w:code="9"/>
      <w:pgMar w:top="677" w:right="850" w:bottom="835"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12DF"/>
    <w:multiLevelType w:val="hybridMultilevel"/>
    <w:tmpl w:val="CB16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55A9E"/>
    <w:multiLevelType w:val="hybridMultilevel"/>
    <w:tmpl w:val="39B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1073F"/>
    <w:multiLevelType w:val="hybridMultilevel"/>
    <w:tmpl w:val="95E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97874"/>
    <w:multiLevelType w:val="hybridMultilevel"/>
    <w:tmpl w:val="BC5E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B1C4833"/>
    <w:multiLevelType w:val="hybridMultilevel"/>
    <w:tmpl w:val="2C1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8BC715D"/>
    <w:multiLevelType w:val="hybridMultilevel"/>
    <w:tmpl w:val="71D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11F71"/>
    <w:multiLevelType w:val="hybridMultilevel"/>
    <w:tmpl w:val="E6A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D40D4"/>
    <w:multiLevelType w:val="hybridMultilevel"/>
    <w:tmpl w:val="5D9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A9C3A53"/>
    <w:multiLevelType w:val="hybridMultilevel"/>
    <w:tmpl w:val="001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6863DEC"/>
    <w:multiLevelType w:val="hybridMultilevel"/>
    <w:tmpl w:val="CA0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E7B22"/>
    <w:multiLevelType w:val="hybridMultilevel"/>
    <w:tmpl w:val="491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50CC6468"/>
    <w:multiLevelType w:val="hybridMultilevel"/>
    <w:tmpl w:val="6326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D2A29"/>
    <w:multiLevelType w:val="hybridMultilevel"/>
    <w:tmpl w:val="4F8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63B2C"/>
    <w:multiLevelType w:val="hybridMultilevel"/>
    <w:tmpl w:val="6C7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F201050"/>
    <w:multiLevelType w:val="hybridMultilevel"/>
    <w:tmpl w:val="BDC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43E96"/>
    <w:multiLevelType w:val="hybridMultilevel"/>
    <w:tmpl w:val="69BA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2456E"/>
    <w:multiLevelType w:val="hybridMultilevel"/>
    <w:tmpl w:val="AE7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nsid w:val="67543F84"/>
    <w:multiLevelType w:val="hybridMultilevel"/>
    <w:tmpl w:val="ED50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A1FCE"/>
    <w:multiLevelType w:val="hybridMultilevel"/>
    <w:tmpl w:val="A66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7769D"/>
    <w:multiLevelType w:val="hybridMultilevel"/>
    <w:tmpl w:val="752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B553B"/>
    <w:multiLevelType w:val="multilevel"/>
    <w:tmpl w:val="F9A2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1D549EC"/>
    <w:multiLevelType w:val="hybridMultilevel"/>
    <w:tmpl w:val="4070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D19DA"/>
    <w:multiLevelType w:val="hybridMultilevel"/>
    <w:tmpl w:val="EB86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B0C6D"/>
    <w:multiLevelType w:val="hybridMultilevel"/>
    <w:tmpl w:val="2A6C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15"/>
  </w:num>
  <w:num w:numId="5">
    <w:abstractNumId w:val="32"/>
  </w:num>
  <w:num w:numId="6">
    <w:abstractNumId w:val="22"/>
  </w:num>
  <w:num w:numId="7">
    <w:abstractNumId w:val="5"/>
  </w:num>
  <w:num w:numId="8">
    <w:abstractNumId w:val="18"/>
  </w:num>
  <w:num w:numId="9">
    <w:abstractNumId w:val="36"/>
  </w:num>
  <w:num w:numId="10">
    <w:abstractNumId w:val="27"/>
  </w:num>
  <w:num w:numId="11">
    <w:abstractNumId w:val="13"/>
  </w:num>
  <w:num w:numId="12">
    <w:abstractNumId w:val="23"/>
  </w:num>
  <w:num w:numId="13">
    <w:abstractNumId w:val="19"/>
  </w:num>
  <w:num w:numId="14">
    <w:abstractNumId w:val="6"/>
  </w:num>
  <w:num w:numId="15">
    <w:abstractNumId w:val="17"/>
  </w:num>
  <w:num w:numId="16">
    <w:abstractNumId w:val="11"/>
  </w:num>
  <w:num w:numId="17">
    <w:abstractNumId w:val="26"/>
  </w:num>
  <w:num w:numId="18">
    <w:abstractNumId w:val="28"/>
  </w:num>
  <w:num w:numId="19">
    <w:abstractNumId w:val="14"/>
  </w:num>
  <w:num w:numId="20">
    <w:abstractNumId w:val="31"/>
  </w:num>
  <w:num w:numId="21">
    <w:abstractNumId w:val="3"/>
  </w:num>
  <w:num w:numId="22">
    <w:abstractNumId w:val="10"/>
  </w:num>
  <w:num w:numId="23">
    <w:abstractNumId w:val="29"/>
  </w:num>
  <w:num w:numId="24">
    <w:abstractNumId w:val="0"/>
  </w:num>
  <w:num w:numId="25">
    <w:abstractNumId w:val="34"/>
  </w:num>
  <w:num w:numId="26">
    <w:abstractNumId w:val="20"/>
  </w:num>
  <w:num w:numId="27">
    <w:abstractNumId w:val="30"/>
  </w:num>
  <w:num w:numId="28">
    <w:abstractNumId w:val="2"/>
  </w:num>
  <w:num w:numId="29">
    <w:abstractNumId w:val="25"/>
  </w:num>
  <w:num w:numId="30">
    <w:abstractNumId w:val="12"/>
  </w:num>
  <w:num w:numId="31">
    <w:abstractNumId w:val="21"/>
  </w:num>
  <w:num w:numId="32">
    <w:abstractNumId w:val="4"/>
  </w:num>
  <w:num w:numId="33">
    <w:abstractNumId w:val="16"/>
  </w:num>
  <w:num w:numId="34">
    <w:abstractNumId w:val="1"/>
  </w:num>
  <w:num w:numId="35">
    <w:abstractNumId w:val="24"/>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342F"/>
    <w:rsid w:val="00004349"/>
    <w:rsid w:val="00005888"/>
    <w:rsid w:val="00006871"/>
    <w:rsid w:val="00006EC6"/>
    <w:rsid w:val="0000738B"/>
    <w:rsid w:val="00020162"/>
    <w:rsid w:val="0002168B"/>
    <w:rsid w:val="000221B2"/>
    <w:rsid w:val="0003216E"/>
    <w:rsid w:val="0003237E"/>
    <w:rsid w:val="00040083"/>
    <w:rsid w:val="00040DC1"/>
    <w:rsid w:val="00050375"/>
    <w:rsid w:val="00064708"/>
    <w:rsid w:val="00065734"/>
    <w:rsid w:val="00065C23"/>
    <w:rsid w:val="00066C53"/>
    <w:rsid w:val="00067FC1"/>
    <w:rsid w:val="000721FC"/>
    <w:rsid w:val="00076922"/>
    <w:rsid w:val="00077862"/>
    <w:rsid w:val="00082CFF"/>
    <w:rsid w:val="000834FC"/>
    <w:rsid w:val="000839E0"/>
    <w:rsid w:val="000910EF"/>
    <w:rsid w:val="000936C4"/>
    <w:rsid w:val="00094B7E"/>
    <w:rsid w:val="000A7312"/>
    <w:rsid w:val="000A7443"/>
    <w:rsid w:val="000B1FB4"/>
    <w:rsid w:val="000B1FF5"/>
    <w:rsid w:val="000B3B7D"/>
    <w:rsid w:val="000B4919"/>
    <w:rsid w:val="000C1519"/>
    <w:rsid w:val="000C600B"/>
    <w:rsid w:val="000D166F"/>
    <w:rsid w:val="000D40CD"/>
    <w:rsid w:val="000D4FCA"/>
    <w:rsid w:val="000D6DB8"/>
    <w:rsid w:val="000F3690"/>
    <w:rsid w:val="00101A23"/>
    <w:rsid w:val="00103D2A"/>
    <w:rsid w:val="00103F7B"/>
    <w:rsid w:val="001042F8"/>
    <w:rsid w:val="001065A6"/>
    <w:rsid w:val="00106645"/>
    <w:rsid w:val="001068A4"/>
    <w:rsid w:val="0011199B"/>
    <w:rsid w:val="00113898"/>
    <w:rsid w:val="00114F16"/>
    <w:rsid w:val="00115453"/>
    <w:rsid w:val="00115F41"/>
    <w:rsid w:val="00117FA7"/>
    <w:rsid w:val="001256AC"/>
    <w:rsid w:val="00130520"/>
    <w:rsid w:val="00133195"/>
    <w:rsid w:val="00136631"/>
    <w:rsid w:val="001403EC"/>
    <w:rsid w:val="00142348"/>
    <w:rsid w:val="00142FB1"/>
    <w:rsid w:val="00145AB2"/>
    <w:rsid w:val="00154ED5"/>
    <w:rsid w:val="00157BE0"/>
    <w:rsid w:val="00160321"/>
    <w:rsid w:val="00161F37"/>
    <w:rsid w:val="00162C9B"/>
    <w:rsid w:val="00164811"/>
    <w:rsid w:val="001655BA"/>
    <w:rsid w:val="001670A7"/>
    <w:rsid w:val="00167202"/>
    <w:rsid w:val="001708E8"/>
    <w:rsid w:val="00174824"/>
    <w:rsid w:val="00177922"/>
    <w:rsid w:val="001835BB"/>
    <w:rsid w:val="00184206"/>
    <w:rsid w:val="00184567"/>
    <w:rsid w:val="00192877"/>
    <w:rsid w:val="00192961"/>
    <w:rsid w:val="00195041"/>
    <w:rsid w:val="00196026"/>
    <w:rsid w:val="001960D2"/>
    <w:rsid w:val="001A17E6"/>
    <w:rsid w:val="001A1E39"/>
    <w:rsid w:val="001A3A66"/>
    <w:rsid w:val="001A40A0"/>
    <w:rsid w:val="001B1022"/>
    <w:rsid w:val="001B6B9B"/>
    <w:rsid w:val="001B731A"/>
    <w:rsid w:val="001C5A94"/>
    <w:rsid w:val="001C6341"/>
    <w:rsid w:val="001C65B9"/>
    <w:rsid w:val="001C6AEF"/>
    <w:rsid w:val="001D2A0B"/>
    <w:rsid w:val="001D3B31"/>
    <w:rsid w:val="001D40B5"/>
    <w:rsid w:val="001D444F"/>
    <w:rsid w:val="001D4F60"/>
    <w:rsid w:val="001D5D4E"/>
    <w:rsid w:val="001E1518"/>
    <w:rsid w:val="001E2169"/>
    <w:rsid w:val="001E5719"/>
    <w:rsid w:val="001F41BC"/>
    <w:rsid w:val="001F48F0"/>
    <w:rsid w:val="001F7D9A"/>
    <w:rsid w:val="002010CE"/>
    <w:rsid w:val="00201832"/>
    <w:rsid w:val="00201F3F"/>
    <w:rsid w:val="002032B9"/>
    <w:rsid w:val="00205544"/>
    <w:rsid w:val="00205A34"/>
    <w:rsid w:val="00206663"/>
    <w:rsid w:val="00215B15"/>
    <w:rsid w:val="00220C85"/>
    <w:rsid w:val="00222B72"/>
    <w:rsid w:val="00230DAF"/>
    <w:rsid w:val="0023388F"/>
    <w:rsid w:val="0023572A"/>
    <w:rsid w:val="00237E57"/>
    <w:rsid w:val="00240563"/>
    <w:rsid w:val="0024138B"/>
    <w:rsid w:val="002469E5"/>
    <w:rsid w:val="00250E77"/>
    <w:rsid w:val="002531CA"/>
    <w:rsid w:val="002558DB"/>
    <w:rsid w:val="00257007"/>
    <w:rsid w:val="002612AE"/>
    <w:rsid w:val="002618C7"/>
    <w:rsid w:val="00265366"/>
    <w:rsid w:val="00271CEF"/>
    <w:rsid w:val="00273CC5"/>
    <w:rsid w:val="00276D67"/>
    <w:rsid w:val="002773CD"/>
    <w:rsid w:val="0028056F"/>
    <w:rsid w:val="00281077"/>
    <w:rsid w:val="002811EF"/>
    <w:rsid w:val="0028187A"/>
    <w:rsid w:val="002819D6"/>
    <w:rsid w:val="00282449"/>
    <w:rsid w:val="00293B41"/>
    <w:rsid w:val="002975D0"/>
    <w:rsid w:val="002977D9"/>
    <w:rsid w:val="002A202E"/>
    <w:rsid w:val="002A4867"/>
    <w:rsid w:val="002A687A"/>
    <w:rsid w:val="002A69E0"/>
    <w:rsid w:val="002A6F59"/>
    <w:rsid w:val="002A7D5B"/>
    <w:rsid w:val="002C5C87"/>
    <w:rsid w:val="002D2D3F"/>
    <w:rsid w:val="002D5C47"/>
    <w:rsid w:val="002D6267"/>
    <w:rsid w:val="002E151C"/>
    <w:rsid w:val="002E3103"/>
    <w:rsid w:val="002E602B"/>
    <w:rsid w:val="002E644F"/>
    <w:rsid w:val="002F16E1"/>
    <w:rsid w:val="002F45DB"/>
    <w:rsid w:val="002F6BAA"/>
    <w:rsid w:val="00300998"/>
    <w:rsid w:val="003023C2"/>
    <w:rsid w:val="00311CD1"/>
    <w:rsid w:val="003152FA"/>
    <w:rsid w:val="00316189"/>
    <w:rsid w:val="003203C3"/>
    <w:rsid w:val="00326281"/>
    <w:rsid w:val="00327219"/>
    <w:rsid w:val="003272D9"/>
    <w:rsid w:val="00331B35"/>
    <w:rsid w:val="0033330C"/>
    <w:rsid w:val="00335F2B"/>
    <w:rsid w:val="00341CEA"/>
    <w:rsid w:val="0034462D"/>
    <w:rsid w:val="003475DE"/>
    <w:rsid w:val="00350995"/>
    <w:rsid w:val="00351D10"/>
    <w:rsid w:val="00355000"/>
    <w:rsid w:val="00355D55"/>
    <w:rsid w:val="00356799"/>
    <w:rsid w:val="003624D3"/>
    <w:rsid w:val="00363FEB"/>
    <w:rsid w:val="00367349"/>
    <w:rsid w:val="00371C43"/>
    <w:rsid w:val="003764C4"/>
    <w:rsid w:val="00380B69"/>
    <w:rsid w:val="00383E3A"/>
    <w:rsid w:val="00384FB1"/>
    <w:rsid w:val="00385627"/>
    <w:rsid w:val="0038646C"/>
    <w:rsid w:val="0038771C"/>
    <w:rsid w:val="00387732"/>
    <w:rsid w:val="00387CBC"/>
    <w:rsid w:val="00392FD6"/>
    <w:rsid w:val="00393BE0"/>
    <w:rsid w:val="003A0BC3"/>
    <w:rsid w:val="003A6741"/>
    <w:rsid w:val="003B2324"/>
    <w:rsid w:val="003B5C0D"/>
    <w:rsid w:val="003B7595"/>
    <w:rsid w:val="003C203E"/>
    <w:rsid w:val="003C3F01"/>
    <w:rsid w:val="003C4065"/>
    <w:rsid w:val="003C54B6"/>
    <w:rsid w:val="003C5719"/>
    <w:rsid w:val="003C5EF9"/>
    <w:rsid w:val="003D0ADC"/>
    <w:rsid w:val="003D48E0"/>
    <w:rsid w:val="003D5077"/>
    <w:rsid w:val="003D59FF"/>
    <w:rsid w:val="003F2E81"/>
    <w:rsid w:val="003F32ED"/>
    <w:rsid w:val="003F4BFA"/>
    <w:rsid w:val="00400AAD"/>
    <w:rsid w:val="00400D14"/>
    <w:rsid w:val="004020B7"/>
    <w:rsid w:val="00403DDA"/>
    <w:rsid w:val="00407BFD"/>
    <w:rsid w:val="00414860"/>
    <w:rsid w:val="00415B87"/>
    <w:rsid w:val="0042604D"/>
    <w:rsid w:val="00430880"/>
    <w:rsid w:val="00431D6E"/>
    <w:rsid w:val="004341FB"/>
    <w:rsid w:val="00434F04"/>
    <w:rsid w:val="00437839"/>
    <w:rsid w:val="00444E9B"/>
    <w:rsid w:val="004467A5"/>
    <w:rsid w:val="0045534B"/>
    <w:rsid w:val="004631B4"/>
    <w:rsid w:val="00466453"/>
    <w:rsid w:val="0047092A"/>
    <w:rsid w:val="00472923"/>
    <w:rsid w:val="00474134"/>
    <w:rsid w:val="00483B4E"/>
    <w:rsid w:val="00490D44"/>
    <w:rsid w:val="004927E7"/>
    <w:rsid w:val="00492B03"/>
    <w:rsid w:val="00496D0F"/>
    <w:rsid w:val="00497DB9"/>
    <w:rsid w:val="004A0EE3"/>
    <w:rsid w:val="004A1418"/>
    <w:rsid w:val="004A1437"/>
    <w:rsid w:val="004A4CB8"/>
    <w:rsid w:val="004A6E47"/>
    <w:rsid w:val="004B0146"/>
    <w:rsid w:val="004B1F2D"/>
    <w:rsid w:val="004B2ACD"/>
    <w:rsid w:val="004B3CB2"/>
    <w:rsid w:val="004B7D98"/>
    <w:rsid w:val="004C04DE"/>
    <w:rsid w:val="004C2302"/>
    <w:rsid w:val="004D0237"/>
    <w:rsid w:val="004D2674"/>
    <w:rsid w:val="004D38AF"/>
    <w:rsid w:val="004E1760"/>
    <w:rsid w:val="004E343F"/>
    <w:rsid w:val="004E5E95"/>
    <w:rsid w:val="004F05E4"/>
    <w:rsid w:val="004F1BB2"/>
    <w:rsid w:val="004F2C36"/>
    <w:rsid w:val="004F2F33"/>
    <w:rsid w:val="004F4EB9"/>
    <w:rsid w:val="004F59CB"/>
    <w:rsid w:val="004F60A2"/>
    <w:rsid w:val="004F629A"/>
    <w:rsid w:val="004F7128"/>
    <w:rsid w:val="005006DE"/>
    <w:rsid w:val="00503D25"/>
    <w:rsid w:val="005058E0"/>
    <w:rsid w:val="00505C0E"/>
    <w:rsid w:val="00507EC3"/>
    <w:rsid w:val="00515554"/>
    <w:rsid w:val="00516B29"/>
    <w:rsid w:val="005206A8"/>
    <w:rsid w:val="005263ED"/>
    <w:rsid w:val="00530E5E"/>
    <w:rsid w:val="00531D85"/>
    <w:rsid w:val="00532D7D"/>
    <w:rsid w:val="00532E6F"/>
    <w:rsid w:val="00535577"/>
    <w:rsid w:val="0053617F"/>
    <w:rsid w:val="00540635"/>
    <w:rsid w:val="00543A0B"/>
    <w:rsid w:val="00543D14"/>
    <w:rsid w:val="005458B8"/>
    <w:rsid w:val="005476A4"/>
    <w:rsid w:val="005477A7"/>
    <w:rsid w:val="005501C8"/>
    <w:rsid w:val="005528C9"/>
    <w:rsid w:val="00552BD9"/>
    <w:rsid w:val="00554FFC"/>
    <w:rsid w:val="00555866"/>
    <w:rsid w:val="00560C22"/>
    <w:rsid w:val="005612EB"/>
    <w:rsid w:val="00570130"/>
    <w:rsid w:val="00572A4D"/>
    <w:rsid w:val="00573CEB"/>
    <w:rsid w:val="00574922"/>
    <w:rsid w:val="00586070"/>
    <w:rsid w:val="00591B95"/>
    <w:rsid w:val="00592E30"/>
    <w:rsid w:val="00593157"/>
    <w:rsid w:val="00594203"/>
    <w:rsid w:val="00594DDB"/>
    <w:rsid w:val="00595E40"/>
    <w:rsid w:val="00597245"/>
    <w:rsid w:val="005A1289"/>
    <w:rsid w:val="005A148C"/>
    <w:rsid w:val="005A3AD4"/>
    <w:rsid w:val="005A40D7"/>
    <w:rsid w:val="005A6C2B"/>
    <w:rsid w:val="005B29E5"/>
    <w:rsid w:val="005B4153"/>
    <w:rsid w:val="005B7AE2"/>
    <w:rsid w:val="005C2426"/>
    <w:rsid w:val="005C54CC"/>
    <w:rsid w:val="005C5EE5"/>
    <w:rsid w:val="005C6870"/>
    <w:rsid w:val="005C7E0A"/>
    <w:rsid w:val="005C7EC2"/>
    <w:rsid w:val="005D1F17"/>
    <w:rsid w:val="005E5F7F"/>
    <w:rsid w:val="005E643C"/>
    <w:rsid w:val="005F332F"/>
    <w:rsid w:val="005F4839"/>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043"/>
    <w:rsid w:val="00650B61"/>
    <w:rsid w:val="00650D2D"/>
    <w:rsid w:val="00650F24"/>
    <w:rsid w:val="00651618"/>
    <w:rsid w:val="00656740"/>
    <w:rsid w:val="0066141C"/>
    <w:rsid w:val="00661B1E"/>
    <w:rsid w:val="006740CC"/>
    <w:rsid w:val="00681012"/>
    <w:rsid w:val="0068679F"/>
    <w:rsid w:val="0069090B"/>
    <w:rsid w:val="00690E34"/>
    <w:rsid w:val="006937A2"/>
    <w:rsid w:val="00695361"/>
    <w:rsid w:val="00697CEA"/>
    <w:rsid w:val="006A0ACF"/>
    <w:rsid w:val="006A638D"/>
    <w:rsid w:val="006B13E7"/>
    <w:rsid w:val="006B3C62"/>
    <w:rsid w:val="006C08A3"/>
    <w:rsid w:val="006C1013"/>
    <w:rsid w:val="006C1B1F"/>
    <w:rsid w:val="006C2AD2"/>
    <w:rsid w:val="006C3192"/>
    <w:rsid w:val="006C580C"/>
    <w:rsid w:val="006D027B"/>
    <w:rsid w:val="006D2329"/>
    <w:rsid w:val="006D38A1"/>
    <w:rsid w:val="006E2CB3"/>
    <w:rsid w:val="006E4370"/>
    <w:rsid w:val="006E4EC8"/>
    <w:rsid w:val="006E5A23"/>
    <w:rsid w:val="006E68E0"/>
    <w:rsid w:val="006F20AD"/>
    <w:rsid w:val="006F369E"/>
    <w:rsid w:val="0070036E"/>
    <w:rsid w:val="00701934"/>
    <w:rsid w:val="00706E69"/>
    <w:rsid w:val="0071035C"/>
    <w:rsid w:val="00716094"/>
    <w:rsid w:val="007164F6"/>
    <w:rsid w:val="00730A7E"/>
    <w:rsid w:val="007347B2"/>
    <w:rsid w:val="007401CE"/>
    <w:rsid w:val="007402F6"/>
    <w:rsid w:val="007444A6"/>
    <w:rsid w:val="0074589E"/>
    <w:rsid w:val="007515C7"/>
    <w:rsid w:val="00752AAC"/>
    <w:rsid w:val="007534F1"/>
    <w:rsid w:val="007551A5"/>
    <w:rsid w:val="00765CAB"/>
    <w:rsid w:val="0076642A"/>
    <w:rsid w:val="007708D3"/>
    <w:rsid w:val="0077316A"/>
    <w:rsid w:val="00777E3F"/>
    <w:rsid w:val="00780624"/>
    <w:rsid w:val="00780DDF"/>
    <w:rsid w:val="00781188"/>
    <w:rsid w:val="00783D2E"/>
    <w:rsid w:val="00787012"/>
    <w:rsid w:val="00787853"/>
    <w:rsid w:val="00791304"/>
    <w:rsid w:val="007942EB"/>
    <w:rsid w:val="007969E7"/>
    <w:rsid w:val="00797818"/>
    <w:rsid w:val="007A0959"/>
    <w:rsid w:val="007A66F5"/>
    <w:rsid w:val="007A7454"/>
    <w:rsid w:val="007B0B55"/>
    <w:rsid w:val="007B1A2E"/>
    <w:rsid w:val="007B3439"/>
    <w:rsid w:val="007B42DA"/>
    <w:rsid w:val="007B78BC"/>
    <w:rsid w:val="007C5669"/>
    <w:rsid w:val="007D0CB9"/>
    <w:rsid w:val="007D23DF"/>
    <w:rsid w:val="007D35DE"/>
    <w:rsid w:val="007E2F6B"/>
    <w:rsid w:val="007E4304"/>
    <w:rsid w:val="007E4BD7"/>
    <w:rsid w:val="007E5125"/>
    <w:rsid w:val="007E655B"/>
    <w:rsid w:val="007F26B9"/>
    <w:rsid w:val="0080138D"/>
    <w:rsid w:val="00803C0C"/>
    <w:rsid w:val="00804F91"/>
    <w:rsid w:val="00811D4B"/>
    <w:rsid w:val="00812C9E"/>
    <w:rsid w:val="008178F8"/>
    <w:rsid w:val="008240D6"/>
    <w:rsid w:val="008244C0"/>
    <w:rsid w:val="00824731"/>
    <w:rsid w:val="008262FD"/>
    <w:rsid w:val="00831C81"/>
    <w:rsid w:val="00843002"/>
    <w:rsid w:val="00847429"/>
    <w:rsid w:val="00847A9E"/>
    <w:rsid w:val="008500DD"/>
    <w:rsid w:val="008523E0"/>
    <w:rsid w:val="0086263B"/>
    <w:rsid w:val="0086536D"/>
    <w:rsid w:val="008724B6"/>
    <w:rsid w:val="00872D60"/>
    <w:rsid w:val="008753FB"/>
    <w:rsid w:val="00883B17"/>
    <w:rsid w:val="0088540C"/>
    <w:rsid w:val="00887B1F"/>
    <w:rsid w:val="00892617"/>
    <w:rsid w:val="008935D0"/>
    <w:rsid w:val="008975FD"/>
    <w:rsid w:val="00897A44"/>
    <w:rsid w:val="008A02AF"/>
    <w:rsid w:val="008A2ACB"/>
    <w:rsid w:val="008A4BFD"/>
    <w:rsid w:val="008A7220"/>
    <w:rsid w:val="008B031E"/>
    <w:rsid w:val="008B1418"/>
    <w:rsid w:val="008B1D4B"/>
    <w:rsid w:val="008B43B0"/>
    <w:rsid w:val="008B5180"/>
    <w:rsid w:val="008B626C"/>
    <w:rsid w:val="008C1600"/>
    <w:rsid w:val="008C2BAA"/>
    <w:rsid w:val="008C6D9D"/>
    <w:rsid w:val="008D0884"/>
    <w:rsid w:val="008D1E76"/>
    <w:rsid w:val="008D2E06"/>
    <w:rsid w:val="008D3703"/>
    <w:rsid w:val="008D47D4"/>
    <w:rsid w:val="008D5FA9"/>
    <w:rsid w:val="008D6ED2"/>
    <w:rsid w:val="008E0478"/>
    <w:rsid w:val="008E1901"/>
    <w:rsid w:val="008E5E81"/>
    <w:rsid w:val="008E5E9B"/>
    <w:rsid w:val="008E7334"/>
    <w:rsid w:val="008E7E99"/>
    <w:rsid w:val="00902046"/>
    <w:rsid w:val="00905A35"/>
    <w:rsid w:val="00906CEA"/>
    <w:rsid w:val="00907825"/>
    <w:rsid w:val="00910288"/>
    <w:rsid w:val="00923B52"/>
    <w:rsid w:val="009278CA"/>
    <w:rsid w:val="00932121"/>
    <w:rsid w:val="00935F46"/>
    <w:rsid w:val="009364E2"/>
    <w:rsid w:val="00936A8A"/>
    <w:rsid w:val="00940C68"/>
    <w:rsid w:val="00942FBD"/>
    <w:rsid w:val="00947DBB"/>
    <w:rsid w:val="009522E7"/>
    <w:rsid w:val="0095448D"/>
    <w:rsid w:val="00954C3A"/>
    <w:rsid w:val="0096022F"/>
    <w:rsid w:val="00965236"/>
    <w:rsid w:val="009677A3"/>
    <w:rsid w:val="00967EEB"/>
    <w:rsid w:val="00973B70"/>
    <w:rsid w:val="00973E03"/>
    <w:rsid w:val="00977D84"/>
    <w:rsid w:val="00984B51"/>
    <w:rsid w:val="00986141"/>
    <w:rsid w:val="00986AD9"/>
    <w:rsid w:val="00991668"/>
    <w:rsid w:val="00997BE9"/>
    <w:rsid w:val="009A001F"/>
    <w:rsid w:val="009A0156"/>
    <w:rsid w:val="009A09C7"/>
    <w:rsid w:val="009A1A94"/>
    <w:rsid w:val="009A25A5"/>
    <w:rsid w:val="009A38BC"/>
    <w:rsid w:val="009A4B9F"/>
    <w:rsid w:val="009A6B36"/>
    <w:rsid w:val="009A6E3E"/>
    <w:rsid w:val="009A767D"/>
    <w:rsid w:val="009A7AB8"/>
    <w:rsid w:val="009B0B1F"/>
    <w:rsid w:val="009B482A"/>
    <w:rsid w:val="009B571A"/>
    <w:rsid w:val="009B6D3F"/>
    <w:rsid w:val="009C4E3F"/>
    <w:rsid w:val="009D19FF"/>
    <w:rsid w:val="009D35E3"/>
    <w:rsid w:val="009D4AEA"/>
    <w:rsid w:val="009E3323"/>
    <w:rsid w:val="009E380F"/>
    <w:rsid w:val="009E3E77"/>
    <w:rsid w:val="009F2907"/>
    <w:rsid w:val="00A01DA9"/>
    <w:rsid w:val="00A02E80"/>
    <w:rsid w:val="00A067EC"/>
    <w:rsid w:val="00A07396"/>
    <w:rsid w:val="00A1120A"/>
    <w:rsid w:val="00A16ED8"/>
    <w:rsid w:val="00A17FA8"/>
    <w:rsid w:val="00A20FC7"/>
    <w:rsid w:val="00A21339"/>
    <w:rsid w:val="00A22537"/>
    <w:rsid w:val="00A23DB8"/>
    <w:rsid w:val="00A30701"/>
    <w:rsid w:val="00A3784B"/>
    <w:rsid w:val="00A4097C"/>
    <w:rsid w:val="00A40BD4"/>
    <w:rsid w:val="00A41623"/>
    <w:rsid w:val="00A429BF"/>
    <w:rsid w:val="00A44302"/>
    <w:rsid w:val="00A52F86"/>
    <w:rsid w:val="00A54025"/>
    <w:rsid w:val="00A54CD5"/>
    <w:rsid w:val="00A56C41"/>
    <w:rsid w:val="00A56E02"/>
    <w:rsid w:val="00A6517D"/>
    <w:rsid w:val="00A661B5"/>
    <w:rsid w:val="00A66A42"/>
    <w:rsid w:val="00A67342"/>
    <w:rsid w:val="00A73BD3"/>
    <w:rsid w:val="00A74412"/>
    <w:rsid w:val="00A74B91"/>
    <w:rsid w:val="00A81B58"/>
    <w:rsid w:val="00A81CAE"/>
    <w:rsid w:val="00A83E91"/>
    <w:rsid w:val="00A85A4F"/>
    <w:rsid w:val="00A874A8"/>
    <w:rsid w:val="00A875E0"/>
    <w:rsid w:val="00AA5262"/>
    <w:rsid w:val="00AA6B2D"/>
    <w:rsid w:val="00AB5A22"/>
    <w:rsid w:val="00AB6399"/>
    <w:rsid w:val="00AB73A2"/>
    <w:rsid w:val="00AC26F7"/>
    <w:rsid w:val="00AC60B4"/>
    <w:rsid w:val="00AC646E"/>
    <w:rsid w:val="00AD0562"/>
    <w:rsid w:val="00AD19E0"/>
    <w:rsid w:val="00AD737D"/>
    <w:rsid w:val="00AF1174"/>
    <w:rsid w:val="00AF1D3C"/>
    <w:rsid w:val="00AF30C6"/>
    <w:rsid w:val="00AF3534"/>
    <w:rsid w:val="00AF6F3A"/>
    <w:rsid w:val="00B02090"/>
    <w:rsid w:val="00B03168"/>
    <w:rsid w:val="00B07F5C"/>
    <w:rsid w:val="00B10F4A"/>
    <w:rsid w:val="00B11111"/>
    <w:rsid w:val="00B12E81"/>
    <w:rsid w:val="00B14987"/>
    <w:rsid w:val="00B14A86"/>
    <w:rsid w:val="00B1606E"/>
    <w:rsid w:val="00B16399"/>
    <w:rsid w:val="00B23394"/>
    <w:rsid w:val="00B2426D"/>
    <w:rsid w:val="00B25CBE"/>
    <w:rsid w:val="00B31D37"/>
    <w:rsid w:val="00B3545D"/>
    <w:rsid w:val="00B37BDE"/>
    <w:rsid w:val="00B40974"/>
    <w:rsid w:val="00B43B06"/>
    <w:rsid w:val="00B463C1"/>
    <w:rsid w:val="00B50F41"/>
    <w:rsid w:val="00B51318"/>
    <w:rsid w:val="00B526F2"/>
    <w:rsid w:val="00B53425"/>
    <w:rsid w:val="00B53903"/>
    <w:rsid w:val="00B55AF5"/>
    <w:rsid w:val="00B567C8"/>
    <w:rsid w:val="00B5714F"/>
    <w:rsid w:val="00B60682"/>
    <w:rsid w:val="00B62B19"/>
    <w:rsid w:val="00B631A9"/>
    <w:rsid w:val="00B64A00"/>
    <w:rsid w:val="00B70AC5"/>
    <w:rsid w:val="00B75AAB"/>
    <w:rsid w:val="00B8504F"/>
    <w:rsid w:val="00B86EA6"/>
    <w:rsid w:val="00B904DF"/>
    <w:rsid w:val="00B93DAC"/>
    <w:rsid w:val="00B95A58"/>
    <w:rsid w:val="00BA0623"/>
    <w:rsid w:val="00BA37B7"/>
    <w:rsid w:val="00BA3C17"/>
    <w:rsid w:val="00BB53F2"/>
    <w:rsid w:val="00BB54BC"/>
    <w:rsid w:val="00BC4591"/>
    <w:rsid w:val="00BD0F1C"/>
    <w:rsid w:val="00BD6E44"/>
    <w:rsid w:val="00BE150C"/>
    <w:rsid w:val="00BE5198"/>
    <w:rsid w:val="00BF13E8"/>
    <w:rsid w:val="00BF1CC7"/>
    <w:rsid w:val="00BF55F1"/>
    <w:rsid w:val="00BF7C80"/>
    <w:rsid w:val="00C0174A"/>
    <w:rsid w:val="00C05D7D"/>
    <w:rsid w:val="00C10D33"/>
    <w:rsid w:val="00C13717"/>
    <w:rsid w:val="00C137FD"/>
    <w:rsid w:val="00C20533"/>
    <w:rsid w:val="00C20F5F"/>
    <w:rsid w:val="00C3269D"/>
    <w:rsid w:val="00C3356C"/>
    <w:rsid w:val="00C33E30"/>
    <w:rsid w:val="00C342AF"/>
    <w:rsid w:val="00C35EC4"/>
    <w:rsid w:val="00C3742B"/>
    <w:rsid w:val="00C376E9"/>
    <w:rsid w:val="00C42D9D"/>
    <w:rsid w:val="00C461A6"/>
    <w:rsid w:val="00C549B7"/>
    <w:rsid w:val="00C56E84"/>
    <w:rsid w:val="00C611EC"/>
    <w:rsid w:val="00C64E38"/>
    <w:rsid w:val="00C70165"/>
    <w:rsid w:val="00C74C4A"/>
    <w:rsid w:val="00C76224"/>
    <w:rsid w:val="00C77D32"/>
    <w:rsid w:val="00C819B9"/>
    <w:rsid w:val="00C827D8"/>
    <w:rsid w:val="00C83339"/>
    <w:rsid w:val="00C93350"/>
    <w:rsid w:val="00C93708"/>
    <w:rsid w:val="00CA37E4"/>
    <w:rsid w:val="00CA5482"/>
    <w:rsid w:val="00CA67D5"/>
    <w:rsid w:val="00CA754D"/>
    <w:rsid w:val="00CA78BC"/>
    <w:rsid w:val="00CB239D"/>
    <w:rsid w:val="00CB291B"/>
    <w:rsid w:val="00CB50CE"/>
    <w:rsid w:val="00CB5481"/>
    <w:rsid w:val="00CC3ABD"/>
    <w:rsid w:val="00CC7420"/>
    <w:rsid w:val="00CD09A5"/>
    <w:rsid w:val="00CD09D5"/>
    <w:rsid w:val="00CD1E4F"/>
    <w:rsid w:val="00CD2B38"/>
    <w:rsid w:val="00CD582D"/>
    <w:rsid w:val="00CD6EF0"/>
    <w:rsid w:val="00CD793A"/>
    <w:rsid w:val="00CE1F4F"/>
    <w:rsid w:val="00CE771C"/>
    <w:rsid w:val="00CF0D51"/>
    <w:rsid w:val="00CF22FA"/>
    <w:rsid w:val="00CF35A3"/>
    <w:rsid w:val="00CF5037"/>
    <w:rsid w:val="00CF7618"/>
    <w:rsid w:val="00D003ED"/>
    <w:rsid w:val="00D004C9"/>
    <w:rsid w:val="00D018FF"/>
    <w:rsid w:val="00D02247"/>
    <w:rsid w:val="00D02DE8"/>
    <w:rsid w:val="00D15597"/>
    <w:rsid w:val="00D21BA6"/>
    <w:rsid w:val="00D30B77"/>
    <w:rsid w:val="00D3156F"/>
    <w:rsid w:val="00D32067"/>
    <w:rsid w:val="00D352AA"/>
    <w:rsid w:val="00D35EC9"/>
    <w:rsid w:val="00D36F6D"/>
    <w:rsid w:val="00D37EE2"/>
    <w:rsid w:val="00D42F92"/>
    <w:rsid w:val="00D43910"/>
    <w:rsid w:val="00D472CD"/>
    <w:rsid w:val="00D47914"/>
    <w:rsid w:val="00D5036F"/>
    <w:rsid w:val="00D50DDA"/>
    <w:rsid w:val="00D51E0C"/>
    <w:rsid w:val="00D57A21"/>
    <w:rsid w:val="00D66665"/>
    <w:rsid w:val="00D670AD"/>
    <w:rsid w:val="00D67174"/>
    <w:rsid w:val="00D67A5F"/>
    <w:rsid w:val="00D70084"/>
    <w:rsid w:val="00D74953"/>
    <w:rsid w:val="00D76272"/>
    <w:rsid w:val="00D772E8"/>
    <w:rsid w:val="00D80921"/>
    <w:rsid w:val="00D915F3"/>
    <w:rsid w:val="00D94142"/>
    <w:rsid w:val="00DB171B"/>
    <w:rsid w:val="00DB2787"/>
    <w:rsid w:val="00DB5D35"/>
    <w:rsid w:val="00DB6D18"/>
    <w:rsid w:val="00DC35B7"/>
    <w:rsid w:val="00DC45EB"/>
    <w:rsid w:val="00DC7FEF"/>
    <w:rsid w:val="00DD061C"/>
    <w:rsid w:val="00DD0A76"/>
    <w:rsid w:val="00DE0262"/>
    <w:rsid w:val="00DE2EDA"/>
    <w:rsid w:val="00DE36F2"/>
    <w:rsid w:val="00DE6D44"/>
    <w:rsid w:val="00DE7418"/>
    <w:rsid w:val="00DF008F"/>
    <w:rsid w:val="00DF1CAF"/>
    <w:rsid w:val="00DF3449"/>
    <w:rsid w:val="00DF7D7C"/>
    <w:rsid w:val="00E01C8D"/>
    <w:rsid w:val="00E03E9F"/>
    <w:rsid w:val="00E07C64"/>
    <w:rsid w:val="00E12F45"/>
    <w:rsid w:val="00E15E18"/>
    <w:rsid w:val="00E17AC2"/>
    <w:rsid w:val="00E22230"/>
    <w:rsid w:val="00E238A2"/>
    <w:rsid w:val="00E24D14"/>
    <w:rsid w:val="00E35DD5"/>
    <w:rsid w:val="00E367F5"/>
    <w:rsid w:val="00E36C3D"/>
    <w:rsid w:val="00E37100"/>
    <w:rsid w:val="00E41AB3"/>
    <w:rsid w:val="00E449B7"/>
    <w:rsid w:val="00E45289"/>
    <w:rsid w:val="00E532B7"/>
    <w:rsid w:val="00E56D26"/>
    <w:rsid w:val="00E609EF"/>
    <w:rsid w:val="00E620B2"/>
    <w:rsid w:val="00E645CF"/>
    <w:rsid w:val="00E7744B"/>
    <w:rsid w:val="00E77F0F"/>
    <w:rsid w:val="00E824AA"/>
    <w:rsid w:val="00E85E39"/>
    <w:rsid w:val="00E901CD"/>
    <w:rsid w:val="00E903DC"/>
    <w:rsid w:val="00E90A01"/>
    <w:rsid w:val="00E9134F"/>
    <w:rsid w:val="00E9152D"/>
    <w:rsid w:val="00E933AD"/>
    <w:rsid w:val="00E94A0F"/>
    <w:rsid w:val="00E9769F"/>
    <w:rsid w:val="00E97FD9"/>
    <w:rsid w:val="00EA23D5"/>
    <w:rsid w:val="00EA308D"/>
    <w:rsid w:val="00EA3EC2"/>
    <w:rsid w:val="00EB0E3C"/>
    <w:rsid w:val="00EB1AA3"/>
    <w:rsid w:val="00EB330C"/>
    <w:rsid w:val="00EB43F2"/>
    <w:rsid w:val="00EB4B31"/>
    <w:rsid w:val="00EB5A7B"/>
    <w:rsid w:val="00EC0B57"/>
    <w:rsid w:val="00EC126A"/>
    <w:rsid w:val="00EC3DED"/>
    <w:rsid w:val="00EC4707"/>
    <w:rsid w:val="00EC553F"/>
    <w:rsid w:val="00EC64E6"/>
    <w:rsid w:val="00EC6E48"/>
    <w:rsid w:val="00ED2BEE"/>
    <w:rsid w:val="00ED47B7"/>
    <w:rsid w:val="00ED4CA1"/>
    <w:rsid w:val="00ED7D41"/>
    <w:rsid w:val="00EE7967"/>
    <w:rsid w:val="00F0181B"/>
    <w:rsid w:val="00F02180"/>
    <w:rsid w:val="00F035FA"/>
    <w:rsid w:val="00F04245"/>
    <w:rsid w:val="00F05CD2"/>
    <w:rsid w:val="00F1081B"/>
    <w:rsid w:val="00F1497C"/>
    <w:rsid w:val="00F15D8E"/>
    <w:rsid w:val="00F342FA"/>
    <w:rsid w:val="00F36422"/>
    <w:rsid w:val="00F56725"/>
    <w:rsid w:val="00F57BCC"/>
    <w:rsid w:val="00F668DC"/>
    <w:rsid w:val="00F7170C"/>
    <w:rsid w:val="00F764C1"/>
    <w:rsid w:val="00F7750C"/>
    <w:rsid w:val="00F806B4"/>
    <w:rsid w:val="00F81BE7"/>
    <w:rsid w:val="00F8231B"/>
    <w:rsid w:val="00F8547C"/>
    <w:rsid w:val="00F87769"/>
    <w:rsid w:val="00F91C46"/>
    <w:rsid w:val="00F94E44"/>
    <w:rsid w:val="00F971DC"/>
    <w:rsid w:val="00FA0061"/>
    <w:rsid w:val="00FA146D"/>
    <w:rsid w:val="00FA31BE"/>
    <w:rsid w:val="00FA3265"/>
    <w:rsid w:val="00FA433B"/>
    <w:rsid w:val="00FB485B"/>
    <w:rsid w:val="00FC00A5"/>
    <w:rsid w:val="00FC35EE"/>
    <w:rsid w:val="00FC5AF2"/>
    <w:rsid w:val="00FC7364"/>
    <w:rsid w:val="00FC7D4D"/>
    <w:rsid w:val="00FC7F48"/>
    <w:rsid w:val="00FD1BD9"/>
    <w:rsid w:val="00FD2898"/>
    <w:rsid w:val="00FD2BB9"/>
    <w:rsid w:val="00FD3548"/>
    <w:rsid w:val="00FD6250"/>
    <w:rsid w:val="00FD6880"/>
    <w:rsid w:val="00FE26C6"/>
    <w:rsid w:val="00FE2FB8"/>
    <w:rsid w:val="00FE5815"/>
    <w:rsid w:val="00FE7D95"/>
    <w:rsid w:val="00FF1BB4"/>
    <w:rsid w:val="00FF2857"/>
    <w:rsid w:val="00FF326D"/>
    <w:rsid w:val="00FF540D"/>
    <w:rsid w:val="00FF550E"/>
    <w:rsid w:val="00FF628F"/>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D46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99"/>
    <w:qFormat/>
    <w:rsid w:val="001068A4"/>
    <w:pPr>
      <w:ind w:left="720"/>
      <w:contextualSpacing/>
    </w:pPr>
    <w:rPr>
      <w:rFonts w:ascii="Times New Roman" w:hAnsi="Times New Roman"/>
      <w:sz w:val="24"/>
      <w:szCs w:val="24"/>
      <w:lang w:val="en-US"/>
    </w:rPr>
  </w:style>
  <w:style w:type="character" w:styleId="Hyperlink">
    <w:name w:val="Hyperlink"/>
    <w:basedOn w:val="DefaultParagraphFont"/>
    <w:unhideWhenUsed/>
    <w:rsid w:val="00A01DA9"/>
    <w:rPr>
      <w:color w:val="0000FF" w:themeColor="hyperlink"/>
      <w:u w:val="single"/>
    </w:rPr>
  </w:style>
  <w:style w:type="character" w:styleId="FollowedHyperlink">
    <w:name w:val="FollowedHyperlink"/>
    <w:basedOn w:val="DefaultParagraphFont"/>
    <w:semiHidden/>
    <w:unhideWhenUsed/>
    <w:rsid w:val="00AA6B2D"/>
    <w:rPr>
      <w:color w:val="800080" w:themeColor="followedHyperlink"/>
      <w:u w:val="single"/>
    </w:rPr>
  </w:style>
  <w:style w:type="paragraph" w:styleId="NormalWeb">
    <w:name w:val="Normal (Web)"/>
    <w:basedOn w:val="Normal"/>
    <w:uiPriority w:val="99"/>
    <w:semiHidden/>
    <w:unhideWhenUsed/>
    <w:rsid w:val="000D4FCA"/>
    <w:pPr>
      <w:spacing w:before="100" w:beforeAutospacing="1" w:after="100" w:afterAutospacing="1"/>
    </w:pPr>
    <w:rPr>
      <w:rFonts w:ascii="Times" w:hAnsi="Times"/>
      <w:lang w:val="en-US"/>
    </w:rPr>
  </w:style>
  <w:style w:type="character" w:customStyle="1" w:styleId="citationref">
    <w:name w:val="citationref"/>
    <w:basedOn w:val="DefaultParagraphFont"/>
    <w:rsid w:val="00CA37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99"/>
    <w:qFormat/>
    <w:rsid w:val="001068A4"/>
    <w:pPr>
      <w:ind w:left="720"/>
      <w:contextualSpacing/>
    </w:pPr>
    <w:rPr>
      <w:rFonts w:ascii="Times New Roman" w:hAnsi="Times New Roman"/>
      <w:sz w:val="24"/>
      <w:szCs w:val="24"/>
      <w:lang w:val="en-US"/>
    </w:rPr>
  </w:style>
  <w:style w:type="character" w:styleId="Hyperlink">
    <w:name w:val="Hyperlink"/>
    <w:basedOn w:val="DefaultParagraphFont"/>
    <w:unhideWhenUsed/>
    <w:rsid w:val="00A01DA9"/>
    <w:rPr>
      <w:color w:val="0000FF" w:themeColor="hyperlink"/>
      <w:u w:val="single"/>
    </w:rPr>
  </w:style>
  <w:style w:type="character" w:styleId="FollowedHyperlink">
    <w:name w:val="FollowedHyperlink"/>
    <w:basedOn w:val="DefaultParagraphFont"/>
    <w:semiHidden/>
    <w:unhideWhenUsed/>
    <w:rsid w:val="00AA6B2D"/>
    <w:rPr>
      <w:color w:val="800080" w:themeColor="followedHyperlink"/>
      <w:u w:val="single"/>
    </w:rPr>
  </w:style>
  <w:style w:type="paragraph" w:styleId="NormalWeb">
    <w:name w:val="Normal (Web)"/>
    <w:basedOn w:val="Normal"/>
    <w:uiPriority w:val="99"/>
    <w:semiHidden/>
    <w:unhideWhenUsed/>
    <w:rsid w:val="000D4FCA"/>
    <w:pPr>
      <w:spacing w:before="100" w:beforeAutospacing="1" w:after="100" w:afterAutospacing="1"/>
    </w:pPr>
    <w:rPr>
      <w:rFonts w:ascii="Times" w:hAnsi="Times"/>
      <w:lang w:val="en-US"/>
    </w:rPr>
  </w:style>
  <w:style w:type="character" w:customStyle="1" w:styleId="citationref">
    <w:name w:val="citationref"/>
    <w:basedOn w:val="DefaultParagraphFont"/>
    <w:rsid w:val="00CA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59">
      <w:bodyDiv w:val="1"/>
      <w:marLeft w:val="0"/>
      <w:marRight w:val="0"/>
      <w:marTop w:val="0"/>
      <w:marBottom w:val="0"/>
      <w:divBdr>
        <w:top w:val="none" w:sz="0" w:space="0" w:color="auto"/>
        <w:left w:val="none" w:sz="0" w:space="0" w:color="auto"/>
        <w:bottom w:val="none" w:sz="0" w:space="0" w:color="auto"/>
        <w:right w:val="none" w:sz="0" w:space="0" w:color="auto"/>
      </w:divBdr>
    </w:div>
    <w:div w:id="80950723">
      <w:bodyDiv w:val="1"/>
      <w:marLeft w:val="0"/>
      <w:marRight w:val="0"/>
      <w:marTop w:val="0"/>
      <w:marBottom w:val="0"/>
      <w:divBdr>
        <w:top w:val="none" w:sz="0" w:space="0" w:color="auto"/>
        <w:left w:val="none" w:sz="0" w:space="0" w:color="auto"/>
        <w:bottom w:val="none" w:sz="0" w:space="0" w:color="auto"/>
        <w:right w:val="none" w:sz="0" w:space="0" w:color="auto"/>
      </w:divBdr>
    </w:div>
    <w:div w:id="110713182">
      <w:bodyDiv w:val="1"/>
      <w:marLeft w:val="0"/>
      <w:marRight w:val="0"/>
      <w:marTop w:val="0"/>
      <w:marBottom w:val="0"/>
      <w:divBdr>
        <w:top w:val="none" w:sz="0" w:space="0" w:color="auto"/>
        <w:left w:val="none" w:sz="0" w:space="0" w:color="auto"/>
        <w:bottom w:val="none" w:sz="0" w:space="0" w:color="auto"/>
        <w:right w:val="none" w:sz="0" w:space="0" w:color="auto"/>
      </w:divBdr>
    </w:div>
    <w:div w:id="117113475">
      <w:bodyDiv w:val="1"/>
      <w:marLeft w:val="0"/>
      <w:marRight w:val="0"/>
      <w:marTop w:val="0"/>
      <w:marBottom w:val="0"/>
      <w:divBdr>
        <w:top w:val="none" w:sz="0" w:space="0" w:color="auto"/>
        <w:left w:val="none" w:sz="0" w:space="0" w:color="auto"/>
        <w:bottom w:val="none" w:sz="0" w:space="0" w:color="auto"/>
        <w:right w:val="none" w:sz="0" w:space="0" w:color="auto"/>
      </w:divBdr>
    </w:div>
    <w:div w:id="120467971">
      <w:bodyDiv w:val="1"/>
      <w:marLeft w:val="0"/>
      <w:marRight w:val="0"/>
      <w:marTop w:val="0"/>
      <w:marBottom w:val="0"/>
      <w:divBdr>
        <w:top w:val="none" w:sz="0" w:space="0" w:color="auto"/>
        <w:left w:val="none" w:sz="0" w:space="0" w:color="auto"/>
        <w:bottom w:val="none" w:sz="0" w:space="0" w:color="auto"/>
        <w:right w:val="none" w:sz="0" w:space="0" w:color="auto"/>
      </w:divBdr>
    </w:div>
    <w:div w:id="142621102">
      <w:bodyDiv w:val="1"/>
      <w:marLeft w:val="0"/>
      <w:marRight w:val="0"/>
      <w:marTop w:val="0"/>
      <w:marBottom w:val="0"/>
      <w:divBdr>
        <w:top w:val="none" w:sz="0" w:space="0" w:color="auto"/>
        <w:left w:val="none" w:sz="0" w:space="0" w:color="auto"/>
        <w:bottom w:val="none" w:sz="0" w:space="0" w:color="auto"/>
        <w:right w:val="none" w:sz="0" w:space="0" w:color="auto"/>
      </w:divBdr>
    </w:div>
    <w:div w:id="171648978">
      <w:bodyDiv w:val="1"/>
      <w:marLeft w:val="0"/>
      <w:marRight w:val="0"/>
      <w:marTop w:val="0"/>
      <w:marBottom w:val="0"/>
      <w:divBdr>
        <w:top w:val="none" w:sz="0" w:space="0" w:color="auto"/>
        <w:left w:val="none" w:sz="0" w:space="0" w:color="auto"/>
        <w:bottom w:val="none" w:sz="0" w:space="0" w:color="auto"/>
        <w:right w:val="none" w:sz="0" w:space="0" w:color="auto"/>
      </w:divBdr>
    </w:div>
    <w:div w:id="183136156">
      <w:bodyDiv w:val="1"/>
      <w:marLeft w:val="0"/>
      <w:marRight w:val="0"/>
      <w:marTop w:val="0"/>
      <w:marBottom w:val="0"/>
      <w:divBdr>
        <w:top w:val="none" w:sz="0" w:space="0" w:color="auto"/>
        <w:left w:val="none" w:sz="0" w:space="0" w:color="auto"/>
        <w:bottom w:val="none" w:sz="0" w:space="0" w:color="auto"/>
        <w:right w:val="none" w:sz="0" w:space="0" w:color="auto"/>
      </w:divBdr>
      <w:divsChild>
        <w:div w:id="837161178">
          <w:marLeft w:val="0"/>
          <w:marRight w:val="0"/>
          <w:marTop w:val="0"/>
          <w:marBottom w:val="0"/>
          <w:divBdr>
            <w:top w:val="none" w:sz="0" w:space="0" w:color="auto"/>
            <w:left w:val="none" w:sz="0" w:space="0" w:color="auto"/>
            <w:bottom w:val="none" w:sz="0" w:space="0" w:color="auto"/>
            <w:right w:val="none" w:sz="0" w:space="0" w:color="auto"/>
          </w:divBdr>
          <w:divsChild>
            <w:div w:id="1683244478">
              <w:marLeft w:val="0"/>
              <w:marRight w:val="0"/>
              <w:marTop w:val="0"/>
              <w:marBottom w:val="0"/>
              <w:divBdr>
                <w:top w:val="none" w:sz="0" w:space="0" w:color="auto"/>
                <w:left w:val="none" w:sz="0" w:space="0" w:color="auto"/>
                <w:bottom w:val="none" w:sz="0" w:space="0" w:color="auto"/>
                <w:right w:val="none" w:sz="0" w:space="0" w:color="auto"/>
              </w:divBdr>
              <w:divsChild>
                <w:div w:id="1584795655">
                  <w:marLeft w:val="0"/>
                  <w:marRight w:val="0"/>
                  <w:marTop w:val="0"/>
                  <w:marBottom w:val="0"/>
                  <w:divBdr>
                    <w:top w:val="none" w:sz="0" w:space="0" w:color="auto"/>
                    <w:left w:val="none" w:sz="0" w:space="0" w:color="auto"/>
                    <w:bottom w:val="none" w:sz="0" w:space="0" w:color="auto"/>
                    <w:right w:val="none" w:sz="0" w:space="0" w:color="auto"/>
                  </w:divBdr>
                  <w:divsChild>
                    <w:div w:id="378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9766">
      <w:bodyDiv w:val="1"/>
      <w:marLeft w:val="0"/>
      <w:marRight w:val="0"/>
      <w:marTop w:val="0"/>
      <w:marBottom w:val="0"/>
      <w:divBdr>
        <w:top w:val="none" w:sz="0" w:space="0" w:color="auto"/>
        <w:left w:val="none" w:sz="0" w:space="0" w:color="auto"/>
        <w:bottom w:val="none" w:sz="0" w:space="0" w:color="auto"/>
        <w:right w:val="none" w:sz="0" w:space="0" w:color="auto"/>
      </w:divBdr>
    </w:div>
    <w:div w:id="210308564">
      <w:bodyDiv w:val="1"/>
      <w:marLeft w:val="0"/>
      <w:marRight w:val="0"/>
      <w:marTop w:val="0"/>
      <w:marBottom w:val="0"/>
      <w:divBdr>
        <w:top w:val="none" w:sz="0" w:space="0" w:color="auto"/>
        <w:left w:val="none" w:sz="0" w:space="0" w:color="auto"/>
        <w:bottom w:val="none" w:sz="0" w:space="0" w:color="auto"/>
        <w:right w:val="none" w:sz="0" w:space="0" w:color="auto"/>
      </w:divBdr>
    </w:div>
    <w:div w:id="228418733">
      <w:bodyDiv w:val="1"/>
      <w:marLeft w:val="0"/>
      <w:marRight w:val="0"/>
      <w:marTop w:val="0"/>
      <w:marBottom w:val="0"/>
      <w:divBdr>
        <w:top w:val="none" w:sz="0" w:space="0" w:color="auto"/>
        <w:left w:val="none" w:sz="0" w:space="0" w:color="auto"/>
        <w:bottom w:val="none" w:sz="0" w:space="0" w:color="auto"/>
        <w:right w:val="none" w:sz="0" w:space="0" w:color="auto"/>
      </w:divBdr>
    </w:div>
    <w:div w:id="237403940">
      <w:bodyDiv w:val="1"/>
      <w:marLeft w:val="0"/>
      <w:marRight w:val="0"/>
      <w:marTop w:val="0"/>
      <w:marBottom w:val="0"/>
      <w:divBdr>
        <w:top w:val="none" w:sz="0" w:space="0" w:color="auto"/>
        <w:left w:val="none" w:sz="0" w:space="0" w:color="auto"/>
        <w:bottom w:val="none" w:sz="0" w:space="0" w:color="auto"/>
        <w:right w:val="none" w:sz="0" w:space="0" w:color="auto"/>
      </w:divBdr>
    </w:div>
    <w:div w:id="306056482">
      <w:bodyDiv w:val="1"/>
      <w:marLeft w:val="0"/>
      <w:marRight w:val="0"/>
      <w:marTop w:val="0"/>
      <w:marBottom w:val="0"/>
      <w:divBdr>
        <w:top w:val="none" w:sz="0" w:space="0" w:color="auto"/>
        <w:left w:val="none" w:sz="0" w:space="0" w:color="auto"/>
        <w:bottom w:val="none" w:sz="0" w:space="0" w:color="auto"/>
        <w:right w:val="none" w:sz="0" w:space="0" w:color="auto"/>
      </w:divBdr>
    </w:div>
    <w:div w:id="323708278">
      <w:bodyDiv w:val="1"/>
      <w:marLeft w:val="0"/>
      <w:marRight w:val="0"/>
      <w:marTop w:val="0"/>
      <w:marBottom w:val="0"/>
      <w:divBdr>
        <w:top w:val="none" w:sz="0" w:space="0" w:color="auto"/>
        <w:left w:val="none" w:sz="0" w:space="0" w:color="auto"/>
        <w:bottom w:val="none" w:sz="0" w:space="0" w:color="auto"/>
        <w:right w:val="none" w:sz="0" w:space="0" w:color="auto"/>
      </w:divBdr>
      <w:divsChild>
        <w:div w:id="129440770">
          <w:marLeft w:val="0"/>
          <w:marRight w:val="0"/>
          <w:marTop w:val="0"/>
          <w:marBottom w:val="0"/>
          <w:divBdr>
            <w:top w:val="none" w:sz="0" w:space="0" w:color="auto"/>
            <w:left w:val="none" w:sz="0" w:space="0" w:color="auto"/>
            <w:bottom w:val="none" w:sz="0" w:space="0" w:color="auto"/>
            <w:right w:val="none" w:sz="0" w:space="0" w:color="auto"/>
          </w:divBdr>
          <w:divsChild>
            <w:div w:id="361904102">
              <w:marLeft w:val="0"/>
              <w:marRight w:val="0"/>
              <w:marTop w:val="0"/>
              <w:marBottom w:val="0"/>
              <w:divBdr>
                <w:top w:val="none" w:sz="0" w:space="0" w:color="auto"/>
                <w:left w:val="none" w:sz="0" w:space="0" w:color="auto"/>
                <w:bottom w:val="none" w:sz="0" w:space="0" w:color="auto"/>
                <w:right w:val="none" w:sz="0" w:space="0" w:color="auto"/>
              </w:divBdr>
              <w:divsChild>
                <w:div w:id="2006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0378">
      <w:bodyDiv w:val="1"/>
      <w:marLeft w:val="0"/>
      <w:marRight w:val="0"/>
      <w:marTop w:val="0"/>
      <w:marBottom w:val="0"/>
      <w:divBdr>
        <w:top w:val="none" w:sz="0" w:space="0" w:color="auto"/>
        <w:left w:val="none" w:sz="0" w:space="0" w:color="auto"/>
        <w:bottom w:val="none" w:sz="0" w:space="0" w:color="auto"/>
        <w:right w:val="none" w:sz="0" w:space="0" w:color="auto"/>
      </w:divBdr>
    </w:div>
    <w:div w:id="374281431">
      <w:bodyDiv w:val="1"/>
      <w:marLeft w:val="0"/>
      <w:marRight w:val="0"/>
      <w:marTop w:val="0"/>
      <w:marBottom w:val="0"/>
      <w:divBdr>
        <w:top w:val="none" w:sz="0" w:space="0" w:color="auto"/>
        <w:left w:val="none" w:sz="0" w:space="0" w:color="auto"/>
        <w:bottom w:val="none" w:sz="0" w:space="0" w:color="auto"/>
        <w:right w:val="none" w:sz="0" w:space="0" w:color="auto"/>
      </w:divBdr>
    </w:div>
    <w:div w:id="378437305">
      <w:bodyDiv w:val="1"/>
      <w:marLeft w:val="0"/>
      <w:marRight w:val="0"/>
      <w:marTop w:val="0"/>
      <w:marBottom w:val="0"/>
      <w:divBdr>
        <w:top w:val="none" w:sz="0" w:space="0" w:color="auto"/>
        <w:left w:val="none" w:sz="0" w:space="0" w:color="auto"/>
        <w:bottom w:val="none" w:sz="0" w:space="0" w:color="auto"/>
        <w:right w:val="none" w:sz="0" w:space="0" w:color="auto"/>
      </w:divBdr>
    </w:div>
    <w:div w:id="461189612">
      <w:bodyDiv w:val="1"/>
      <w:marLeft w:val="0"/>
      <w:marRight w:val="0"/>
      <w:marTop w:val="0"/>
      <w:marBottom w:val="0"/>
      <w:divBdr>
        <w:top w:val="none" w:sz="0" w:space="0" w:color="auto"/>
        <w:left w:val="none" w:sz="0" w:space="0" w:color="auto"/>
        <w:bottom w:val="none" w:sz="0" w:space="0" w:color="auto"/>
        <w:right w:val="none" w:sz="0" w:space="0" w:color="auto"/>
      </w:divBdr>
    </w:div>
    <w:div w:id="504514873">
      <w:bodyDiv w:val="1"/>
      <w:marLeft w:val="0"/>
      <w:marRight w:val="0"/>
      <w:marTop w:val="0"/>
      <w:marBottom w:val="0"/>
      <w:divBdr>
        <w:top w:val="none" w:sz="0" w:space="0" w:color="auto"/>
        <w:left w:val="none" w:sz="0" w:space="0" w:color="auto"/>
        <w:bottom w:val="none" w:sz="0" w:space="0" w:color="auto"/>
        <w:right w:val="none" w:sz="0" w:space="0" w:color="auto"/>
      </w:divBdr>
    </w:div>
    <w:div w:id="550505316">
      <w:bodyDiv w:val="1"/>
      <w:marLeft w:val="0"/>
      <w:marRight w:val="0"/>
      <w:marTop w:val="0"/>
      <w:marBottom w:val="0"/>
      <w:divBdr>
        <w:top w:val="none" w:sz="0" w:space="0" w:color="auto"/>
        <w:left w:val="none" w:sz="0" w:space="0" w:color="auto"/>
        <w:bottom w:val="none" w:sz="0" w:space="0" w:color="auto"/>
        <w:right w:val="none" w:sz="0" w:space="0" w:color="auto"/>
      </w:divBdr>
    </w:div>
    <w:div w:id="622731993">
      <w:bodyDiv w:val="1"/>
      <w:marLeft w:val="0"/>
      <w:marRight w:val="0"/>
      <w:marTop w:val="0"/>
      <w:marBottom w:val="0"/>
      <w:divBdr>
        <w:top w:val="none" w:sz="0" w:space="0" w:color="auto"/>
        <w:left w:val="none" w:sz="0" w:space="0" w:color="auto"/>
        <w:bottom w:val="none" w:sz="0" w:space="0" w:color="auto"/>
        <w:right w:val="none" w:sz="0" w:space="0" w:color="auto"/>
      </w:divBdr>
    </w:div>
    <w:div w:id="679434198">
      <w:bodyDiv w:val="1"/>
      <w:marLeft w:val="0"/>
      <w:marRight w:val="0"/>
      <w:marTop w:val="0"/>
      <w:marBottom w:val="0"/>
      <w:divBdr>
        <w:top w:val="none" w:sz="0" w:space="0" w:color="auto"/>
        <w:left w:val="none" w:sz="0" w:space="0" w:color="auto"/>
        <w:bottom w:val="none" w:sz="0" w:space="0" w:color="auto"/>
        <w:right w:val="none" w:sz="0" w:space="0" w:color="auto"/>
      </w:divBdr>
    </w:div>
    <w:div w:id="697389349">
      <w:bodyDiv w:val="1"/>
      <w:marLeft w:val="0"/>
      <w:marRight w:val="0"/>
      <w:marTop w:val="0"/>
      <w:marBottom w:val="0"/>
      <w:divBdr>
        <w:top w:val="none" w:sz="0" w:space="0" w:color="auto"/>
        <w:left w:val="none" w:sz="0" w:space="0" w:color="auto"/>
        <w:bottom w:val="none" w:sz="0" w:space="0" w:color="auto"/>
        <w:right w:val="none" w:sz="0" w:space="0" w:color="auto"/>
      </w:divBdr>
    </w:div>
    <w:div w:id="713500255">
      <w:bodyDiv w:val="1"/>
      <w:marLeft w:val="0"/>
      <w:marRight w:val="0"/>
      <w:marTop w:val="0"/>
      <w:marBottom w:val="0"/>
      <w:divBdr>
        <w:top w:val="none" w:sz="0" w:space="0" w:color="auto"/>
        <w:left w:val="none" w:sz="0" w:space="0" w:color="auto"/>
        <w:bottom w:val="none" w:sz="0" w:space="0" w:color="auto"/>
        <w:right w:val="none" w:sz="0" w:space="0" w:color="auto"/>
      </w:divBdr>
    </w:div>
    <w:div w:id="752165645">
      <w:bodyDiv w:val="1"/>
      <w:marLeft w:val="0"/>
      <w:marRight w:val="0"/>
      <w:marTop w:val="0"/>
      <w:marBottom w:val="0"/>
      <w:divBdr>
        <w:top w:val="none" w:sz="0" w:space="0" w:color="auto"/>
        <w:left w:val="none" w:sz="0" w:space="0" w:color="auto"/>
        <w:bottom w:val="none" w:sz="0" w:space="0" w:color="auto"/>
        <w:right w:val="none" w:sz="0" w:space="0" w:color="auto"/>
      </w:divBdr>
    </w:div>
    <w:div w:id="769006355">
      <w:bodyDiv w:val="1"/>
      <w:marLeft w:val="0"/>
      <w:marRight w:val="0"/>
      <w:marTop w:val="0"/>
      <w:marBottom w:val="0"/>
      <w:divBdr>
        <w:top w:val="none" w:sz="0" w:space="0" w:color="auto"/>
        <w:left w:val="none" w:sz="0" w:space="0" w:color="auto"/>
        <w:bottom w:val="none" w:sz="0" w:space="0" w:color="auto"/>
        <w:right w:val="none" w:sz="0" w:space="0" w:color="auto"/>
      </w:divBdr>
    </w:div>
    <w:div w:id="817527742">
      <w:bodyDiv w:val="1"/>
      <w:marLeft w:val="0"/>
      <w:marRight w:val="0"/>
      <w:marTop w:val="0"/>
      <w:marBottom w:val="0"/>
      <w:divBdr>
        <w:top w:val="none" w:sz="0" w:space="0" w:color="auto"/>
        <w:left w:val="none" w:sz="0" w:space="0" w:color="auto"/>
        <w:bottom w:val="none" w:sz="0" w:space="0" w:color="auto"/>
        <w:right w:val="none" w:sz="0" w:space="0" w:color="auto"/>
      </w:divBdr>
    </w:div>
    <w:div w:id="817771503">
      <w:bodyDiv w:val="1"/>
      <w:marLeft w:val="0"/>
      <w:marRight w:val="0"/>
      <w:marTop w:val="0"/>
      <w:marBottom w:val="0"/>
      <w:divBdr>
        <w:top w:val="none" w:sz="0" w:space="0" w:color="auto"/>
        <w:left w:val="none" w:sz="0" w:space="0" w:color="auto"/>
        <w:bottom w:val="none" w:sz="0" w:space="0" w:color="auto"/>
        <w:right w:val="none" w:sz="0" w:space="0" w:color="auto"/>
      </w:divBdr>
    </w:div>
    <w:div w:id="832647016">
      <w:bodyDiv w:val="1"/>
      <w:marLeft w:val="0"/>
      <w:marRight w:val="0"/>
      <w:marTop w:val="0"/>
      <w:marBottom w:val="0"/>
      <w:divBdr>
        <w:top w:val="none" w:sz="0" w:space="0" w:color="auto"/>
        <w:left w:val="none" w:sz="0" w:space="0" w:color="auto"/>
        <w:bottom w:val="none" w:sz="0" w:space="0" w:color="auto"/>
        <w:right w:val="none" w:sz="0" w:space="0" w:color="auto"/>
      </w:divBdr>
    </w:div>
    <w:div w:id="860434518">
      <w:bodyDiv w:val="1"/>
      <w:marLeft w:val="0"/>
      <w:marRight w:val="0"/>
      <w:marTop w:val="0"/>
      <w:marBottom w:val="0"/>
      <w:divBdr>
        <w:top w:val="none" w:sz="0" w:space="0" w:color="auto"/>
        <w:left w:val="none" w:sz="0" w:space="0" w:color="auto"/>
        <w:bottom w:val="none" w:sz="0" w:space="0" w:color="auto"/>
        <w:right w:val="none" w:sz="0" w:space="0" w:color="auto"/>
      </w:divBdr>
    </w:div>
    <w:div w:id="863980312">
      <w:bodyDiv w:val="1"/>
      <w:marLeft w:val="0"/>
      <w:marRight w:val="0"/>
      <w:marTop w:val="0"/>
      <w:marBottom w:val="0"/>
      <w:divBdr>
        <w:top w:val="none" w:sz="0" w:space="0" w:color="auto"/>
        <w:left w:val="none" w:sz="0" w:space="0" w:color="auto"/>
        <w:bottom w:val="none" w:sz="0" w:space="0" w:color="auto"/>
        <w:right w:val="none" w:sz="0" w:space="0" w:color="auto"/>
      </w:divBdr>
      <w:divsChild>
        <w:div w:id="1014772521">
          <w:marLeft w:val="0"/>
          <w:marRight w:val="0"/>
          <w:marTop w:val="0"/>
          <w:marBottom w:val="0"/>
          <w:divBdr>
            <w:top w:val="none" w:sz="0" w:space="0" w:color="auto"/>
            <w:left w:val="none" w:sz="0" w:space="0" w:color="auto"/>
            <w:bottom w:val="none" w:sz="0" w:space="0" w:color="auto"/>
            <w:right w:val="none" w:sz="0" w:space="0" w:color="auto"/>
          </w:divBdr>
          <w:divsChild>
            <w:div w:id="706375996">
              <w:marLeft w:val="0"/>
              <w:marRight w:val="0"/>
              <w:marTop w:val="0"/>
              <w:marBottom w:val="0"/>
              <w:divBdr>
                <w:top w:val="none" w:sz="0" w:space="0" w:color="auto"/>
                <w:left w:val="none" w:sz="0" w:space="0" w:color="auto"/>
                <w:bottom w:val="none" w:sz="0" w:space="0" w:color="auto"/>
                <w:right w:val="none" w:sz="0" w:space="0" w:color="auto"/>
              </w:divBdr>
              <w:divsChild>
                <w:div w:id="1135100757">
                  <w:marLeft w:val="0"/>
                  <w:marRight w:val="0"/>
                  <w:marTop w:val="0"/>
                  <w:marBottom w:val="0"/>
                  <w:divBdr>
                    <w:top w:val="none" w:sz="0" w:space="0" w:color="auto"/>
                    <w:left w:val="none" w:sz="0" w:space="0" w:color="auto"/>
                    <w:bottom w:val="none" w:sz="0" w:space="0" w:color="auto"/>
                    <w:right w:val="none" w:sz="0" w:space="0" w:color="auto"/>
                  </w:divBdr>
                  <w:divsChild>
                    <w:div w:id="919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5100">
      <w:bodyDiv w:val="1"/>
      <w:marLeft w:val="0"/>
      <w:marRight w:val="0"/>
      <w:marTop w:val="0"/>
      <w:marBottom w:val="0"/>
      <w:divBdr>
        <w:top w:val="none" w:sz="0" w:space="0" w:color="auto"/>
        <w:left w:val="none" w:sz="0" w:space="0" w:color="auto"/>
        <w:bottom w:val="none" w:sz="0" w:space="0" w:color="auto"/>
        <w:right w:val="none" w:sz="0" w:space="0" w:color="auto"/>
      </w:divBdr>
    </w:div>
    <w:div w:id="965964220">
      <w:bodyDiv w:val="1"/>
      <w:marLeft w:val="0"/>
      <w:marRight w:val="0"/>
      <w:marTop w:val="0"/>
      <w:marBottom w:val="0"/>
      <w:divBdr>
        <w:top w:val="none" w:sz="0" w:space="0" w:color="auto"/>
        <w:left w:val="none" w:sz="0" w:space="0" w:color="auto"/>
        <w:bottom w:val="none" w:sz="0" w:space="0" w:color="auto"/>
        <w:right w:val="none" w:sz="0" w:space="0" w:color="auto"/>
      </w:divBdr>
    </w:div>
    <w:div w:id="974601641">
      <w:bodyDiv w:val="1"/>
      <w:marLeft w:val="0"/>
      <w:marRight w:val="0"/>
      <w:marTop w:val="0"/>
      <w:marBottom w:val="0"/>
      <w:divBdr>
        <w:top w:val="none" w:sz="0" w:space="0" w:color="auto"/>
        <w:left w:val="none" w:sz="0" w:space="0" w:color="auto"/>
        <w:bottom w:val="none" w:sz="0" w:space="0" w:color="auto"/>
        <w:right w:val="none" w:sz="0" w:space="0" w:color="auto"/>
      </w:divBdr>
    </w:div>
    <w:div w:id="1006902711">
      <w:bodyDiv w:val="1"/>
      <w:marLeft w:val="0"/>
      <w:marRight w:val="0"/>
      <w:marTop w:val="0"/>
      <w:marBottom w:val="0"/>
      <w:divBdr>
        <w:top w:val="none" w:sz="0" w:space="0" w:color="auto"/>
        <w:left w:val="none" w:sz="0" w:space="0" w:color="auto"/>
        <w:bottom w:val="none" w:sz="0" w:space="0" w:color="auto"/>
        <w:right w:val="none" w:sz="0" w:space="0" w:color="auto"/>
      </w:divBdr>
    </w:div>
    <w:div w:id="1019157323">
      <w:bodyDiv w:val="1"/>
      <w:marLeft w:val="0"/>
      <w:marRight w:val="0"/>
      <w:marTop w:val="0"/>
      <w:marBottom w:val="0"/>
      <w:divBdr>
        <w:top w:val="none" w:sz="0" w:space="0" w:color="auto"/>
        <w:left w:val="none" w:sz="0" w:space="0" w:color="auto"/>
        <w:bottom w:val="none" w:sz="0" w:space="0" w:color="auto"/>
        <w:right w:val="none" w:sz="0" w:space="0" w:color="auto"/>
      </w:divBdr>
    </w:div>
    <w:div w:id="1044522083">
      <w:bodyDiv w:val="1"/>
      <w:marLeft w:val="0"/>
      <w:marRight w:val="0"/>
      <w:marTop w:val="0"/>
      <w:marBottom w:val="0"/>
      <w:divBdr>
        <w:top w:val="none" w:sz="0" w:space="0" w:color="auto"/>
        <w:left w:val="none" w:sz="0" w:space="0" w:color="auto"/>
        <w:bottom w:val="none" w:sz="0" w:space="0" w:color="auto"/>
        <w:right w:val="none" w:sz="0" w:space="0" w:color="auto"/>
      </w:divBdr>
    </w:div>
    <w:div w:id="1054961805">
      <w:bodyDiv w:val="1"/>
      <w:marLeft w:val="0"/>
      <w:marRight w:val="0"/>
      <w:marTop w:val="0"/>
      <w:marBottom w:val="0"/>
      <w:divBdr>
        <w:top w:val="none" w:sz="0" w:space="0" w:color="auto"/>
        <w:left w:val="none" w:sz="0" w:space="0" w:color="auto"/>
        <w:bottom w:val="none" w:sz="0" w:space="0" w:color="auto"/>
        <w:right w:val="none" w:sz="0" w:space="0" w:color="auto"/>
      </w:divBdr>
    </w:div>
    <w:div w:id="1086193703">
      <w:bodyDiv w:val="1"/>
      <w:marLeft w:val="0"/>
      <w:marRight w:val="0"/>
      <w:marTop w:val="0"/>
      <w:marBottom w:val="0"/>
      <w:divBdr>
        <w:top w:val="none" w:sz="0" w:space="0" w:color="auto"/>
        <w:left w:val="none" w:sz="0" w:space="0" w:color="auto"/>
        <w:bottom w:val="none" w:sz="0" w:space="0" w:color="auto"/>
        <w:right w:val="none" w:sz="0" w:space="0" w:color="auto"/>
      </w:divBdr>
    </w:div>
    <w:div w:id="1097678724">
      <w:bodyDiv w:val="1"/>
      <w:marLeft w:val="0"/>
      <w:marRight w:val="0"/>
      <w:marTop w:val="0"/>
      <w:marBottom w:val="0"/>
      <w:divBdr>
        <w:top w:val="none" w:sz="0" w:space="0" w:color="auto"/>
        <w:left w:val="none" w:sz="0" w:space="0" w:color="auto"/>
        <w:bottom w:val="none" w:sz="0" w:space="0" w:color="auto"/>
        <w:right w:val="none" w:sz="0" w:space="0" w:color="auto"/>
      </w:divBdr>
    </w:div>
    <w:div w:id="1132945281">
      <w:bodyDiv w:val="1"/>
      <w:marLeft w:val="0"/>
      <w:marRight w:val="0"/>
      <w:marTop w:val="0"/>
      <w:marBottom w:val="0"/>
      <w:divBdr>
        <w:top w:val="none" w:sz="0" w:space="0" w:color="auto"/>
        <w:left w:val="none" w:sz="0" w:space="0" w:color="auto"/>
        <w:bottom w:val="none" w:sz="0" w:space="0" w:color="auto"/>
        <w:right w:val="none" w:sz="0" w:space="0" w:color="auto"/>
      </w:divBdr>
    </w:div>
    <w:div w:id="1160654555">
      <w:bodyDiv w:val="1"/>
      <w:marLeft w:val="0"/>
      <w:marRight w:val="0"/>
      <w:marTop w:val="0"/>
      <w:marBottom w:val="0"/>
      <w:divBdr>
        <w:top w:val="none" w:sz="0" w:space="0" w:color="auto"/>
        <w:left w:val="none" w:sz="0" w:space="0" w:color="auto"/>
        <w:bottom w:val="none" w:sz="0" w:space="0" w:color="auto"/>
        <w:right w:val="none" w:sz="0" w:space="0" w:color="auto"/>
      </w:divBdr>
    </w:div>
    <w:div w:id="1166165985">
      <w:bodyDiv w:val="1"/>
      <w:marLeft w:val="0"/>
      <w:marRight w:val="0"/>
      <w:marTop w:val="0"/>
      <w:marBottom w:val="0"/>
      <w:divBdr>
        <w:top w:val="none" w:sz="0" w:space="0" w:color="auto"/>
        <w:left w:val="none" w:sz="0" w:space="0" w:color="auto"/>
        <w:bottom w:val="none" w:sz="0" w:space="0" w:color="auto"/>
        <w:right w:val="none" w:sz="0" w:space="0" w:color="auto"/>
      </w:divBdr>
    </w:div>
    <w:div w:id="1179733396">
      <w:bodyDiv w:val="1"/>
      <w:marLeft w:val="0"/>
      <w:marRight w:val="0"/>
      <w:marTop w:val="0"/>
      <w:marBottom w:val="0"/>
      <w:divBdr>
        <w:top w:val="none" w:sz="0" w:space="0" w:color="auto"/>
        <w:left w:val="none" w:sz="0" w:space="0" w:color="auto"/>
        <w:bottom w:val="none" w:sz="0" w:space="0" w:color="auto"/>
        <w:right w:val="none" w:sz="0" w:space="0" w:color="auto"/>
      </w:divBdr>
    </w:div>
    <w:div w:id="1273711584">
      <w:bodyDiv w:val="1"/>
      <w:marLeft w:val="0"/>
      <w:marRight w:val="0"/>
      <w:marTop w:val="0"/>
      <w:marBottom w:val="0"/>
      <w:divBdr>
        <w:top w:val="none" w:sz="0" w:space="0" w:color="auto"/>
        <w:left w:val="none" w:sz="0" w:space="0" w:color="auto"/>
        <w:bottom w:val="none" w:sz="0" w:space="0" w:color="auto"/>
        <w:right w:val="none" w:sz="0" w:space="0" w:color="auto"/>
      </w:divBdr>
    </w:div>
    <w:div w:id="1303001285">
      <w:bodyDiv w:val="1"/>
      <w:marLeft w:val="0"/>
      <w:marRight w:val="0"/>
      <w:marTop w:val="0"/>
      <w:marBottom w:val="0"/>
      <w:divBdr>
        <w:top w:val="none" w:sz="0" w:space="0" w:color="auto"/>
        <w:left w:val="none" w:sz="0" w:space="0" w:color="auto"/>
        <w:bottom w:val="none" w:sz="0" w:space="0" w:color="auto"/>
        <w:right w:val="none" w:sz="0" w:space="0" w:color="auto"/>
      </w:divBdr>
    </w:div>
    <w:div w:id="1327316874">
      <w:bodyDiv w:val="1"/>
      <w:marLeft w:val="0"/>
      <w:marRight w:val="0"/>
      <w:marTop w:val="0"/>
      <w:marBottom w:val="0"/>
      <w:divBdr>
        <w:top w:val="none" w:sz="0" w:space="0" w:color="auto"/>
        <w:left w:val="none" w:sz="0" w:space="0" w:color="auto"/>
        <w:bottom w:val="none" w:sz="0" w:space="0" w:color="auto"/>
        <w:right w:val="none" w:sz="0" w:space="0" w:color="auto"/>
      </w:divBdr>
    </w:div>
    <w:div w:id="1339773654">
      <w:bodyDiv w:val="1"/>
      <w:marLeft w:val="0"/>
      <w:marRight w:val="0"/>
      <w:marTop w:val="0"/>
      <w:marBottom w:val="0"/>
      <w:divBdr>
        <w:top w:val="none" w:sz="0" w:space="0" w:color="auto"/>
        <w:left w:val="none" w:sz="0" w:space="0" w:color="auto"/>
        <w:bottom w:val="none" w:sz="0" w:space="0" w:color="auto"/>
        <w:right w:val="none" w:sz="0" w:space="0" w:color="auto"/>
      </w:divBdr>
      <w:divsChild>
        <w:div w:id="761728338">
          <w:marLeft w:val="0"/>
          <w:marRight w:val="0"/>
          <w:marTop w:val="0"/>
          <w:marBottom w:val="0"/>
          <w:divBdr>
            <w:top w:val="none" w:sz="0" w:space="0" w:color="auto"/>
            <w:left w:val="none" w:sz="0" w:space="0" w:color="auto"/>
            <w:bottom w:val="none" w:sz="0" w:space="0" w:color="auto"/>
            <w:right w:val="none" w:sz="0" w:space="0" w:color="auto"/>
          </w:divBdr>
        </w:div>
        <w:div w:id="2086150423">
          <w:marLeft w:val="0"/>
          <w:marRight w:val="0"/>
          <w:marTop w:val="0"/>
          <w:marBottom w:val="0"/>
          <w:divBdr>
            <w:top w:val="none" w:sz="0" w:space="0" w:color="auto"/>
            <w:left w:val="none" w:sz="0" w:space="0" w:color="auto"/>
            <w:bottom w:val="none" w:sz="0" w:space="0" w:color="auto"/>
            <w:right w:val="none" w:sz="0" w:space="0" w:color="auto"/>
          </w:divBdr>
        </w:div>
        <w:div w:id="136144348">
          <w:marLeft w:val="0"/>
          <w:marRight w:val="0"/>
          <w:marTop w:val="0"/>
          <w:marBottom w:val="0"/>
          <w:divBdr>
            <w:top w:val="none" w:sz="0" w:space="0" w:color="auto"/>
            <w:left w:val="none" w:sz="0" w:space="0" w:color="auto"/>
            <w:bottom w:val="none" w:sz="0" w:space="0" w:color="auto"/>
            <w:right w:val="none" w:sz="0" w:space="0" w:color="auto"/>
          </w:divBdr>
        </w:div>
      </w:divsChild>
    </w:div>
    <w:div w:id="1458336656">
      <w:bodyDiv w:val="1"/>
      <w:marLeft w:val="0"/>
      <w:marRight w:val="0"/>
      <w:marTop w:val="0"/>
      <w:marBottom w:val="0"/>
      <w:divBdr>
        <w:top w:val="none" w:sz="0" w:space="0" w:color="auto"/>
        <w:left w:val="none" w:sz="0" w:space="0" w:color="auto"/>
        <w:bottom w:val="none" w:sz="0" w:space="0" w:color="auto"/>
        <w:right w:val="none" w:sz="0" w:space="0" w:color="auto"/>
      </w:divBdr>
    </w:div>
    <w:div w:id="1477726779">
      <w:bodyDiv w:val="1"/>
      <w:marLeft w:val="0"/>
      <w:marRight w:val="0"/>
      <w:marTop w:val="0"/>
      <w:marBottom w:val="0"/>
      <w:divBdr>
        <w:top w:val="none" w:sz="0" w:space="0" w:color="auto"/>
        <w:left w:val="none" w:sz="0" w:space="0" w:color="auto"/>
        <w:bottom w:val="none" w:sz="0" w:space="0" w:color="auto"/>
        <w:right w:val="none" w:sz="0" w:space="0" w:color="auto"/>
      </w:divBdr>
    </w:div>
    <w:div w:id="1526556367">
      <w:bodyDiv w:val="1"/>
      <w:marLeft w:val="0"/>
      <w:marRight w:val="0"/>
      <w:marTop w:val="0"/>
      <w:marBottom w:val="0"/>
      <w:divBdr>
        <w:top w:val="none" w:sz="0" w:space="0" w:color="auto"/>
        <w:left w:val="none" w:sz="0" w:space="0" w:color="auto"/>
        <w:bottom w:val="none" w:sz="0" w:space="0" w:color="auto"/>
        <w:right w:val="none" w:sz="0" w:space="0" w:color="auto"/>
      </w:divBdr>
    </w:div>
    <w:div w:id="1539704405">
      <w:bodyDiv w:val="1"/>
      <w:marLeft w:val="0"/>
      <w:marRight w:val="0"/>
      <w:marTop w:val="0"/>
      <w:marBottom w:val="0"/>
      <w:divBdr>
        <w:top w:val="none" w:sz="0" w:space="0" w:color="auto"/>
        <w:left w:val="none" w:sz="0" w:space="0" w:color="auto"/>
        <w:bottom w:val="none" w:sz="0" w:space="0" w:color="auto"/>
        <w:right w:val="none" w:sz="0" w:space="0" w:color="auto"/>
      </w:divBdr>
    </w:div>
    <w:div w:id="1628201869">
      <w:bodyDiv w:val="1"/>
      <w:marLeft w:val="0"/>
      <w:marRight w:val="0"/>
      <w:marTop w:val="0"/>
      <w:marBottom w:val="0"/>
      <w:divBdr>
        <w:top w:val="none" w:sz="0" w:space="0" w:color="auto"/>
        <w:left w:val="none" w:sz="0" w:space="0" w:color="auto"/>
        <w:bottom w:val="none" w:sz="0" w:space="0" w:color="auto"/>
        <w:right w:val="none" w:sz="0" w:space="0" w:color="auto"/>
      </w:divBdr>
    </w:div>
    <w:div w:id="1660617689">
      <w:bodyDiv w:val="1"/>
      <w:marLeft w:val="0"/>
      <w:marRight w:val="0"/>
      <w:marTop w:val="0"/>
      <w:marBottom w:val="0"/>
      <w:divBdr>
        <w:top w:val="none" w:sz="0" w:space="0" w:color="auto"/>
        <w:left w:val="none" w:sz="0" w:space="0" w:color="auto"/>
        <w:bottom w:val="none" w:sz="0" w:space="0" w:color="auto"/>
        <w:right w:val="none" w:sz="0" w:space="0" w:color="auto"/>
      </w:divBdr>
    </w:div>
    <w:div w:id="1665281275">
      <w:bodyDiv w:val="1"/>
      <w:marLeft w:val="0"/>
      <w:marRight w:val="0"/>
      <w:marTop w:val="0"/>
      <w:marBottom w:val="0"/>
      <w:divBdr>
        <w:top w:val="none" w:sz="0" w:space="0" w:color="auto"/>
        <w:left w:val="none" w:sz="0" w:space="0" w:color="auto"/>
        <w:bottom w:val="none" w:sz="0" w:space="0" w:color="auto"/>
        <w:right w:val="none" w:sz="0" w:space="0" w:color="auto"/>
      </w:divBdr>
    </w:div>
    <w:div w:id="1678926224">
      <w:bodyDiv w:val="1"/>
      <w:marLeft w:val="0"/>
      <w:marRight w:val="0"/>
      <w:marTop w:val="0"/>
      <w:marBottom w:val="0"/>
      <w:divBdr>
        <w:top w:val="none" w:sz="0" w:space="0" w:color="auto"/>
        <w:left w:val="none" w:sz="0" w:space="0" w:color="auto"/>
        <w:bottom w:val="none" w:sz="0" w:space="0" w:color="auto"/>
        <w:right w:val="none" w:sz="0" w:space="0" w:color="auto"/>
      </w:divBdr>
    </w:div>
    <w:div w:id="1701857929">
      <w:bodyDiv w:val="1"/>
      <w:marLeft w:val="0"/>
      <w:marRight w:val="0"/>
      <w:marTop w:val="0"/>
      <w:marBottom w:val="0"/>
      <w:divBdr>
        <w:top w:val="none" w:sz="0" w:space="0" w:color="auto"/>
        <w:left w:val="none" w:sz="0" w:space="0" w:color="auto"/>
        <w:bottom w:val="none" w:sz="0" w:space="0" w:color="auto"/>
        <w:right w:val="none" w:sz="0" w:space="0" w:color="auto"/>
      </w:divBdr>
    </w:div>
    <w:div w:id="1748108637">
      <w:bodyDiv w:val="1"/>
      <w:marLeft w:val="0"/>
      <w:marRight w:val="0"/>
      <w:marTop w:val="0"/>
      <w:marBottom w:val="0"/>
      <w:divBdr>
        <w:top w:val="none" w:sz="0" w:space="0" w:color="auto"/>
        <w:left w:val="none" w:sz="0" w:space="0" w:color="auto"/>
        <w:bottom w:val="none" w:sz="0" w:space="0" w:color="auto"/>
        <w:right w:val="none" w:sz="0" w:space="0" w:color="auto"/>
      </w:divBdr>
    </w:div>
    <w:div w:id="1748914455">
      <w:bodyDiv w:val="1"/>
      <w:marLeft w:val="0"/>
      <w:marRight w:val="0"/>
      <w:marTop w:val="0"/>
      <w:marBottom w:val="0"/>
      <w:divBdr>
        <w:top w:val="none" w:sz="0" w:space="0" w:color="auto"/>
        <w:left w:val="none" w:sz="0" w:space="0" w:color="auto"/>
        <w:bottom w:val="none" w:sz="0" w:space="0" w:color="auto"/>
        <w:right w:val="none" w:sz="0" w:space="0" w:color="auto"/>
      </w:divBdr>
    </w:div>
    <w:div w:id="1779375625">
      <w:bodyDiv w:val="1"/>
      <w:marLeft w:val="0"/>
      <w:marRight w:val="0"/>
      <w:marTop w:val="0"/>
      <w:marBottom w:val="0"/>
      <w:divBdr>
        <w:top w:val="none" w:sz="0" w:space="0" w:color="auto"/>
        <w:left w:val="none" w:sz="0" w:space="0" w:color="auto"/>
        <w:bottom w:val="none" w:sz="0" w:space="0" w:color="auto"/>
        <w:right w:val="none" w:sz="0" w:space="0" w:color="auto"/>
      </w:divBdr>
    </w:div>
    <w:div w:id="1803113028">
      <w:bodyDiv w:val="1"/>
      <w:marLeft w:val="0"/>
      <w:marRight w:val="0"/>
      <w:marTop w:val="0"/>
      <w:marBottom w:val="0"/>
      <w:divBdr>
        <w:top w:val="none" w:sz="0" w:space="0" w:color="auto"/>
        <w:left w:val="none" w:sz="0" w:space="0" w:color="auto"/>
        <w:bottom w:val="none" w:sz="0" w:space="0" w:color="auto"/>
        <w:right w:val="none" w:sz="0" w:space="0" w:color="auto"/>
      </w:divBdr>
    </w:div>
    <w:div w:id="1829976644">
      <w:bodyDiv w:val="1"/>
      <w:marLeft w:val="0"/>
      <w:marRight w:val="0"/>
      <w:marTop w:val="0"/>
      <w:marBottom w:val="0"/>
      <w:divBdr>
        <w:top w:val="none" w:sz="0" w:space="0" w:color="auto"/>
        <w:left w:val="none" w:sz="0" w:space="0" w:color="auto"/>
        <w:bottom w:val="none" w:sz="0" w:space="0" w:color="auto"/>
        <w:right w:val="none" w:sz="0" w:space="0" w:color="auto"/>
      </w:divBdr>
    </w:div>
    <w:div w:id="1834560405">
      <w:bodyDiv w:val="1"/>
      <w:marLeft w:val="0"/>
      <w:marRight w:val="0"/>
      <w:marTop w:val="0"/>
      <w:marBottom w:val="0"/>
      <w:divBdr>
        <w:top w:val="none" w:sz="0" w:space="0" w:color="auto"/>
        <w:left w:val="none" w:sz="0" w:space="0" w:color="auto"/>
        <w:bottom w:val="none" w:sz="0" w:space="0" w:color="auto"/>
        <w:right w:val="none" w:sz="0" w:space="0" w:color="auto"/>
      </w:divBdr>
    </w:div>
    <w:div w:id="1838492092">
      <w:bodyDiv w:val="1"/>
      <w:marLeft w:val="0"/>
      <w:marRight w:val="0"/>
      <w:marTop w:val="0"/>
      <w:marBottom w:val="0"/>
      <w:divBdr>
        <w:top w:val="none" w:sz="0" w:space="0" w:color="auto"/>
        <w:left w:val="none" w:sz="0" w:space="0" w:color="auto"/>
        <w:bottom w:val="none" w:sz="0" w:space="0" w:color="auto"/>
        <w:right w:val="none" w:sz="0" w:space="0" w:color="auto"/>
      </w:divBdr>
    </w:div>
    <w:div w:id="1850370527">
      <w:bodyDiv w:val="1"/>
      <w:marLeft w:val="0"/>
      <w:marRight w:val="0"/>
      <w:marTop w:val="0"/>
      <w:marBottom w:val="0"/>
      <w:divBdr>
        <w:top w:val="none" w:sz="0" w:space="0" w:color="auto"/>
        <w:left w:val="none" w:sz="0" w:space="0" w:color="auto"/>
        <w:bottom w:val="none" w:sz="0" w:space="0" w:color="auto"/>
        <w:right w:val="none" w:sz="0" w:space="0" w:color="auto"/>
      </w:divBdr>
    </w:div>
    <w:div w:id="1889952549">
      <w:bodyDiv w:val="1"/>
      <w:marLeft w:val="0"/>
      <w:marRight w:val="0"/>
      <w:marTop w:val="0"/>
      <w:marBottom w:val="0"/>
      <w:divBdr>
        <w:top w:val="none" w:sz="0" w:space="0" w:color="auto"/>
        <w:left w:val="none" w:sz="0" w:space="0" w:color="auto"/>
        <w:bottom w:val="none" w:sz="0" w:space="0" w:color="auto"/>
        <w:right w:val="none" w:sz="0" w:space="0" w:color="auto"/>
      </w:divBdr>
    </w:div>
    <w:div w:id="2055930297">
      <w:bodyDiv w:val="1"/>
      <w:marLeft w:val="0"/>
      <w:marRight w:val="0"/>
      <w:marTop w:val="0"/>
      <w:marBottom w:val="0"/>
      <w:divBdr>
        <w:top w:val="none" w:sz="0" w:space="0" w:color="auto"/>
        <w:left w:val="none" w:sz="0" w:space="0" w:color="auto"/>
        <w:bottom w:val="none" w:sz="0" w:space="0" w:color="auto"/>
        <w:right w:val="none" w:sz="0" w:space="0" w:color="auto"/>
      </w:divBdr>
    </w:div>
    <w:div w:id="2119593399">
      <w:bodyDiv w:val="1"/>
      <w:marLeft w:val="0"/>
      <w:marRight w:val="0"/>
      <w:marTop w:val="0"/>
      <w:marBottom w:val="0"/>
      <w:divBdr>
        <w:top w:val="none" w:sz="0" w:space="0" w:color="auto"/>
        <w:left w:val="none" w:sz="0" w:space="0" w:color="auto"/>
        <w:bottom w:val="none" w:sz="0" w:space="0" w:color="auto"/>
        <w:right w:val="none" w:sz="0" w:space="0" w:color="auto"/>
      </w:divBdr>
    </w:div>
    <w:div w:id="2133477885">
      <w:bodyDiv w:val="1"/>
      <w:marLeft w:val="0"/>
      <w:marRight w:val="0"/>
      <w:marTop w:val="0"/>
      <w:marBottom w:val="0"/>
      <w:divBdr>
        <w:top w:val="none" w:sz="0" w:space="0" w:color="auto"/>
        <w:left w:val="none" w:sz="0" w:space="0" w:color="auto"/>
        <w:bottom w:val="none" w:sz="0" w:space="0" w:color="auto"/>
        <w:right w:val="none" w:sz="0" w:space="0" w:color="auto"/>
      </w:divBdr>
    </w:div>
    <w:div w:id="21383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16861</Words>
  <Characters>96112</Characters>
  <Application>Microsoft Macintosh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b</cp:lastModifiedBy>
  <cp:revision>3</cp:revision>
  <dcterms:created xsi:type="dcterms:W3CDTF">2018-04-16T13:05:00Z</dcterms:created>
  <dcterms:modified xsi:type="dcterms:W3CDTF">2018-04-16T13:08:00Z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ies>
</file>