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D170" w14:textId="77777777" w:rsidR="00DD65CD" w:rsidRDefault="00DD65CD" w:rsidP="00DD65CD">
      <w:r>
        <w:t>Brennan Ehlinger</w:t>
      </w:r>
    </w:p>
    <w:p w14:paraId="793C2FE7" w14:textId="77777777" w:rsidR="00BC5A74" w:rsidRDefault="00BC5A74" w:rsidP="00DD65CD">
      <w:pPr>
        <w:jc w:val="center"/>
      </w:pPr>
    </w:p>
    <w:p w14:paraId="6CF159B4" w14:textId="489C464F" w:rsidR="00DD65CD" w:rsidRDefault="00C84F81" w:rsidP="00DD65C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Pediatric </w:t>
      </w:r>
      <w:r w:rsidR="00DD65CD" w:rsidRPr="00DD65CD">
        <w:rPr>
          <w:b/>
        </w:rPr>
        <w:t>Lumbosacral Myelomeningocele Assessment Toolbox</w:t>
      </w:r>
    </w:p>
    <w:p w14:paraId="022444F9" w14:textId="77777777" w:rsidR="008205D4" w:rsidRDefault="008205D4" w:rsidP="00DD65CD"/>
    <w:p w14:paraId="4476BD8E" w14:textId="0B111ED7" w:rsidR="00DC06F4" w:rsidRDefault="008205D4" w:rsidP="00DD65CD">
      <w:r>
        <w:t xml:space="preserve">While there is very little research or clinical guidelines on particular outcome measures for those with </w:t>
      </w:r>
      <w:r w:rsidR="00E03632">
        <w:t xml:space="preserve">spina bifida, or more specifically lumbosacral myelomeningocele, there are many </w:t>
      </w:r>
      <w:r w:rsidR="00BF787E">
        <w:t xml:space="preserve">appropriate </w:t>
      </w:r>
      <w:r w:rsidR="00DB346E">
        <w:t xml:space="preserve">pediatric </w:t>
      </w:r>
      <w:r w:rsidR="00BF787E">
        <w:t xml:space="preserve">outcome measures that can be utilized by a physical therapist on </w:t>
      </w:r>
      <w:r w:rsidR="00DC06F4">
        <w:t>this patient population.</w:t>
      </w:r>
      <w:r w:rsidR="00181CA2">
        <w:t xml:space="preserve"> Using multiple </w:t>
      </w:r>
      <w:r w:rsidR="003B6E1A">
        <w:t>outcome measures</w:t>
      </w:r>
      <w:r w:rsidR="00181CA2">
        <w:t xml:space="preserve"> that cover various </w:t>
      </w:r>
      <w:r w:rsidR="003B6E1A">
        <w:t xml:space="preserve">aspects of the ICF model will help provide a more comprehensive assessment and facilitate </w:t>
      </w:r>
      <w:r w:rsidR="004F499D">
        <w:t>more appropriate intervention strategies</w:t>
      </w:r>
      <w:r w:rsidR="003B6E1A">
        <w:t xml:space="preserve">. </w:t>
      </w:r>
    </w:p>
    <w:p w14:paraId="1A52CACC" w14:textId="77777777" w:rsidR="004F499D" w:rsidRDefault="004F499D" w:rsidP="00DD65CD"/>
    <w:p w14:paraId="0BDECA44" w14:textId="6253D78A" w:rsidR="00FB2CD1" w:rsidRDefault="00FB2CD1" w:rsidP="00D5135C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>
        <w:rPr>
          <w:b/>
        </w:rPr>
        <w:t>Peabody Developmental Motor Scales</w:t>
      </w:r>
      <w:r w:rsidR="00AC1219">
        <w:rPr>
          <w:b/>
        </w:rPr>
        <w:t>, 2</w:t>
      </w:r>
      <w:r w:rsidR="00AC1219" w:rsidRPr="00AC1219">
        <w:rPr>
          <w:b/>
          <w:vertAlign w:val="superscript"/>
        </w:rPr>
        <w:t>nd</w:t>
      </w:r>
      <w:r w:rsidR="00AC1219">
        <w:rPr>
          <w:b/>
        </w:rPr>
        <w:t xml:space="preserve"> edition</w:t>
      </w:r>
      <w:r>
        <w:rPr>
          <w:b/>
        </w:rPr>
        <w:t xml:space="preserve"> (PDMS</w:t>
      </w:r>
      <w:r w:rsidR="00AC1219">
        <w:rPr>
          <w:b/>
        </w:rPr>
        <w:t xml:space="preserve">-2): </w:t>
      </w:r>
      <w:r w:rsidR="003155B7">
        <w:t xml:space="preserve">The PDMS-2 </w:t>
      </w:r>
      <w:r w:rsidR="00BB5E1F">
        <w:t>assesses the motor skills of children from birth to 71 months old.</w:t>
      </w:r>
      <w:r w:rsidR="00BC0086">
        <w:rPr>
          <w:vertAlign w:val="superscript"/>
        </w:rPr>
        <w:t>1</w:t>
      </w:r>
      <w:r w:rsidR="00BB5E1F">
        <w:t xml:space="preserve"> </w:t>
      </w:r>
      <w:r w:rsidR="00FF5267">
        <w:t xml:space="preserve">The gross motor </w:t>
      </w:r>
      <w:r w:rsidR="00836880">
        <w:t>section</w:t>
      </w:r>
      <w:r w:rsidR="00FF5267">
        <w:t xml:space="preserve"> includes examination of reflexes, </w:t>
      </w:r>
      <w:r w:rsidR="006F3C42">
        <w:t>stationary</w:t>
      </w:r>
      <w:r w:rsidR="00836880">
        <w:t xml:space="preserve"> activities</w:t>
      </w:r>
      <w:r w:rsidR="006F3C42">
        <w:t>,</w:t>
      </w:r>
      <w:r w:rsidR="00FF5267">
        <w:t xml:space="preserve"> </w:t>
      </w:r>
      <w:r w:rsidR="006F3C42">
        <w:t xml:space="preserve">locomotion and </w:t>
      </w:r>
      <w:r w:rsidR="00836880">
        <w:t xml:space="preserve">object manipulation, and the fine motor section </w:t>
      </w:r>
      <w:r w:rsidR="006D6DA9">
        <w:t>assesses grasping and visual-motor integration.</w:t>
      </w:r>
      <w:r w:rsidR="00E61E91">
        <w:rPr>
          <w:vertAlign w:val="superscript"/>
        </w:rPr>
        <w:t>1</w:t>
      </w:r>
      <w:r w:rsidR="006D6DA9">
        <w:t xml:space="preserve"> </w:t>
      </w:r>
      <w:r w:rsidR="00503CC0">
        <w:t>The results can be compared to normative data of the current U.S. population by means of standard score, percentile ranks and age equivalents.</w:t>
      </w:r>
      <w:r w:rsidR="00B74A05">
        <w:rPr>
          <w:vertAlign w:val="superscript"/>
        </w:rPr>
        <w:t>2</w:t>
      </w:r>
      <w:r w:rsidR="00503CC0">
        <w:t xml:space="preserve"> </w:t>
      </w:r>
      <w:r w:rsidR="007A4C47">
        <w:t>The PDMS-2 has shown excellent test-retest and inter-rater reliability, as well as high concurrent validity with the Bayley Scales of Infant Development</w:t>
      </w:r>
      <w:r w:rsidR="009C7282">
        <w:t>.</w:t>
      </w:r>
      <w:r w:rsidR="007973BC">
        <w:rPr>
          <w:vertAlign w:val="superscript"/>
        </w:rPr>
        <w:t>2-3</w:t>
      </w:r>
      <w:r w:rsidR="007A4C47">
        <w:t xml:space="preserve"> </w:t>
      </w:r>
      <w:r w:rsidR="00FF46B8">
        <w:t>This outcome measure assesses body functions and structures, as well as the activity domain of the ICF model</w:t>
      </w:r>
      <w:r w:rsidR="002517E2">
        <w:t>, and would be appropriate in an outpatient setting</w:t>
      </w:r>
      <w:r w:rsidR="00FF46B8">
        <w:t>.</w:t>
      </w:r>
    </w:p>
    <w:p w14:paraId="0F62EFE1" w14:textId="465756D2" w:rsidR="00F746D5" w:rsidRPr="00170FBC" w:rsidRDefault="00AF1911" w:rsidP="00D5135C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>
        <w:rPr>
          <w:b/>
        </w:rPr>
        <w:t>Functional Independence Measure for Children (</w:t>
      </w:r>
      <w:proofErr w:type="spellStart"/>
      <w:r w:rsidR="00112A66" w:rsidRPr="00170FBC">
        <w:rPr>
          <w:b/>
        </w:rPr>
        <w:t>WeeFIM</w:t>
      </w:r>
      <w:proofErr w:type="spellEnd"/>
      <w:r>
        <w:rPr>
          <w:b/>
        </w:rPr>
        <w:t>)</w:t>
      </w:r>
      <w:r>
        <w:t xml:space="preserve">: </w:t>
      </w:r>
      <w:r w:rsidR="00997DFA">
        <w:t xml:space="preserve">The </w:t>
      </w:r>
      <w:proofErr w:type="spellStart"/>
      <w:r w:rsidR="00997DFA">
        <w:t>WeeFIM</w:t>
      </w:r>
      <w:proofErr w:type="spellEnd"/>
      <w:r w:rsidR="00997DFA">
        <w:t xml:space="preserve"> consists of 18 items that measure functional performance in the areas of self-care, mobility, and cognition.</w:t>
      </w:r>
      <w:r w:rsidR="00E973A6">
        <w:t xml:space="preserve"> Studies show the </w:t>
      </w:r>
      <w:proofErr w:type="spellStart"/>
      <w:r w:rsidR="00E973A6">
        <w:t>WeeFIM</w:t>
      </w:r>
      <w:proofErr w:type="spellEnd"/>
      <w:r w:rsidR="00E973A6">
        <w:t xml:space="preserve"> has excellent test-retest and inter-rater reliability</w:t>
      </w:r>
      <w:r w:rsidR="00A472BA">
        <w:t>, as well as good content and criterion validity.</w:t>
      </w:r>
      <w:r w:rsidR="00A472BA">
        <w:rPr>
          <w:vertAlign w:val="superscript"/>
        </w:rPr>
        <w:t>4</w:t>
      </w:r>
      <w:r w:rsidR="00997DFA">
        <w:t xml:space="preserve"> It is appropriate for children ages 6 months to </w:t>
      </w:r>
      <w:r w:rsidR="00155C4A">
        <w:t>12 years old with developmental disabilities</w:t>
      </w:r>
      <w:r w:rsidR="00321764">
        <w:t xml:space="preserve"> and has been u</w:t>
      </w:r>
      <w:r w:rsidR="000E4773">
        <w:t>tilized in children with spina bifida</w:t>
      </w:r>
      <w:r w:rsidR="000C3FC8">
        <w:t>.</w:t>
      </w:r>
      <w:r w:rsidR="000E4773">
        <w:rPr>
          <w:vertAlign w:val="superscript"/>
        </w:rPr>
        <w:t>1</w:t>
      </w:r>
      <w:r w:rsidR="000C3FC8">
        <w:t xml:space="preserve"> </w:t>
      </w:r>
      <w:r w:rsidR="00A80F61">
        <w:t>The test has 18 items and</w:t>
      </w:r>
      <w:r w:rsidR="00155C4A">
        <w:t xml:space="preserve"> is scored using a 7-point ordinal scale </w:t>
      </w:r>
      <w:r w:rsidR="008A3B76">
        <w:t xml:space="preserve">to indicate </w:t>
      </w:r>
      <w:r w:rsidR="00321764">
        <w:t>level of assist</w:t>
      </w:r>
      <w:r w:rsidR="00321764" w:rsidRPr="00321764">
        <w:t xml:space="preserve"> </w:t>
      </w:r>
      <w:r w:rsidR="00321764">
        <w:t>with each task, ranging from</w:t>
      </w:r>
      <w:r w:rsidR="008A3B76">
        <w:t xml:space="preserve"> total assistance (score=1) </w:t>
      </w:r>
      <w:r w:rsidR="00321764">
        <w:t>to</w:t>
      </w:r>
      <w:r w:rsidR="008A3B76">
        <w:t xml:space="preserve"> completely independent (score=7)</w:t>
      </w:r>
      <w:proofErr w:type="gramStart"/>
      <w:r w:rsidR="008A3B76">
        <w:t>.</w:t>
      </w:r>
      <w:r w:rsidR="001620AB">
        <w:rPr>
          <w:vertAlign w:val="superscript"/>
        </w:rPr>
        <w:t>4</w:t>
      </w:r>
      <w:proofErr w:type="gramEnd"/>
      <w:r w:rsidR="008A3B76">
        <w:t xml:space="preserve"> </w:t>
      </w:r>
      <w:r w:rsidR="000E4773">
        <w:t xml:space="preserve">This measure can be </w:t>
      </w:r>
      <w:r w:rsidR="00807744">
        <w:t>utilized</w:t>
      </w:r>
      <w:r w:rsidR="000E4773">
        <w:t xml:space="preserve"> in the inpatient setting, but </w:t>
      </w:r>
      <w:r w:rsidR="009F7697">
        <w:t xml:space="preserve">would </w:t>
      </w:r>
      <w:r w:rsidR="00807744">
        <w:t xml:space="preserve">also </w:t>
      </w:r>
      <w:r w:rsidR="009F7697">
        <w:t xml:space="preserve">be appropriate for spina bifida patients in an </w:t>
      </w:r>
      <w:r w:rsidR="0072298E">
        <w:t xml:space="preserve">outpatient </w:t>
      </w:r>
      <w:r w:rsidR="009F7697">
        <w:t>setting</w:t>
      </w:r>
      <w:r w:rsidR="005A5546">
        <w:t xml:space="preserve">. The </w:t>
      </w:r>
      <w:proofErr w:type="spellStart"/>
      <w:r w:rsidR="005A5546">
        <w:t>WeeFIM</w:t>
      </w:r>
      <w:proofErr w:type="spellEnd"/>
      <w:r w:rsidR="005A5546">
        <w:t xml:space="preserve"> includes items on sphincter control</w:t>
      </w:r>
      <w:proofErr w:type="gramStart"/>
      <w:r w:rsidR="005A5546">
        <w:t>,</w:t>
      </w:r>
      <w:r w:rsidR="009F7697">
        <w:rPr>
          <w:vertAlign w:val="superscript"/>
        </w:rPr>
        <w:t>1</w:t>
      </w:r>
      <w:proofErr w:type="gramEnd"/>
      <w:r w:rsidR="005A5546">
        <w:t xml:space="preserve"> making it particularly relevant to children with spina bifida who </w:t>
      </w:r>
      <w:r w:rsidR="009D4887">
        <w:t xml:space="preserve">often require intermittent catheterization and need to learn </w:t>
      </w:r>
      <w:r w:rsidR="00D85B6D">
        <w:t>independence</w:t>
      </w:r>
      <w:r w:rsidR="009D4887">
        <w:t xml:space="preserve"> </w:t>
      </w:r>
      <w:r w:rsidR="00D85B6D">
        <w:t>with</w:t>
      </w:r>
      <w:r w:rsidR="009D4887">
        <w:t xml:space="preserve"> self-care. </w:t>
      </w:r>
    </w:p>
    <w:p w14:paraId="64AC8A77" w14:textId="1DF48396" w:rsidR="00521813" w:rsidRPr="0096299F" w:rsidRDefault="00F42737" w:rsidP="00D5135C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 w:rsidRPr="009C0BAA">
        <w:rPr>
          <w:b/>
        </w:rPr>
        <w:t>Assessment of Motor and Process Skills</w:t>
      </w:r>
      <w:r w:rsidR="00A365C8" w:rsidRPr="009C0BAA">
        <w:rPr>
          <w:b/>
        </w:rPr>
        <w:t xml:space="preserve"> (AMPS)</w:t>
      </w:r>
      <w:r w:rsidR="006F4FD6">
        <w:t xml:space="preserve">: AMPS </w:t>
      </w:r>
      <w:r w:rsidR="006F4FD6" w:rsidRPr="006F4FD6">
        <w:t>considers the underlying motor and process performan</w:t>
      </w:r>
      <w:r w:rsidR="006F4FD6">
        <w:t>ce sk</w:t>
      </w:r>
      <w:r w:rsidR="007734DE">
        <w:t xml:space="preserve">ills required for ADL tasks. It is appropriate for individuals 3 years and older </w:t>
      </w:r>
      <w:r w:rsidR="00CD0265">
        <w:t xml:space="preserve">and has shown to be valid when used </w:t>
      </w:r>
      <w:r w:rsidR="00521813">
        <w:t>with individuals with developmental disabilities, including spina bifida.</w:t>
      </w:r>
      <w:r w:rsidR="008D0484">
        <w:rPr>
          <w:vertAlign w:val="superscript"/>
        </w:rPr>
        <w:t>5</w:t>
      </w:r>
      <w:r w:rsidR="00521813">
        <w:t xml:space="preserve"> </w:t>
      </w:r>
      <w:r w:rsidR="007734DE" w:rsidRPr="007734DE">
        <w:t xml:space="preserve">The AMPS is </w:t>
      </w:r>
      <w:r w:rsidR="0015189E">
        <w:t xml:space="preserve">a </w:t>
      </w:r>
      <w:r w:rsidR="001231B3">
        <w:t xml:space="preserve">standardized, </w:t>
      </w:r>
      <w:r w:rsidR="0015189E">
        <w:t>highly sensitive measure of ADL performance</w:t>
      </w:r>
      <w:r w:rsidR="002907BC">
        <w:t>.</w:t>
      </w:r>
      <w:r w:rsidR="008D0484">
        <w:rPr>
          <w:vertAlign w:val="superscript"/>
        </w:rPr>
        <w:t>5</w:t>
      </w:r>
      <w:r w:rsidR="0015189E">
        <w:t xml:space="preserve"> </w:t>
      </w:r>
      <w:r w:rsidR="002907BC">
        <w:t>The AMPS has 82 ADL tasks with varying difficulty to choose from, and the PT observe</w:t>
      </w:r>
      <w:r w:rsidR="005C3535">
        <w:t>s</w:t>
      </w:r>
      <w:r w:rsidR="002907BC">
        <w:t xml:space="preserve"> the patient perform</w:t>
      </w:r>
      <w:r w:rsidR="005C3535">
        <w:t>ing</w:t>
      </w:r>
      <w:r w:rsidR="002907BC">
        <w:t xml:space="preserve"> two of those ADL tasks.</w:t>
      </w:r>
      <w:r w:rsidR="008D0484">
        <w:rPr>
          <w:vertAlign w:val="superscript"/>
        </w:rPr>
        <w:t>5</w:t>
      </w:r>
      <w:r w:rsidR="002907BC">
        <w:t xml:space="preserve"> During </w:t>
      </w:r>
      <w:r w:rsidR="005C3535">
        <w:t>the</w:t>
      </w:r>
      <w:r w:rsidR="002907BC">
        <w:t xml:space="preserve"> ADL tasks, the PT scores the patient’s performance on 16 ADL motor skill items and 20 ADL process skill items.</w:t>
      </w:r>
      <w:r w:rsidR="008D0484">
        <w:rPr>
          <w:vertAlign w:val="superscript"/>
        </w:rPr>
        <w:t>5</w:t>
      </w:r>
      <w:r w:rsidR="002907BC" w:rsidRPr="003225BF">
        <w:t xml:space="preserve"> </w:t>
      </w:r>
      <w:r w:rsidR="00E809A5" w:rsidRPr="00E809A5">
        <w:t>AMPS skill items are scored based on independence, safety, efficiency, an</w:t>
      </w:r>
      <w:r w:rsidR="00CF4E05">
        <w:t xml:space="preserve">d ease of the ADL motor and </w:t>
      </w:r>
      <w:r w:rsidR="00E809A5" w:rsidRPr="00E809A5">
        <w:t xml:space="preserve">process skill items that reflect </w:t>
      </w:r>
      <w:r w:rsidR="00E809A5" w:rsidRPr="00E809A5">
        <w:lastRenderedPageBreak/>
        <w:t xml:space="preserve">the smallest observable </w:t>
      </w:r>
      <w:r w:rsidR="00CF4E05">
        <w:t>components</w:t>
      </w:r>
      <w:r w:rsidR="00E809A5" w:rsidRPr="00E809A5">
        <w:t xml:space="preserve"> of ADL task performance.</w:t>
      </w:r>
      <w:r w:rsidR="00156522">
        <w:rPr>
          <w:vertAlign w:val="superscript"/>
        </w:rPr>
        <w:t>6</w:t>
      </w:r>
      <w:r w:rsidR="00C621DB" w:rsidRPr="009C0BAA">
        <w:rPr>
          <w:vertAlign w:val="superscript"/>
        </w:rPr>
        <w:t xml:space="preserve"> </w:t>
      </w:r>
      <w:r w:rsidR="006A680C">
        <w:t xml:space="preserve">This outcome measure </w:t>
      </w:r>
      <w:r w:rsidR="001D341D">
        <w:t>addresses</w:t>
      </w:r>
      <w:r w:rsidR="00025AF0">
        <w:t xml:space="preserve"> body structure and function when </w:t>
      </w:r>
      <w:r w:rsidR="001D341D">
        <w:t>examining</w:t>
      </w:r>
      <w:r w:rsidR="00025AF0">
        <w:t xml:space="preserve"> components of motor and processing skills, but also </w:t>
      </w:r>
      <w:r w:rsidR="006A680C">
        <w:t>falls under the activity and particip</w:t>
      </w:r>
      <w:r w:rsidR="00687859">
        <w:t>ation domains of the ICF model</w:t>
      </w:r>
      <w:r w:rsidR="00025AF0">
        <w:t xml:space="preserve"> because it looks at overall ADL performance as well</w:t>
      </w:r>
      <w:r w:rsidR="00687859">
        <w:t xml:space="preserve">. The AMPS is a very specific outcome measure, but may be particularly helpful in spina bifida patients since evidence </w:t>
      </w:r>
      <w:r w:rsidR="00D37ED0">
        <w:t>shows that</w:t>
      </w:r>
      <w:r w:rsidR="00687859">
        <w:t xml:space="preserve"> </w:t>
      </w:r>
      <w:r w:rsidR="00702BBD">
        <w:t>these children</w:t>
      </w:r>
      <w:r w:rsidR="00D37ED0">
        <w:t xml:space="preserve"> not only have some motor deficits, but issues with processing as well.</w:t>
      </w:r>
      <w:r w:rsidR="00156522">
        <w:rPr>
          <w:vertAlign w:val="superscript"/>
        </w:rPr>
        <w:t>7</w:t>
      </w:r>
    </w:p>
    <w:p w14:paraId="30F78390" w14:textId="4B9FFF61" w:rsidR="0003169D" w:rsidRPr="008B51FC" w:rsidRDefault="0003169D" w:rsidP="008B51FC">
      <w:pPr>
        <w:pStyle w:val="ListParagraph"/>
        <w:numPr>
          <w:ilvl w:val="0"/>
          <w:numId w:val="2"/>
        </w:numPr>
        <w:spacing w:after="240"/>
        <w:ind w:left="835"/>
        <w:contextualSpacing w:val="0"/>
      </w:pPr>
      <w:r w:rsidRPr="00FE411D">
        <w:rPr>
          <w:b/>
        </w:rPr>
        <w:t>Pediatric balance scale (PBS)</w:t>
      </w:r>
      <w:r>
        <w:t xml:space="preserve">: </w:t>
      </w:r>
      <w:r w:rsidR="007E7BC1">
        <w:t xml:space="preserve">Also known as the Pediatric Berg Balance Test, the </w:t>
      </w:r>
      <w:r w:rsidR="00653257">
        <w:t>PBS is a</w:t>
      </w:r>
      <w:r w:rsidR="00D45D42">
        <w:t xml:space="preserve"> modified version of the well-known Berg Balance scale</w:t>
      </w:r>
      <w:r w:rsidR="008D55BA">
        <w:t xml:space="preserve"> that can be used in school-aged children with mild to moderate motor impairment.</w:t>
      </w:r>
      <w:r w:rsidR="00156522">
        <w:rPr>
          <w:vertAlign w:val="superscript"/>
        </w:rPr>
        <w:t>8</w:t>
      </w:r>
      <w:r w:rsidR="008D55BA">
        <w:t xml:space="preserve"> </w:t>
      </w:r>
      <w:r w:rsidR="00CA21C4">
        <w:t xml:space="preserve">The </w:t>
      </w:r>
      <w:r w:rsidR="00653257">
        <w:t>14-item</w:t>
      </w:r>
      <w:r w:rsidR="00653257" w:rsidRPr="00653257">
        <w:t xml:space="preserve"> criterion-referenced measure </w:t>
      </w:r>
      <w:r w:rsidR="00CA21C4">
        <w:t>assesses</w:t>
      </w:r>
      <w:r w:rsidR="00653257" w:rsidRPr="00653257">
        <w:t xml:space="preserve"> </w:t>
      </w:r>
      <w:r w:rsidR="00EB44D9">
        <w:t xml:space="preserve">many of the </w:t>
      </w:r>
      <w:r w:rsidR="00653257" w:rsidRPr="00653257">
        <w:t xml:space="preserve">functional </w:t>
      </w:r>
      <w:r w:rsidR="00EB44D9">
        <w:t xml:space="preserve">activities </w:t>
      </w:r>
      <w:r w:rsidR="00D45D42" w:rsidRPr="00EB44D9">
        <w:t xml:space="preserve">a child </w:t>
      </w:r>
      <w:r w:rsidR="00443C26">
        <w:t xml:space="preserve">with spina bifida </w:t>
      </w:r>
      <w:r w:rsidR="00D45D42" w:rsidRPr="00EB44D9">
        <w:t>must perform to safely and in</w:t>
      </w:r>
      <w:r w:rsidR="00443C26">
        <w:t>dependently function within his or her home, school, or community, and include</w:t>
      </w:r>
      <w:r w:rsidR="00D45D42" w:rsidRPr="00EB44D9">
        <w:t xml:space="preserve"> sitting balance,</w:t>
      </w:r>
      <w:r w:rsidR="00443C26">
        <w:t xml:space="preserve"> standing balance, sit to stand and </w:t>
      </w:r>
      <w:r w:rsidR="00D45D42" w:rsidRPr="00EB44D9">
        <w:t>stand to sit, transfers, stepping, reaching forward, reaching to the floor, turning, and stepping on and off of an elevated surface.</w:t>
      </w:r>
      <w:r w:rsidR="00443C26">
        <w:rPr>
          <w:vertAlign w:val="superscript"/>
        </w:rPr>
        <w:t>8</w:t>
      </w:r>
      <w:r w:rsidR="00443C26">
        <w:t xml:space="preserve"> </w:t>
      </w:r>
      <w:r w:rsidR="00B10F6A">
        <w:t xml:space="preserve">Items are scored using a 0-4 scale, </w:t>
      </w:r>
      <w:r w:rsidR="00C859B4">
        <w:t>with 56 points being a perfect score.</w:t>
      </w:r>
      <w:r w:rsidR="00604843">
        <w:rPr>
          <w:vertAlign w:val="superscript"/>
        </w:rPr>
        <w:t>8</w:t>
      </w:r>
      <w:r w:rsidR="00C859B4">
        <w:t xml:space="preserve"> </w:t>
      </w:r>
      <w:r w:rsidR="00AE3697">
        <w:t>Minimal detectable change (MDC) and minimally clinically important difference (MCID) of the PBS have only been tested in children with CP</w:t>
      </w:r>
      <w:r w:rsidR="00245F9E">
        <w:t>, however, t</w:t>
      </w:r>
      <w:r w:rsidR="00C20E13">
        <w:t>he PBS has shown excellent test-retest and inter-rater reliability in school-aged children with mild to moderate motor impairments</w:t>
      </w:r>
      <w:r w:rsidR="00245F9E">
        <w:t>.</w:t>
      </w:r>
      <w:r w:rsidR="00C20E13">
        <w:rPr>
          <w:vertAlign w:val="superscript"/>
        </w:rPr>
        <w:t>8-9</w:t>
      </w:r>
      <w:r w:rsidR="00245F9E">
        <w:t xml:space="preserve"> </w:t>
      </w:r>
      <w:r w:rsidR="00D14B93">
        <w:t>In those with lumbosacral myelomeningocele, t</w:t>
      </w:r>
      <w:r w:rsidR="00203C70">
        <w:t>he PBS would be most appropriate for those with</w:t>
      </w:r>
      <w:r w:rsidR="00D14B93">
        <w:t xml:space="preserve"> lower-level lesions, </w:t>
      </w:r>
      <w:r w:rsidR="0098266F">
        <w:t xml:space="preserve">such as L3 or lower, since hip flexor and quadriceps strength is needed </w:t>
      </w:r>
      <w:r w:rsidR="003169ED">
        <w:t>to complete</w:t>
      </w:r>
      <w:r w:rsidR="0098266F">
        <w:t xml:space="preserve"> man</w:t>
      </w:r>
      <w:r w:rsidR="003169ED">
        <w:t xml:space="preserve">y of the items on the PBS. If the child is unable to complete </w:t>
      </w:r>
      <w:r w:rsidR="00A80571">
        <w:t xml:space="preserve">or needs maximal assistance on a few items, it will not affect the validity of the results since there is an option to </w:t>
      </w:r>
      <w:r w:rsidR="00604843">
        <w:t>give a score of 0 for an item</w:t>
      </w:r>
      <w:r w:rsidR="008B51FC">
        <w:t xml:space="preserve">. </w:t>
      </w:r>
      <w:r w:rsidR="003169ED">
        <w:t xml:space="preserve"> </w:t>
      </w:r>
      <w:r w:rsidR="00245F9E">
        <w:t xml:space="preserve"> </w:t>
      </w:r>
    </w:p>
    <w:p w14:paraId="2D3B6A3A" w14:textId="4C74C57A" w:rsidR="00D17909" w:rsidRPr="006A1D7A" w:rsidRDefault="00144614" w:rsidP="006A1D7A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>
        <w:rPr>
          <w:b/>
        </w:rPr>
        <w:t xml:space="preserve">Modified </w:t>
      </w:r>
      <w:r w:rsidR="00EB719B">
        <w:rPr>
          <w:b/>
        </w:rPr>
        <w:t>Six Minute Walk Test (6</w:t>
      </w:r>
      <w:r w:rsidR="0096299F">
        <w:rPr>
          <w:b/>
        </w:rPr>
        <w:t>MWT)</w:t>
      </w:r>
      <w:r w:rsidR="0096299F">
        <w:t xml:space="preserve">: </w:t>
      </w:r>
      <w:r w:rsidR="00D17909">
        <w:t>The original guidelines for the</w:t>
      </w:r>
      <w:r w:rsidR="00EB719B">
        <w:t xml:space="preserve"> 6</w:t>
      </w:r>
      <w:r w:rsidR="00D17909">
        <w:t xml:space="preserve">MWT were published by the American Thoracic Society in 2002, but in 2007 </w:t>
      </w:r>
      <w:r w:rsidR="00DF72B4">
        <w:t>Geiger et al.</w:t>
      </w:r>
      <w:r w:rsidR="00EB719B">
        <w:rPr>
          <w:vertAlign w:val="superscript"/>
        </w:rPr>
        <w:t>10</w:t>
      </w:r>
      <w:r w:rsidR="0092496B">
        <w:t xml:space="preserve"> published guidelines in t</w:t>
      </w:r>
      <w:r w:rsidR="00DF72B4">
        <w:t>he Journal of Pediatrics</w:t>
      </w:r>
      <w:r w:rsidR="00EB719B">
        <w:t xml:space="preserve"> for administering a modified 6</w:t>
      </w:r>
      <w:r w:rsidR="00DF72B4">
        <w:t>MWT for children aged 3 to 18 years old.</w:t>
      </w:r>
      <w:r w:rsidR="00EB719B">
        <w:t xml:space="preserve"> The </w:t>
      </w:r>
      <w:r>
        <w:t xml:space="preserve">modified </w:t>
      </w:r>
      <w:r w:rsidR="00EB719B">
        <w:t>6MWT assesses the child’s ability to amb</w:t>
      </w:r>
      <w:r w:rsidR="009A2562">
        <w:t xml:space="preserve">ulate at a self-selected speed </w:t>
      </w:r>
      <w:r w:rsidR="006A1D7A">
        <w:t>and can help determine the child’s level of physical fitness and endurance.</w:t>
      </w:r>
      <w:r w:rsidR="0092496B">
        <w:rPr>
          <w:vertAlign w:val="superscript"/>
        </w:rPr>
        <w:t>10</w:t>
      </w:r>
      <w:r w:rsidR="006A1D7A">
        <w:t xml:space="preserve"> The child is instructed to </w:t>
      </w:r>
      <w:r w:rsidR="009A2562">
        <w:t>cover as much distance as possible in six minutes</w:t>
      </w:r>
      <w:r w:rsidR="006A1D7A">
        <w:t xml:space="preserve"> by walking back and forth between two cones</w:t>
      </w:r>
      <w:r w:rsidR="00B47271">
        <w:t xml:space="preserve"> placed 15 to 20 meters apart.</w:t>
      </w:r>
      <w:r w:rsidR="00DC5A1C">
        <w:rPr>
          <w:vertAlign w:val="superscript"/>
        </w:rPr>
        <w:t>10</w:t>
      </w:r>
      <w:r w:rsidR="00B47271">
        <w:t xml:space="preserve"> </w:t>
      </w:r>
      <w:r w:rsidR="00DC5A1C">
        <w:t>In the adult version of the 6MWT, the cones</w:t>
      </w:r>
      <w:r w:rsidR="00870558">
        <w:t xml:space="preserve"> are placed 30 meters apart.</w:t>
      </w:r>
      <w:r w:rsidR="006A1D7A" w:rsidRPr="006A1D7A">
        <w:rPr>
          <w:vertAlign w:val="superscript"/>
        </w:rPr>
        <w:t>10</w:t>
      </w:r>
      <w:r w:rsidR="00870558">
        <w:t xml:space="preserve"> </w:t>
      </w:r>
      <w:r w:rsidR="0010447B">
        <w:t>The child’s heart rate should be taken at rest as wel</w:t>
      </w:r>
      <w:r w:rsidR="0092496B">
        <w:t xml:space="preserve">l as immediately after the </w:t>
      </w:r>
      <w:r>
        <w:t xml:space="preserve">modified </w:t>
      </w:r>
      <w:r w:rsidR="0092496B">
        <w:t xml:space="preserve">6MWT, and the child’s score is recorded as the total distance covered in </w:t>
      </w:r>
      <w:r w:rsidR="00996752">
        <w:t>meters.</w:t>
      </w:r>
      <w:r w:rsidR="00DC5A1C">
        <w:rPr>
          <w:vertAlign w:val="superscript"/>
        </w:rPr>
        <w:t>10</w:t>
      </w:r>
      <w:r w:rsidR="00DC5A1C">
        <w:t xml:space="preserve"> </w:t>
      </w:r>
      <w:r w:rsidR="00996752">
        <w:t xml:space="preserve">In children with spina bifida, the smallest minimal </w:t>
      </w:r>
      <w:r w:rsidR="00435D6E">
        <w:t>detectable difference has shown to be 36 meters.</w:t>
      </w:r>
      <w:r w:rsidR="00F10C75">
        <w:rPr>
          <w:vertAlign w:val="superscript"/>
        </w:rPr>
        <w:t>11</w:t>
      </w:r>
      <w:r w:rsidR="00F10C75">
        <w:t xml:space="preserve"> The </w:t>
      </w:r>
      <w:r>
        <w:t xml:space="preserve">modified </w:t>
      </w:r>
      <w:r w:rsidR="00F10C75">
        <w:t xml:space="preserve">6MWT can be very helpful for children with spina bifida as it can help determine if </w:t>
      </w:r>
      <w:r w:rsidR="00BF4BC8">
        <w:t>they will have the endurance for important daily activities, such as ambulating between classes during transition times</w:t>
      </w:r>
      <w:r w:rsidR="002646FB">
        <w:t xml:space="preserve"> at school</w:t>
      </w:r>
      <w:r w:rsidR="00BF4BC8">
        <w:t xml:space="preserve">, or if a manual wheelchair may be more appropriate. </w:t>
      </w:r>
      <w:r w:rsidR="002646FB">
        <w:t xml:space="preserve">It can also help track progress being made in terms of </w:t>
      </w:r>
      <w:r w:rsidR="00594672">
        <w:t xml:space="preserve">fitness and cardiovascular endurance in children participating in exercise programs. </w:t>
      </w:r>
    </w:p>
    <w:p w14:paraId="031CB0A8" w14:textId="08A8AA5C" w:rsidR="00B1768A" w:rsidRDefault="00B1768A" w:rsidP="00D5135C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>
        <w:rPr>
          <w:b/>
        </w:rPr>
        <w:lastRenderedPageBreak/>
        <w:t>S</w:t>
      </w:r>
      <w:r w:rsidR="0038295C">
        <w:rPr>
          <w:b/>
        </w:rPr>
        <w:t>pina Bifida Health-Related Quality of Life (</w:t>
      </w:r>
      <w:r w:rsidR="009473CA">
        <w:rPr>
          <w:b/>
        </w:rPr>
        <w:t>HRQOL</w:t>
      </w:r>
      <w:r w:rsidR="00B55A83">
        <w:rPr>
          <w:b/>
        </w:rPr>
        <w:t>-SB</w:t>
      </w:r>
      <w:r w:rsidR="009473CA">
        <w:rPr>
          <w:b/>
        </w:rPr>
        <w:t>)</w:t>
      </w:r>
      <w:r w:rsidR="009473CA">
        <w:t xml:space="preserve">: Assessing quality of life in individuals with spina bifida is very important, since </w:t>
      </w:r>
      <w:r w:rsidR="000D2F5C">
        <w:t>we know that children and adolescents with spina bifida have a reduced HRQOL compared to their peers.</w:t>
      </w:r>
      <w:r w:rsidR="008E14AA">
        <w:rPr>
          <w:vertAlign w:val="superscript"/>
        </w:rPr>
        <w:t>12</w:t>
      </w:r>
      <w:r w:rsidR="007F68EE">
        <w:t xml:space="preserve"> The Pediatric Quality of Life Inventory (PedsQL) is a</w:t>
      </w:r>
      <w:r w:rsidR="002A50C0">
        <w:t xml:space="preserve"> very popular </w:t>
      </w:r>
      <w:r w:rsidR="00DD6D59">
        <w:t>measure for assessing health-related quality of life, however, the HRQOL</w:t>
      </w:r>
      <w:r w:rsidR="00D54CD1">
        <w:t>-SB</w:t>
      </w:r>
      <w:r w:rsidR="00DD6D59">
        <w:t xml:space="preserve"> was chosen because of it’s </w:t>
      </w:r>
      <w:r w:rsidR="00FA77F9">
        <w:t xml:space="preserve">specific application and </w:t>
      </w:r>
      <w:r w:rsidR="00DD6D59">
        <w:t>relevance to children with lumbosacral myelomeningocele.</w:t>
      </w:r>
      <w:r w:rsidR="00997CD1">
        <w:t xml:space="preserve"> The HRQOL-SB addresses </w:t>
      </w:r>
      <w:r w:rsidR="00793807">
        <w:t>multiple</w:t>
      </w:r>
      <w:r w:rsidR="00997CD1">
        <w:t xml:space="preserve"> domains: social, emotional, intellectual, financial, medical, independence, physical functioning, vocational</w:t>
      </w:r>
      <w:r w:rsidR="00997CD1" w:rsidRPr="00997CD1">
        <w:t xml:space="preserve"> </w:t>
      </w:r>
      <w:r w:rsidR="00997CD1">
        <w:t>and</w:t>
      </w:r>
      <w:r w:rsidR="00997CD1" w:rsidRPr="00997CD1">
        <w:t xml:space="preserve"> </w:t>
      </w:r>
      <w:r w:rsidR="0057777D">
        <w:t>recreation.</w:t>
      </w:r>
      <w:r w:rsidR="00793807">
        <w:rPr>
          <w:vertAlign w:val="superscript"/>
        </w:rPr>
        <w:t>13</w:t>
      </w:r>
      <w:r w:rsidR="00793807">
        <w:t xml:space="preserve"> </w:t>
      </w:r>
      <w:r w:rsidR="0057777D">
        <w:t>These domains show the questionnaire’s focus on</w:t>
      </w:r>
      <w:r w:rsidR="00A91D9B">
        <w:t xml:space="preserve"> activity and participation</w:t>
      </w:r>
      <w:r w:rsidR="0057777D">
        <w:t>.</w:t>
      </w:r>
      <w:r w:rsidR="00A91D9B">
        <w:t xml:space="preserve"> </w:t>
      </w:r>
      <w:r w:rsidR="0057777D">
        <w:t>The HRQOL-SB</w:t>
      </w:r>
      <w:r w:rsidR="00F2152F">
        <w:t xml:space="preserve"> has good criterion validity, as well as test-retest reliability</w:t>
      </w:r>
      <w:r w:rsidR="00C03429">
        <w:t xml:space="preserve"> and internal consistency</w:t>
      </w:r>
      <w:r w:rsidR="00F2152F">
        <w:t>.</w:t>
      </w:r>
      <w:r w:rsidR="00F2152F">
        <w:rPr>
          <w:vertAlign w:val="superscript"/>
        </w:rPr>
        <w:t>13</w:t>
      </w:r>
      <w:r w:rsidR="00F2152F">
        <w:t xml:space="preserve"> </w:t>
      </w:r>
      <w:r w:rsidR="00C45174">
        <w:t xml:space="preserve">There are two sets of questions, the first </w:t>
      </w:r>
      <w:r w:rsidR="00B5544B">
        <w:t>with 44 questions</w:t>
      </w:r>
      <w:r w:rsidR="00C45174">
        <w:t xml:space="preserve"> appropriate for children ages 5 to 13 years, and the second set </w:t>
      </w:r>
      <w:r w:rsidR="00B5544B">
        <w:t xml:space="preserve">includes 47 items </w:t>
      </w:r>
      <w:r w:rsidR="00C45174">
        <w:t>appropriate for</w:t>
      </w:r>
      <w:r w:rsidR="001C45FF">
        <w:t xml:space="preserve"> adolescents and adults</w:t>
      </w:r>
      <w:r w:rsidR="00C45174">
        <w:t xml:space="preserve"> </w:t>
      </w:r>
      <w:r w:rsidR="00CE4041">
        <w:t>ages 13 years and older.</w:t>
      </w:r>
      <w:r w:rsidR="00CE4041">
        <w:rPr>
          <w:vertAlign w:val="superscript"/>
        </w:rPr>
        <w:t>13</w:t>
      </w:r>
      <w:r w:rsidR="003D1C0D">
        <w:rPr>
          <w:vertAlign w:val="superscript"/>
        </w:rPr>
        <w:t xml:space="preserve"> </w:t>
      </w:r>
      <w:r w:rsidR="00D43B4F">
        <w:t>The HRQOL-SB can be filled out by the child with SB, the parent, or both.</w:t>
      </w:r>
      <w:r w:rsidR="00D43B4F">
        <w:rPr>
          <w:vertAlign w:val="superscript"/>
        </w:rPr>
        <w:t>13</w:t>
      </w:r>
      <w:r w:rsidR="00D43B4F">
        <w:t xml:space="preserve"> A</w:t>
      </w:r>
      <w:r w:rsidR="00486135">
        <w:t xml:space="preserve">n outcome measure addressing quality of life in </w:t>
      </w:r>
      <w:r w:rsidR="003D1C0D">
        <w:t>these individuals with spina bifida can help identify areas where the child or family is struggling and can provide insight into important things to address during physical therapy</w:t>
      </w:r>
      <w:r w:rsidR="00DB2C73">
        <w:t xml:space="preserve">, certain community resources that may be helpful, </w:t>
      </w:r>
      <w:r w:rsidR="003C22DC">
        <w:t>and</w:t>
      </w:r>
      <w:r w:rsidR="00DB2C73">
        <w:t xml:space="preserve"> even may </w:t>
      </w:r>
      <w:r w:rsidR="003C22DC">
        <w:t xml:space="preserve">help </w:t>
      </w:r>
      <w:r w:rsidR="00DB2C73">
        <w:t xml:space="preserve">facilitate a referral to another health discipline, such as a psychiatrist or counselor. </w:t>
      </w:r>
      <w:r w:rsidR="003D1C0D">
        <w:t xml:space="preserve"> </w:t>
      </w:r>
    </w:p>
    <w:p w14:paraId="6769A71F" w14:textId="31A50249" w:rsidR="00521813" w:rsidRPr="00E0529F" w:rsidRDefault="00457142" w:rsidP="00521813">
      <w:pPr>
        <w:pStyle w:val="ListParagraph"/>
        <w:numPr>
          <w:ilvl w:val="0"/>
          <w:numId w:val="2"/>
        </w:numPr>
        <w:spacing w:after="240"/>
        <w:ind w:left="835"/>
        <w:contextualSpacing w:val="0"/>
        <w:rPr>
          <w:b/>
        </w:rPr>
      </w:pPr>
      <w:r>
        <w:rPr>
          <w:b/>
        </w:rPr>
        <w:t>Utrecht Pediatric Wheelchair Mobility Skills Test (UP-WMST)</w:t>
      </w:r>
      <w:r>
        <w:t xml:space="preserve">: The UP-WMST is a </w:t>
      </w:r>
      <w:r w:rsidR="00845037">
        <w:t>newly developed 15-item validated outcome measure used to assess wheelchair mobility skills in children using a manual wheelchair.</w:t>
      </w:r>
      <w:r w:rsidR="00845037">
        <w:rPr>
          <w:vertAlign w:val="superscript"/>
        </w:rPr>
        <w:t>14</w:t>
      </w:r>
      <w:r w:rsidR="00845037">
        <w:t xml:space="preserve"> </w:t>
      </w:r>
      <w:r w:rsidR="009C04F5">
        <w:t>Most c</w:t>
      </w:r>
      <w:r w:rsidR="0059073F">
        <w:t xml:space="preserve">hildren with lumbosacral myelomeningocele </w:t>
      </w:r>
      <w:r w:rsidR="009C04F5">
        <w:t>will</w:t>
      </w:r>
      <w:r w:rsidR="0059073F">
        <w:t xml:space="preserve"> be able to ambulate with </w:t>
      </w:r>
      <w:r w:rsidR="00F128C2">
        <w:t xml:space="preserve">leg </w:t>
      </w:r>
      <w:r w:rsidR="0059073F">
        <w:t>braces</w:t>
      </w:r>
      <w:r w:rsidR="009C04F5">
        <w:t xml:space="preserve">, but many will still need to use a manual </w:t>
      </w:r>
      <w:r w:rsidR="00F128C2">
        <w:t>wheelchair for longer distances</w:t>
      </w:r>
      <w:r w:rsidR="009C04F5">
        <w:t xml:space="preserve"> and most will gradually rely more on wheelchairs for mobility</w:t>
      </w:r>
      <w:r w:rsidR="00845037">
        <w:t xml:space="preserve"> </w:t>
      </w:r>
      <w:r w:rsidR="00F128C2">
        <w:t>as they get older.</w:t>
      </w:r>
      <w:r w:rsidR="00F128C2">
        <w:rPr>
          <w:vertAlign w:val="superscript"/>
        </w:rPr>
        <w:t>15</w:t>
      </w:r>
      <w:r w:rsidR="00F128C2">
        <w:t xml:space="preserve"> </w:t>
      </w:r>
      <w:r w:rsidR="00DF672E">
        <w:t xml:space="preserve">The UP-WMST </w:t>
      </w:r>
      <w:r w:rsidR="00FF0EE6">
        <w:t>has been studie</w:t>
      </w:r>
      <w:r w:rsidR="005D34A8">
        <w:t>d in children with spina bifida</w:t>
      </w:r>
      <w:r w:rsidR="00FF0EE6">
        <w:t xml:space="preserve"> </w:t>
      </w:r>
      <w:r w:rsidR="005D34A8">
        <w:t xml:space="preserve">and tests skills including forward and backward propulsion, </w:t>
      </w:r>
      <w:r w:rsidR="00EF665A">
        <w:t>turning, rolling on various surfaces, ascending and descending slopes, platforms and a doorstep, coming to a stop, opening and closing a door, and holding a wheelie.</w:t>
      </w:r>
      <w:r w:rsidR="00EF665A">
        <w:rPr>
          <w:vertAlign w:val="superscript"/>
        </w:rPr>
        <w:t>14</w:t>
      </w:r>
      <w:r w:rsidR="00EF665A">
        <w:t xml:space="preserve"> </w:t>
      </w:r>
      <w:r w:rsidR="001754A9">
        <w:t>Each item is scored for the ability to complete it</w:t>
      </w:r>
      <w:r w:rsidR="009B0A4B">
        <w:t xml:space="preserve"> and each item is</w:t>
      </w:r>
      <w:r w:rsidR="001754A9">
        <w:t xml:space="preserve"> timed.</w:t>
      </w:r>
      <w:r w:rsidR="001754A9">
        <w:rPr>
          <w:vertAlign w:val="superscript"/>
        </w:rPr>
        <w:t>14</w:t>
      </w:r>
      <w:r w:rsidR="001754A9">
        <w:t xml:space="preserve"> This can be a great way to assess activity and participation</w:t>
      </w:r>
      <w:r w:rsidR="00651AA8">
        <w:t xml:space="preserve"> domains of the ICF model, since </w:t>
      </w:r>
      <w:r w:rsidR="00A5484D">
        <w:t xml:space="preserve">activities like </w:t>
      </w:r>
      <w:r w:rsidR="00651AA8">
        <w:t>successful door o</w:t>
      </w:r>
      <w:r w:rsidR="009B0A4B">
        <w:t>pening and ascension of ramps are</w:t>
      </w:r>
      <w:r w:rsidR="00651AA8">
        <w:t xml:space="preserve"> necessary for community integration. </w:t>
      </w:r>
      <w:r w:rsidR="001754A9">
        <w:t xml:space="preserve"> </w:t>
      </w:r>
      <w:r w:rsidR="00EF665A">
        <w:t xml:space="preserve">  </w:t>
      </w:r>
      <w:r w:rsidR="005D34A8">
        <w:t xml:space="preserve"> </w:t>
      </w:r>
    </w:p>
    <w:p w14:paraId="7C87AA1D" w14:textId="071C30E9" w:rsidR="00C621DB" w:rsidRDefault="00E0529F" w:rsidP="00521813">
      <w:r w:rsidRPr="00E0529F">
        <w:rPr>
          <w:u w:val="single"/>
        </w:rPr>
        <w:t>Secondary Measures</w:t>
      </w:r>
      <w:r w:rsidR="00C621DB">
        <w:t xml:space="preserve">: </w:t>
      </w:r>
    </w:p>
    <w:p w14:paraId="22558197" w14:textId="77777777" w:rsidR="00E0529F" w:rsidRPr="00E0529F" w:rsidRDefault="00E0529F" w:rsidP="00521813">
      <w:pPr>
        <w:rPr>
          <w:sz w:val="12"/>
        </w:rPr>
      </w:pPr>
    </w:p>
    <w:p w14:paraId="7B961B69" w14:textId="04F4C882" w:rsidR="00C621DB" w:rsidRPr="0096299F" w:rsidRDefault="00FA54BC" w:rsidP="00E0529F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b/>
        </w:rPr>
        <w:t>School function A</w:t>
      </w:r>
      <w:r w:rsidR="00170FBC" w:rsidRPr="00FA54BC">
        <w:rPr>
          <w:b/>
        </w:rPr>
        <w:t>ssessment (SFA):</w:t>
      </w:r>
      <w:r w:rsidR="00170FBC">
        <w:t xml:space="preserve"> </w:t>
      </w:r>
      <w:r w:rsidR="00FC5BCB">
        <w:t xml:space="preserve">The SFA is a </w:t>
      </w:r>
      <w:r w:rsidR="009852D7">
        <w:t xml:space="preserve">good tool for </w:t>
      </w:r>
      <w:r>
        <w:t>the child’s school-ba</w:t>
      </w:r>
      <w:r w:rsidR="004E0C0C">
        <w:t>sed PT</w:t>
      </w:r>
      <w:r w:rsidR="00B93F55">
        <w:t xml:space="preserve"> and is usually </w:t>
      </w:r>
      <w:r w:rsidR="0096299F">
        <w:t>completed</w:t>
      </w:r>
      <w:r w:rsidR="00D025DE">
        <w:t xml:space="preserve"> with the child’s teacher and other staff who </w:t>
      </w:r>
      <w:r w:rsidR="00FC5BCB">
        <w:t>regularly spend time with the child at school</w:t>
      </w:r>
      <w:r w:rsidR="004E0C0C">
        <w:t>.</w:t>
      </w:r>
      <w:r w:rsidR="00BC0086">
        <w:rPr>
          <w:vertAlign w:val="superscript"/>
        </w:rPr>
        <w:t>1</w:t>
      </w:r>
      <w:r w:rsidR="004E0C0C">
        <w:t xml:space="preserve"> The SFA </w:t>
      </w:r>
      <w:r w:rsidR="00057DF0">
        <w:t>measures</w:t>
      </w:r>
      <w:r w:rsidR="004E0C0C">
        <w:t xml:space="preserve"> the performance of functional tasks </w:t>
      </w:r>
      <w:r w:rsidR="00057DF0">
        <w:t>that affect</w:t>
      </w:r>
      <w:r w:rsidR="00E90D07">
        <w:t xml:space="preserve"> academic and social aspects of</w:t>
      </w:r>
      <w:r w:rsidR="004E0C0C">
        <w:t xml:space="preserve"> school</w:t>
      </w:r>
      <w:r w:rsidR="00FB379A">
        <w:t xml:space="preserve">, including </w:t>
      </w:r>
      <w:r w:rsidR="002D1FCF">
        <w:t>task supports in the form of assistance and adaptations needed, participation, and activity performance</w:t>
      </w:r>
      <w:r w:rsidR="009B31EC">
        <w:t>.</w:t>
      </w:r>
      <w:r w:rsidR="00BC0086">
        <w:rPr>
          <w:vertAlign w:val="superscript"/>
        </w:rPr>
        <w:t>1</w:t>
      </w:r>
      <w:r w:rsidR="009B31EC">
        <w:t xml:space="preserve"> This measure is criterion-referenced and can be used in children from kindergarten to sixth grade.</w:t>
      </w:r>
      <w:r w:rsidR="00BC0086">
        <w:rPr>
          <w:vertAlign w:val="superscript"/>
        </w:rPr>
        <w:t>1</w:t>
      </w:r>
    </w:p>
    <w:p w14:paraId="791B03A3" w14:textId="3D85A619" w:rsidR="00875B1F" w:rsidRPr="00A15C0F" w:rsidRDefault="00875B1F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Spina Bifida Hips Questionnaire</w:t>
      </w:r>
      <w:r w:rsidR="00292F9D">
        <w:rPr>
          <w:b/>
        </w:rPr>
        <w:t xml:space="preserve"> (SBHQ)</w:t>
      </w:r>
      <w:r w:rsidR="00292F9D">
        <w:t xml:space="preserve">: </w:t>
      </w:r>
      <w:r w:rsidR="00884A81">
        <w:t xml:space="preserve">The SBHQ is </w:t>
      </w:r>
      <w:r w:rsidR="00292F9D">
        <w:t xml:space="preserve">for those with spina bifida who have had a hip dislocation. This questionnaire evaluates the ADLs that </w:t>
      </w:r>
      <w:r w:rsidR="00292F9D">
        <w:lastRenderedPageBreak/>
        <w:t>are important to child</w:t>
      </w:r>
      <w:r w:rsidR="00AB3C86">
        <w:t>ren with spina bifida and their families.</w:t>
      </w:r>
      <w:r w:rsidR="00B241AA">
        <w:rPr>
          <w:vertAlign w:val="superscript"/>
        </w:rPr>
        <w:t>1</w:t>
      </w:r>
      <w:r w:rsidR="00F128C2">
        <w:rPr>
          <w:vertAlign w:val="superscript"/>
        </w:rPr>
        <w:t>6</w:t>
      </w:r>
      <w:r w:rsidR="00AB3C86">
        <w:t xml:space="preserve"> The SBHQ has demonstrated </w:t>
      </w:r>
      <w:r w:rsidR="00866203">
        <w:t xml:space="preserve">excellent test-retest </w:t>
      </w:r>
      <w:r w:rsidR="00AB3C86">
        <w:t>reliability as well as construct validity.</w:t>
      </w:r>
      <w:r w:rsidR="00B241AA">
        <w:rPr>
          <w:vertAlign w:val="superscript"/>
        </w:rPr>
        <w:t>1</w:t>
      </w:r>
      <w:r w:rsidR="00F128C2">
        <w:rPr>
          <w:vertAlign w:val="superscript"/>
        </w:rPr>
        <w:t>6</w:t>
      </w:r>
      <w:r w:rsidR="00AB3C86">
        <w:t xml:space="preserve"> </w:t>
      </w:r>
    </w:p>
    <w:p w14:paraId="4DD78B37" w14:textId="4859F75A" w:rsidR="0096299F" w:rsidRPr="00FD0388" w:rsidRDefault="00A15C0F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Spina Bifida Spine Questionnaire (SBSQ)</w:t>
      </w:r>
      <w:r>
        <w:t xml:space="preserve">: </w:t>
      </w:r>
      <w:r w:rsidR="008A114A">
        <w:t>The SBSQ</w:t>
      </w:r>
      <w:r w:rsidR="00C337ED" w:rsidRPr="00C337ED">
        <w:t xml:space="preserve"> is a valid and reliable questionnaire used to assess </w:t>
      </w:r>
      <w:r w:rsidR="007A3A9F">
        <w:t>self-perception and overall physical function in children with spina bifida who have scoliosis.</w:t>
      </w:r>
      <w:r w:rsidR="00A746E4">
        <w:rPr>
          <w:vertAlign w:val="superscript"/>
        </w:rPr>
        <w:t>1</w:t>
      </w:r>
      <w:r w:rsidR="00F128C2">
        <w:rPr>
          <w:vertAlign w:val="superscript"/>
        </w:rPr>
        <w:t>7</w:t>
      </w:r>
      <w:r w:rsidR="007A3A9F">
        <w:t xml:space="preserve"> </w:t>
      </w:r>
      <w:r w:rsidR="00F16F90">
        <w:t xml:space="preserve">It has </w:t>
      </w:r>
      <w:r w:rsidR="00A746E4">
        <w:t>been shown to be particularly beneficial when used before and</w:t>
      </w:r>
      <w:r w:rsidR="00F16F90">
        <w:t xml:space="preserve"> after </w:t>
      </w:r>
      <w:r w:rsidR="00A746E4">
        <w:t>scoliosis correction to assess treatment outcomes.</w:t>
      </w:r>
      <w:r w:rsidR="00A746E4">
        <w:rPr>
          <w:vertAlign w:val="superscript"/>
        </w:rPr>
        <w:t>1</w:t>
      </w:r>
      <w:r w:rsidR="00F128C2">
        <w:rPr>
          <w:vertAlign w:val="superscript"/>
        </w:rPr>
        <w:t>7</w:t>
      </w:r>
      <w:r w:rsidR="00A746E4">
        <w:t xml:space="preserve"> </w:t>
      </w:r>
    </w:p>
    <w:p w14:paraId="55C0A834" w14:textId="7844E895" w:rsidR="00FD0388" w:rsidRPr="008B7A60" w:rsidRDefault="00B11EEC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Timed Up and Go </w:t>
      </w:r>
      <w:r w:rsidR="0053486B">
        <w:rPr>
          <w:b/>
        </w:rPr>
        <w:t>i</w:t>
      </w:r>
      <w:r w:rsidR="0053462A">
        <w:rPr>
          <w:b/>
        </w:rPr>
        <w:t xml:space="preserve">n Children </w:t>
      </w:r>
      <w:r>
        <w:rPr>
          <w:b/>
        </w:rPr>
        <w:t>(TUG</w:t>
      </w:r>
      <w:r w:rsidR="0053462A">
        <w:rPr>
          <w:b/>
        </w:rPr>
        <w:t>-IC</w:t>
      </w:r>
      <w:r>
        <w:rPr>
          <w:b/>
        </w:rPr>
        <w:t>)</w:t>
      </w:r>
      <w:r>
        <w:t xml:space="preserve">: </w:t>
      </w:r>
      <w:r w:rsidR="0053486B">
        <w:t>The TUG-IC, also referred to as the modified TUG, is used to assess</w:t>
      </w:r>
      <w:r w:rsidR="0023579E">
        <w:t xml:space="preserve"> functional ambulatory mobility, including balance and difficulty turning during gait, in children with or without physical disabilities.</w:t>
      </w:r>
      <w:r w:rsidR="00191752">
        <w:rPr>
          <w:vertAlign w:val="superscript"/>
        </w:rPr>
        <w:t>18</w:t>
      </w:r>
      <w:r w:rsidR="0023579E">
        <w:t xml:space="preserve"> </w:t>
      </w:r>
      <w:r w:rsidR="00842091">
        <w:t>Modifications from the standard TUG</w:t>
      </w:r>
      <w:r w:rsidR="00B95484">
        <w:t xml:space="preserve"> implemented to</w:t>
      </w:r>
      <w:r w:rsidR="003B7E62">
        <w:t xml:space="preserve"> increase validity in the pediatric population include a </w:t>
      </w:r>
      <w:r w:rsidR="00842091">
        <w:t xml:space="preserve">smaller chair to accommodate hip and knee flexion at 90 degrees and </w:t>
      </w:r>
      <w:r w:rsidR="00B758D2">
        <w:t xml:space="preserve">a star on the wall 3 meters from the chair </w:t>
      </w:r>
      <w:r w:rsidR="003B7E62">
        <w:t>that is shoulder height for the child</w:t>
      </w:r>
      <w:r w:rsidR="00B758D2">
        <w:t xml:space="preserve"> to touch before turning around.</w:t>
      </w:r>
      <w:r w:rsidR="00191752">
        <w:rPr>
          <w:vertAlign w:val="superscript"/>
        </w:rPr>
        <w:t>18</w:t>
      </w:r>
      <w:r w:rsidR="00B758D2">
        <w:t xml:space="preserve"> </w:t>
      </w:r>
    </w:p>
    <w:p w14:paraId="13DEF921" w14:textId="7A32B53A" w:rsidR="008B7A60" w:rsidRPr="00B95484" w:rsidRDefault="008B7A60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Pediatric Symptom Checklist (PSC)</w:t>
      </w:r>
      <w:r>
        <w:t xml:space="preserve">: </w:t>
      </w:r>
      <w:r w:rsidR="00884A81">
        <w:t xml:space="preserve">The PSC is a quick </w:t>
      </w:r>
      <w:r w:rsidR="00B42731">
        <w:t xml:space="preserve">35-item </w:t>
      </w:r>
      <w:r w:rsidR="00884A81">
        <w:t xml:space="preserve">screening questionnaire that is used to improve the recognition and treatment of psychosocial </w:t>
      </w:r>
      <w:r w:rsidR="000555A5">
        <w:t>issues</w:t>
      </w:r>
      <w:r w:rsidR="00884A81">
        <w:t xml:space="preserve"> in children</w:t>
      </w:r>
      <w:r w:rsidR="000555A5">
        <w:t xml:space="preserve">, specifically </w:t>
      </w:r>
      <w:r w:rsidR="00B42731">
        <w:t>around cognitive, emotional, and behavioral problems</w:t>
      </w:r>
      <w:r w:rsidR="00884A81">
        <w:t>.</w:t>
      </w:r>
      <w:r w:rsidR="00CB4A20">
        <w:t xml:space="preserve"> </w:t>
      </w:r>
      <w:r w:rsidR="00C719E8">
        <w:t>Adolescents</w:t>
      </w:r>
      <w:r w:rsidR="00CB4A20">
        <w:t xml:space="preserve"> with spina bifida </w:t>
      </w:r>
      <w:r w:rsidR="00C719E8">
        <w:t>are at a higher risk for</w:t>
      </w:r>
      <w:r w:rsidR="00CB4A20">
        <w:t xml:space="preserve"> anxiety and depression</w:t>
      </w:r>
      <w:r w:rsidR="00C719E8">
        <w:t xml:space="preserve"> than their healthy peers</w:t>
      </w:r>
      <w:proofErr w:type="gramStart"/>
      <w:r w:rsidR="00C719E8">
        <w:t>,</w:t>
      </w:r>
      <w:r w:rsidR="00926F95">
        <w:rPr>
          <w:vertAlign w:val="superscript"/>
        </w:rPr>
        <w:t>1</w:t>
      </w:r>
      <w:r w:rsidR="007260E3">
        <w:rPr>
          <w:vertAlign w:val="superscript"/>
        </w:rPr>
        <w:t>9</w:t>
      </w:r>
      <w:proofErr w:type="gramEnd"/>
      <w:r w:rsidR="00926F95">
        <w:t xml:space="preserve"> so this screen would be </w:t>
      </w:r>
      <w:r w:rsidR="00754F9E">
        <w:t xml:space="preserve">a great way to monitor the patient’s mental health. </w:t>
      </w:r>
    </w:p>
    <w:p w14:paraId="5A9533F5" w14:textId="3A10BE6C" w:rsidR="009B18FA" w:rsidRPr="008E1E3A" w:rsidRDefault="009B18FA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Tardieu Scale</w:t>
      </w:r>
      <w:r>
        <w:t xml:space="preserve">: </w:t>
      </w:r>
      <w:r w:rsidR="00BE3EF5">
        <w:t xml:space="preserve">Some individuals with </w:t>
      </w:r>
      <w:r w:rsidR="00A6331E">
        <w:t>lumbosacral myelomeningocele will present with spasticity</w:t>
      </w:r>
      <w:r w:rsidR="00D139BE">
        <w:t>.</w:t>
      </w:r>
      <w:r w:rsidR="008E1E3A">
        <w:rPr>
          <w:vertAlign w:val="superscript"/>
        </w:rPr>
        <w:t>20</w:t>
      </w:r>
      <w:r w:rsidR="00D139BE">
        <w:t xml:space="preserve"> The Tardieu scale differentiates contracture from spasticity and is </w:t>
      </w:r>
      <w:r w:rsidR="001941DC">
        <w:t>preferred over the Ashworth</w:t>
      </w:r>
      <w:r w:rsidR="00D139BE">
        <w:t xml:space="preserve"> scale for detecting discriminatory changes in tone due to interventions.</w:t>
      </w:r>
      <w:r w:rsidR="008E1E3A">
        <w:rPr>
          <w:vertAlign w:val="superscript"/>
        </w:rPr>
        <w:t>20</w:t>
      </w:r>
      <w:r w:rsidR="00D139BE">
        <w:t xml:space="preserve"> </w:t>
      </w:r>
    </w:p>
    <w:p w14:paraId="7AF82B14" w14:textId="6F30F9DE" w:rsidR="008E1E3A" w:rsidRPr="008E1E3A" w:rsidRDefault="009937A8" w:rsidP="00E0529F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>Wong Baker FACES Pain Rating Scale (WBS)</w:t>
      </w:r>
      <w:r w:rsidR="00FF352A">
        <w:t>: WBS is a pain assessment scale validated in pediatric patients.</w:t>
      </w:r>
      <w:r w:rsidR="006B691B">
        <w:rPr>
          <w:vertAlign w:val="superscript"/>
        </w:rPr>
        <w:t>21</w:t>
      </w:r>
      <w:r w:rsidR="00FF352A">
        <w:t xml:space="preserve"> </w:t>
      </w:r>
      <w:r w:rsidR="0048203E">
        <w:t xml:space="preserve">Drawings of facial expressions represent </w:t>
      </w:r>
      <w:r w:rsidR="00D32125">
        <w:t>severity of pain, starting with 0 “no hurt” and ending with 10 “</w:t>
      </w:r>
      <w:r w:rsidR="00E36D3C">
        <w:t>hurts worst.”</w:t>
      </w:r>
      <w:r w:rsidR="006B691B">
        <w:rPr>
          <w:vertAlign w:val="superscript"/>
        </w:rPr>
        <w:t>21</w:t>
      </w:r>
      <w:r w:rsidR="00E36D3C">
        <w:t xml:space="preserve"> The child is supposed to choose the face that best depicts the pain they are experiencing.</w:t>
      </w:r>
      <w:r w:rsidR="006B691B">
        <w:rPr>
          <w:vertAlign w:val="superscript"/>
        </w:rPr>
        <w:t>21</w:t>
      </w:r>
      <w:r w:rsidR="00E36D3C">
        <w:t xml:space="preserve"> </w:t>
      </w:r>
    </w:p>
    <w:p w14:paraId="5E6F1647" w14:textId="77777777" w:rsidR="00C621DB" w:rsidRDefault="00C621DB" w:rsidP="00E0529F"/>
    <w:p w14:paraId="6962FAA8" w14:textId="4A48D6EA" w:rsidR="001B27ED" w:rsidRDefault="001B27ED" w:rsidP="006D1312">
      <w:r>
        <w:t>References:</w:t>
      </w:r>
    </w:p>
    <w:p w14:paraId="37871B47" w14:textId="77777777" w:rsidR="00BC0086" w:rsidRPr="00923CB8" w:rsidRDefault="00BC0086" w:rsidP="006D1312">
      <w:pPr>
        <w:pStyle w:val="ListParagraph"/>
        <w:numPr>
          <w:ilvl w:val="0"/>
          <w:numId w:val="4"/>
        </w:numPr>
        <w:contextualSpacing w:val="0"/>
      </w:pPr>
      <w:r w:rsidRPr="00923CB8">
        <w:t xml:space="preserve">Campbell S, Palisano R, </w:t>
      </w:r>
      <w:proofErr w:type="spellStart"/>
      <w:r w:rsidRPr="00923CB8">
        <w:t>Orlin</w:t>
      </w:r>
      <w:proofErr w:type="spellEnd"/>
      <w:r w:rsidRPr="00923CB8">
        <w:t xml:space="preserve"> M.  </w:t>
      </w:r>
      <w:r w:rsidRPr="00923CB8">
        <w:rPr>
          <w:i/>
        </w:rPr>
        <w:t>Physical Therapy for Children</w:t>
      </w:r>
      <w:r w:rsidRPr="00923CB8">
        <w:t>. 4th ed. Elsevier Saunders: St. Louis, MO; 2012.</w:t>
      </w:r>
    </w:p>
    <w:p w14:paraId="52554A67" w14:textId="478452BF" w:rsidR="00E61E91" w:rsidRPr="00E61E91" w:rsidRDefault="00E61E91" w:rsidP="006D1312">
      <w:pPr>
        <w:numPr>
          <w:ilvl w:val="0"/>
          <w:numId w:val="4"/>
        </w:numPr>
        <w:shd w:val="clear" w:color="auto" w:fill="FFFFFF"/>
      </w:pPr>
      <w:r w:rsidRPr="00E61E91">
        <w:t xml:space="preserve">Wang HH, Liao HF, Hsieh CL. Reliability, sensitivity to change, and responsiveness of the Peabody developmental motor scales-second edition for children with cerebral </w:t>
      </w:r>
      <w:r w:rsidR="00354BFA">
        <w:t>palsy. </w:t>
      </w:r>
      <w:r w:rsidR="00354BFA" w:rsidRPr="00354BFA">
        <w:rPr>
          <w:i/>
        </w:rPr>
        <w:t>Physical Therapy</w:t>
      </w:r>
      <w:r w:rsidR="00354BFA">
        <w:t>. 2006</w:t>
      </w:r>
      <w:proofErr w:type="gramStart"/>
      <w:r w:rsidR="00354BFA">
        <w:t>;</w:t>
      </w:r>
      <w:r w:rsidRPr="00E61E91">
        <w:t>86:1</w:t>
      </w:r>
      <w:proofErr w:type="gramEnd"/>
      <w:r w:rsidRPr="00E61E91">
        <w:t>.</w:t>
      </w:r>
    </w:p>
    <w:p w14:paraId="2579E370" w14:textId="5BFB30AB" w:rsidR="00A472BA" w:rsidRDefault="00E61E91" w:rsidP="006D1312">
      <w:pPr>
        <w:numPr>
          <w:ilvl w:val="0"/>
          <w:numId w:val="4"/>
        </w:numPr>
        <w:shd w:val="clear" w:color="auto" w:fill="FFFFFF"/>
      </w:pPr>
      <w:proofErr w:type="gramStart"/>
      <w:r w:rsidRPr="00E61E91">
        <w:t>van</w:t>
      </w:r>
      <w:proofErr w:type="gramEnd"/>
      <w:r w:rsidRPr="00E61E91">
        <w:t xml:space="preserve"> </w:t>
      </w:r>
      <w:proofErr w:type="spellStart"/>
      <w:r w:rsidRPr="00E61E91">
        <w:t>Hartingsveldt</w:t>
      </w:r>
      <w:proofErr w:type="spellEnd"/>
      <w:r w:rsidRPr="00E61E91">
        <w:t xml:space="preserve"> MJ, Cup EH, </w:t>
      </w:r>
      <w:proofErr w:type="spellStart"/>
      <w:r w:rsidRPr="00E61E91">
        <w:t>Oostendorp</w:t>
      </w:r>
      <w:proofErr w:type="spellEnd"/>
      <w:r w:rsidRPr="00E61E91">
        <w:t xml:space="preserve"> R. Reliability and validity of the fine motor scale of the Peabody Developmental Motor Scales–2. </w:t>
      </w:r>
      <w:proofErr w:type="spellStart"/>
      <w:r w:rsidR="00354BFA">
        <w:rPr>
          <w:i/>
        </w:rPr>
        <w:t>Ther</w:t>
      </w:r>
      <w:proofErr w:type="spellEnd"/>
      <w:r w:rsidRPr="00354BFA">
        <w:rPr>
          <w:i/>
        </w:rPr>
        <w:t xml:space="preserve"> Int</w:t>
      </w:r>
      <w:r w:rsidR="00354BFA">
        <w:t>. 2005</w:t>
      </w:r>
      <w:proofErr w:type="gramStart"/>
      <w:r w:rsidR="00086A3A">
        <w:t>;</w:t>
      </w:r>
      <w:r w:rsidR="00354BFA">
        <w:t>12:1</w:t>
      </w:r>
      <w:proofErr w:type="gramEnd"/>
      <w:r w:rsidR="00354BFA">
        <w:t>-1</w:t>
      </w:r>
      <w:r w:rsidRPr="00E61E91">
        <w:t>3.</w:t>
      </w:r>
    </w:p>
    <w:p w14:paraId="6BB1162D" w14:textId="4815F1EA" w:rsidR="00086A3A" w:rsidRPr="00457142" w:rsidRDefault="00086A3A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proofErr w:type="spellStart"/>
      <w:r w:rsidRPr="00086A3A">
        <w:t>Ott</w:t>
      </w:r>
      <w:r w:rsidR="005472DA">
        <w:t>enbacher</w:t>
      </w:r>
      <w:proofErr w:type="spellEnd"/>
      <w:r w:rsidR="005472DA">
        <w:t xml:space="preserve"> KJ, </w:t>
      </w:r>
      <w:proofErr w:type="spellStart"/>
      <w:r w:rsidR="005472DA">
        <w:t>Msall</w:t>
      </w:r>
      <w:proofErr w:type="spellEnd"/>
      <w:r w:rsidR="005472DA">
        <w:t xml:space="preserve"> ME, Lyon N, Duffy LC, </w:t>
      </w:r>
      <w:proofErr w:type="spellStart"/>
      <w:r w:rsidR="005472DA">
        <w:t>Ziviani</w:t>
      </w:r>
      <w:proofErr w:type="spellEnd"/>
      <w:r w:rsidR="005472DA">
        <w:t xml:space="preserve"> J. et al.</w:t>
      </w:r>
      <w:r w:rsidRPr="00086A3A">
        <w:t xml:space="preserve"> </w:t>
      </w:r>
      <w:r w:rsidR="005472DA">
        <w:t xml:space="preserve">The </w:t>
      </w:r>
      <w:proofErr w:type="spellStart"/>
      <w:r w:rsidR="005472DA">
        <w:t>WeeFIM</w:t>
      </w:r>
      <w:proofErr w:type="spellEnd"/>
      <w:r w:rsidR="005472DA">
        <w:t xml:space="preserve"> instrument: </w:t>
      </w:r>
      <w:r w:rsidRPr="00086A3A">
        <w:t>Its utility in detecting change in children with developmental disabilities.  </w:t>
      </w:r>
      <w:r w:rsidRPr="00086A3A">
        <w:rPr>
          <w:i/>
        </w:rPr>
        <w:t>Archive of Physical Medicine Rehabilitation</w:t>
      </w:r>
      <w:r>
        <w:t>. 2000</w:t>
      </w:r>
      <w:proofErr w:type="gramStart"/>
      <w:r>
        <w:t>;81:</w:t>
      </w:r>
      <w:r w:rsidRPr="00086A3A">
        <w:t>1317</w:t>
      </w:r>
      <w:proofErr w:type="gramEnd"/>
      <w:r w:rsidRPr="00086A3A">
        <w:t>-1326.</w:t>
      </w:r>
    </w:p>
    <w:p w14:paraId="618CDB38" w14:textId="17EF4014" w:rsidR="00BC0086" w:rsidRDefault="00BC0086" w:rsidP="006D1312">
      <w:pPr>
        <w:pStyle w:val="ListParagraph"/>
        <w:numPr>
          <w:ilvl w:val="0"/>
          <w:numId w:val="4"/>
        </w:numPr>
        <w:contextualSpacing w:val="0"/>
      </w:pPr>
      <w:r>
        <w:lastRenderedPageBreak/>
        <w:t>Kottorp A, Bernspa</w:t>
      </w:r>
      <w:r w:rsidRPr="001B27ED">
        <w:t xml:space="preserve">ng B, Fisher AG. </w:t>
      </w:r>
      <w:proofErr w:type="gramStart"/>
      <w:r w:rsidRPr="001B27ED">
        <w:t>Validity of a performance assessment of activities of daily living for people with developmental disabilities.</w:t>
      </w:r>
      <w:proofErr w:type="gramEnd"/>
      <w:r w:rsidRPr="001B27ED">
        <w:t xml:space="preserve"> </w:t>
      </w:r>
      <w:r w:rsidRPr="001B27ED">
        <w:rPr>
          <w:i/>
        </w:rPr>
        <w:t>J Intellect Disabil Res</w:t>
      </w:r>
      <w:r w:rsidRPr="001B27ED">
        <w:t>. 2003</w:t>
      </w:r>
      <w:proofErr w:type="gramStart"/>
      <w:r w:rsidRPr="001B27ED">
        <w:t>;47</w:t>
      </w:r>
      <w:proofErr w:type="gramEnd"/>
      <w:r w:rsidRPr="001B27ED">
        <w:t>(Pt 8):597-605.</w:t>
      </w:r>
    </w:p>
    <w:p w14:paraId="73C2EC46" w14:textId="77777777" w:rsidR="00BC0086" w:rsidRDefault="00BC0086" w:rsidP="006D1312">
      <w:pPr>
        <w:pStyle w:val="ListParagraph"/>
        <w:numPr>
          <w:ilvl w:val="0"/>
          <w:numId w:val="4"/>
        </w:numPr>
        <w:contextualSpacing w:val="0"/>
      </w:pPr>
      <w:r>
        <w:t xml:space="preserve">Assessment of Motor and Process Skills (AMPS). AMPS Project International Website. </w:t>
      </w:r>
      <w:hyperlink r:id="rId6" w:history="1">
        <w:r w:rsidRPr="002F4C95">
          <w:rPr>
            <w:rStyle w:val="Hyperlink"/>
          </w:rPr>
          <w:t>http://www.ampsintl.com/AMPS/related/AONE.php</w:t>
        </w:r>
      </w:hyperlink>
      <w:r>
        <w:t xml:space="preserve">. Accessed March 25, 2016. </w:t>
      </w:r>
    </w:p>
    <w:p w14:paraId="7BE24509" w14:textId="75631697" w:rsidR="00BB173E" w:rsidRPr="00BB173E" w:rsidRDefault="00BB173E" w:rsidP="006D13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</w:pPr>
      <w:r w:rsidRPr="00BB173E">
        <w:t xml:space="preserve">Peny-Dahlstrand M, Krumlinde-Sundholm L, Gosman-Hedstrom G. Patterns of participation in school-related activities and settings in children with spina bifida. </w:t>
      </w:r>
      <w:r w:rsidRPr="00BB173E">
        <w:rPr>
          <w:i/>
        </w:rPr>
        <w:t>Disabil Rehabil</w:t>
      </w:r>
      <w:r w:rsidRPr="00BB173E">
        <w:t xml:space="preserve">. 2013;35(21):1821-1827. </w:t>
      </w:r>
    </w:p>
    <w:p w14:paraId="715C48EB" w14:textId="295810EB" w:rsidR="00C81878" w:rsidRDefault="00C81878" w:rsidP="006D1312">
      <w:pPr>
        <w:numPr>
          <w:ilvl w:val="0"/>
          <w:numId w:val="4"/>
        </w:numPr>
        <w:shd w:val="clear" w:color="auto" w:fill="FFFFFF"/>
      </w:pPr>
      <w:proofErr w:type="spellStart"/>
      <w:r w:rsidRPr="00C81878">
        <w:t>Franjoine</w:t>
      </w:r>
      <w:proofErr w:type="spellEnd"/>
      <w:r w:rsidRPr="00C81878">
        <w:t xml:space="preserve"> MR, Gunther JS, Taylor MJ. Pediatric Balance Scale: A Modified Version of the Berg Balance Scale for the School Age Child with Mild</w:t>
      </w:r>
      <w:r>
        <w:t xml:space="preserve"> </w:t>
      </w:r>
      <w:r w:rsidRPr="00C81878">
        <w:t xml:space="preserve">to Moderate Motor Impairment. </w:t>
      </w:r>
      <w:proofErr w:type="spellStart"/>
      <w:r w:rsidRPr="00C81878">
        <w:rPr>
          <w:i/>
        </w:rPr>
        <w:t>Pediatr</w:t>
      </w:r>
      <w:proofErr w:type="spellEnd"/>
      <w:r w:rsidRPr="00C81878">
        <w:rPr>
          <w:i/>
        </w:rPr>
        <w:t xml:space="preserve"> </w:t>
      </w:r>
      <w:proofErr w:type="spellStart"/>
      <w:r w:rsidRPr="00C81878">
        <w:rPr>
          <w:i/>
        </w:rPr>
        <w:t>Phys</w:t>
      </w:r>
      <w:proofErr w:type="spellEnd"/>
      <w:r w:rsidRPr="00C81878">
        <w:rPr>
          <w:i/>
        </w:rPr>
        <w:t xml:space="preserve"> </w:t>
      </w:r>
      <w:proofErr w:type="spellStart"/>
      <w:r w:rsidRPr="00C81878">
        <w:rPr>
          <w:i/>
        </w:rPr>
        <w:t>Ther</w:t>
      </w:r>
      <w:proofErr w:type="spellEnd"/>
      <w:r>
        <w:t>. 2003</w:t>
      </w:r>
      <w:proofErr w:type="gramStart"/>
      <w:r>
        <w:t>;</w:t>
      </w:r>
      <w:r w:rsidRPr="00C81878">
        <w:t>15</w:t>
      </w:r>
      <w:proofErr w:type="gramEnd"/>
      <w:r w:rsidRPr="00C81878">
        <w:t>(2):114-128.</w:t>
      </w:r>
    </w:p>
    <w:p w14:paraId="55857532" w14:textId="44E53012" w:rsidR="00B347F1" w:rsidRPr="00DF72B4" w:rsidRDefault="00B347F1" w:rsidP="006D1312">
      <w:pPr>
        <w:numPr>
          <w:ilvl w:val="0"/>
          <w:numId w:val="4"/>
        </w:numPr>
        <w:shd w:val="clear" w:color="auto" w:fill="FFFFFF"/>
      </w:pPr>
      <w:r>
        <w:t xml:space="preserve">Chen C, </w:t>
      </w:r>
      <w:proofErr w:type="spellStart"/>
      <w:r>
        <w:t>Shen</w:t>
      </w:r>
      <w:proofErr w:type="spellEnd"/>
      <w:r>
        <w:t xml:space="preserve"> I, Chen C, Wu C, Liu W, et al. </w:t>
      </w:r>
      <w:r w:rsidRPr="00B347F1">
        <w:t>Validity, responsiveness, minimal detectable change, and minimal clinically important change of pediatric balance scale i</w:t>
      </w:r>
      <w:r>
        <w:t>n children with cerebral palsy.</w:t>
      </w:r>
      <w:r w:rsidRPr="00B347F1">
        <w:t xml:space="preserve"> </w:t>
      </w:r>
      <w:r w:rsidRPr="00B347F1">
        <w:rPr>
          <w:i/>
        </w:rPr>
        <w:t xml:space="preserve">Res </w:t>
      </w:r>
      <w:proofErr w:type="spellStart"/>
      <w:r w:rsidRPr="00B347F1">
        <w:rPr>
          <w:i/>
        </w:rPr>
        <w:t>Dev</w:t>
      </w:r>
      <w:proofErr w:type="spellEnd"/>
      <w:r w:rsidRPr="00B347F1">
        <w:rPr>
          <w:i/>
        </w:rPr>
        <w:t xml:space="preserve"> Disabil</w:t>
      </w:r>
      <w:r>
        <w:t>. 2012</w:t>
      </w:r>
      <w:proofErr w:type="gramStart"/>
      <w:r>
        <w:t>;</w:t>
      </w:r>
      <w:r w:rsidRPr="00B347F1">
        <w:t>34:916</w:t>
      </w:r>
      <w:proofErr w:type="gramEnd"/>
      <w:r w:rsidRPr="00B347F1">
        <w:t>-922.</w:t>
      </w:r>
    </w:p>
    <w:p w14:paraId="4D5FAB9D" w14:textId="4A8F7E48" w:rsidR="00DF72B4" w:rsidRPr="00DF72B4" w:rsidRDefault="00A558F4" w:rsidP="006D1312">
      <w:pPr>
        <w:numPr>
          <w:ilvl w:val="0"/>
          <w:numId w:val="4"/>
        </w:numPr>
        <w:shd w:val="clear" w:color="auto" w:fill="FFFFFF"/>
      </w:pPr>
      <w:r>
        <w:t xml:space="preserve">Geiger R, </w:t>
      </w:r>
      <w:proofErr w:type="spellStart"/>
      <w:r>
        <w:t>Strasak</w:t>
      </w:r>
      <w:proofErr w:type="spellEnd"/>
      <w:r>
        <w:t xml:space="preserve"> A, </w:t>
      </w:r>
      <w:proofErr w:type="spellStart"/>
      <w:r>
        <w:t>Tremi</w:t>
      </w:r>
      <w:proofErr w:type="spellEnd"/>
      <w:r>
        <w:t xml:space="preserve"> B, Gasser K, </w:t>
      </w:r>
      <w:proofErr w:type="spellStart"/>
      <w:r>
        <w:t>Kleinsasser</w:t>
      </w:r>
      <w:proofErr w:type="spellEnd"/>
      <w:r w:rsidR="00DF72B4" w:rsidRPr="00DF72B4">
        <w:t xml:space="preserve"> A, </w:t>
      </w:r>
      <w:r>
        <w:t xml:space="preserve">et al. </w:t>
      </w:r>
      <w:r w:rsidR="00DF72B4" w:rsidRPr="00DF72B4">
        <w:t>Six-Minute Walk Te</w:t>
      </w:r>
      <w:r>
        <w:t>st in Children and Adolescents.</w:t>
      </w:r>
      <w:r w:rsidR="00DF72B4" w:rsidRPr="00DF72B4">
        <w:t> </w:t>
      </w:r>
      <w:r w:rsidR="00DF72B4" w:rsidRPr="00A558F4">
        <w:rPr>
          <w:i/>
        </w:rPr>
        <w:t xml:space="preserve">Jour </w:t>
      </w:r>
      <w:proofErr w:type="spellStart"/>
      <w:r w:rsidR="00DF72B4" w:rsidRPr="00A558F4">
        <w:rPr>
          <w:i/>
        </w:rPr>
        <w:t>Pediatr</w:t>
      </w:r>
      <w:proofErr w:type="spellEnd"/>
      <w:r>
        <w:t>. 2007:</w:t>
      </w:r>
      <w:r w:rsidR="007B6923">
        <w:t>150(4)</w:t>
      </w:r>
      <w:proofErr w:type="gramStart"/>
      <w:r w:rsidR="007B6923">
        <w:t>:395</w:t>
      </w:r>
      <w:proofErr w:type="gramEnd"/>
      <w:r w:rsidR="007B6923">
        <w:t>-399</w:t>
      </w:r>
      <w:r>
        <w:t>.</w:t>
      </w:r>
    </w:p>
    <w:p w14:paraId="3D999C31" w14:textId="75A19C32" w:rsidR="0063004B" w:rsidRPr="0063004B" w:rsidRDefault="0063004B" w:rsidP="006D1312">
      <w:pPr>
        <w:numPr>
          <w:ilvl w:val="0"/>
          <w:numId w:val="4"/>
        </w:numPr>
        <w:shd w:val="clear" w:color="auto" w:fill="FFFFFF"/>
      </w:pPr>
      <w:r w:rsidRPr="0063004B">
        <w:t xml:space="preserve">Groot, JF, </w:t>
      </w:r>
      <w:proofErr w:type="spellStart"/>
      <w:r w:rsidRPr="0063004B">
        <w:t>Takken</w:t>
      </w:r>
      <w:proofErr w:type="spellEnd"/>
      <w:r w:rsidRPr="0063004B">
        <w:t xml:space="preserve">, T. The Six-Minute Walk Test in </w:t>
      </w:r>
      <w:proofErr w:type="spellStart"/>
      <w:r w:rsidRPr="0063004B">
        <w:t>Paediatric</w:t>
      </w:r>
      <w:proofErr w:type="spellEnd"/>
      <w:r w:rsidRPr="0063004B">
        <w:t xml:space="preserve"> Populations.  </w:t>
      </w:r>
      <w:proofErr w:type="spellStart"/>
      <w:r w:rsidRPr="0063004B">
        <w:rPr>
          <w:i/>
        </w:rPr>
        <w:t>Jour</w:t>
      </w:r>
      <w:r>
        <w:rPr>
          <w:i/>
        </w:rPr>
        <w:t>n</w:t>
      </w:r>
      <w:proofErr w:type="spellEnd"/>
      <w:r w:rsidRPr="0063004B">
        <w:rPr>
          <w:i/>
        </w:rPr>
        <w:t xml:space="preserve"> </w:t>
      </w:r>
      <w:proofErr w:type="spellStart"/>
      <w:r w:rsidRPr="0063004B">
        <w:rPr>
          <w:i/>
        </w:rPr>
        <w:t>Physiother</w:t>
      </w:r>
      <w:proofErr w:type="spellEnd"/>
      <w:r>
        <w:t>. 2011</w:t>
      </w:r>
      <w:proofErr w:type="gramStart"/>
      <w:r>
        <w:t>;57:</w:t>
      </w:r>
      <w:r w:rsidRPr="0063004B">
        <w:t>128</w:t>
      </w:r>
      <w:proofErr w:type="gramEnd"/>
      <w:r>
        <w:t>.</w:t>
      </w:r>
    </w:p>
    <w:p w14:paraId="1F741053" w14:textId="4992CCE5" w:rsidR="008E14AA" w:rsidRPr="008E14AA" w:rsidRDefault="008E14AA" w:rsidP="006D13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8E14AA">
        <w:t xml:space="preserve">Copp AJ, Adzick NS, Chitty LS, Fletcher JM, Holmbeck GN, Shaw GM. Spina bifida. </w:t>
      </w:r>
      <w:r w:rsidRPr="008E14AA">
        <w:rPr>
          <w:i/>
        </w:rPr>
        <w:t>Nat Rev Dis Prim</w:t>
      </w:r>
      <w:r w:rsidRPr="008E14AA">
        <w:t>. 2015</w:t>
      </w:r>
      <w:proofErr w:type="gramStart"/>
      <w:r w:rsidRPr="008E14AA">
        <w:t>;1:15007</w:t>
      </w:r>
      <w:proofErr w:type="gramEnd"/>
      <w:r w:rsidRPr="008E14AA">
        <w:t xml:space="preserve">. </w:t>
      </w:r>
    </w:p>
    <w:p w14:paraId="4B63CF40" w14:textId="77777777" w:rsidR="000B7685" w:rsidRDefault="00A810B1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  <w:jc w:val="both"/>
      </w:pPr>
      <w:proofErr w:type="spellStart"/>
      <w:r w:rsidRPr="00A810B1">
        <w:t>Sawin</w:t>
      </w:r>
      <w:proofErr w:type="spellEnd"/>
      <w:r w:rsidRPr="00A810B1">
        <w:t xml:space="preserve"> KJ, </w:t>
      </w:r>
      <w:proofErr w:type="spellStart"/>
      <w:r w:rsidRPr="00A810B1">
        <w:t>Bellin</w:t>
      </w:r>
      <w:proofErr w:type="spellEnd"/>
      <w:r w:rsidRPr="00A810B1">
        <w:t xml:space="preserve"> MH. Quality of life in individuals with spina bifida: a research update. </w:t>
      </w:r>
      <w:proofErr w:type="spellStart"/>
      <w:r w:rsidRPr="00CB5425">
        <w:rPr>
          <w:i/>
        </w:rPr>
        <w:t>Dev</w:t>
      </w:r>
      <w:proofErr w:type="spellEnd"/>
      <w:r w:rsidRPr="00CB5425">
        <w:rPr>
          <w:i/>
        </w:rPr>
        <w:t xml:space="preserve"> Disabil Res Rev</w:t>
      </w:r>
      <w:r w:rsidRPr="00A810B1">
        <w:t>. 2010</w:t>
      </w:r>
      <w:proofErr w:type="gramStart"/>
      <w:r w:rsidRPr="00A810B1">
        <w:t>;16</w:t>
      </w:r>
      <w:proofErr w:type="gramEnd"/>
      <w:r w:rsidRPr="00A810B1">
        <w:t>(1):47-59.</w:t>
      </w:r>
    </w:p>
    <w:p w14:paraId="44F8FAF5" w14:textId="5168670B" w:rsidR="00CB5425" w:rsidRDefault="007B672D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r w:rsidRPr="007B672D">
        <w:t xml:space="preserve">Sol ME, </w:t>
      </w:r>
      <w:proofErr w:type="spellStart"/>
      <w:r w:rsidRPr="007B672D">
        <w:t>Verschuren</w:t>
      </w:r>
      <w:proofErr w:type="spellEnd"/>
      <w:r w:rsidRPr="007B672D">
        <w:t xml:space="preserve"> O, de Groot L, de Groot JF, Fit-For-the-Future</w:t>
      </w:r>
      <w:proofErr w:type="gramStart"/>
      <w:r w:rsidRPr="007B672D">
        <w:t>!-</w:t>
      </w:r>
      <w:proofErr w:type="gramEnd"/>
      <w:r w:rsidRPr="007B672D">
        <w:t>consortium</w:t>
      </w:r>
      <w:r w:rsidR="000B7685">
        <w:t>.</w:t>
      </w:r>
      <w:r w:rsidRPr="007B672D">
        <w:t xml:space="preserve"> Development of a wheelchair mobility skills test for children and adolescents: combining evidence with clinical expertise. </w:t>
      </w:r>
      <w:r w:rsidRPr="00457142">
        <w:rPr>
          <w:i/>
        </w:rPr>
        <w:t>BMC Pediatrics</w:t>
      </w:r>
      <w:r w:rsidRPr="007B672D">
        <w:t>. 2017</w:t>
      </w:r>
      <w:proofErr w:type="gramStart"/>
      <w:r w:rsidRPr="007B672D">
        <w:t>;17:51</w:t>
      </w:r>
      <w:proofErr w:type="gramEnd"/>
      <w:r w:rsidRPr="007B672D">
        <w:t xml:space="preserve">. </w:t>
      </w:r>
    </w:p>
    <w:p w14:paraId="065F6DC8" w14:textId="6CC0DCB8" w:rsidR="007260E3" w:rsidRPr="007260E3" w:rsidRDefault="007260E3" w:rsidP="006D13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7260E3">
        <w:t xml:space="preserve">Sandler AD. Children with Spina Bifida: Key Clinical Issues. </w:t>
      </w:r>
      <w:r w:rsidRPr="007260E3">
        <w:rPr>
          <w:i/>
        </w:rPr>
        <w:t>Pediatr Clin North Am</w:t>
      </w:r>
      <w:r w:rsidRPr="007260E3">
        <w:t>. 2010</w:t>
      </w:r>
      <w:proofErr w:type="gramStart"/>
      <w:r w:rsidRPr="007260E3">
        <w:t>;57</w:t>
      </w:r>
      <w:proofErr w:type="gramEnd"/>
      <w:r w:rsidRPr="007260E3">
        <w:t xml:space="preserve">(4):879-892. </w:t>
      </w:r>
    </w:p>
    <w:p w14:paraId="04220FCF" w14:textId="2D64FC73" w:rsidR="00BC0086" w:rsidRDefault="00B241AA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r w:rsidRPr="00B241AA">
        <w:t xml:space="preserve">Smith PL, Owen JL, </w:t>
      </w:r>
      <w:proofErr w:type="spellStart"/>
      <w:r w:rsidRPr="00B241AA">
        <w:t>Fehlings</w:t>
      </w:r>
      <w:proofErr w:type="spellEnd"/>
      <w:r w:rsidRPr="00B241AA">
        <w:t xml:space="preserve"> D, Wright JG. Measuring physical function in children with spina bifida and dislocated hips: the Spina Bifida Hips Questionnaire. </w:t>
      </w:r>
      <w:r w:rsidRPr="00B241AA">
        <w:rPr>
          <w:i/>
        </w:rPr>
        <w:t xml:space="preserve">J </w:t>
      </w:r>
      <w:proofErr w:type="spellStart"/>
      <w:r w:rsidRPr="00B241AA">
        <w:rPr>
          <w:i/>
        </w:rPr>
        <w:t>Pediatr</w:t>
      </w:r>
      <w:proofErr w:type="spellEnd"/>
      <w:r w:rsidRPr="00B241AA">
        <w:rPr>
          <w:i/>
        </w:rPr>
        <w:t xml:space="preserve"> </w:t>
      </w:r>
      <w:proofErr w:type="spellStart"/>
      <w:r w:rsidRPr="00B241AA">
        <w:rPr>
          <w:i/>
        </w:rPr>
        <w:t>Orthop</w:t>
      </w:r>
      <w:proofErr w:type="spellEnd"/>
      <w:r w:rsidRPr="00B241AA">
        <w:t>. 2005</w:t>
      </w:r>
      <w:proofErr w:type="gramStart"/>
      <w:r w:rsidRPr="00B241AA">
        <w:t>;25</w:t>
      </w:r>
      <w:proofErr w:type="gramEnd"/>
      <w:r w:rsidRPr="00B241AA">
        <w:t>(3):273-9.</w:t>
      </w:r>
    </w:p>
    <w:p w14:paraId="50576A8E" w14:textId="77777777" w:rsidR="00191752" w:rsidRDefault="001D0493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proofErr w:type="spellStart"/>
      <w:r w:rsidRPr="001D0493">
        <w:t>Wai</w:t>
      </w:r>
      <w:proofErr w:type="spellEnd"/>
      <w:r w:rsidRPr="001D0493">
        <w:t xml:space="preserve"> EK, Owen J, </w:t>
      </w:r>
      <w:proofErr w:type="spellStart"/>
      <w:r w:rsidRPr="001D0493">
        <w:t>Fehlings</w:t>
      </w:r>
      <w:proofErr w:type="spellEnd"/>
      <w:r w:rsidRPr="001D0493">
        <w:t xml:space="preserve"> D, Wright JG. Assessing physical disability in children with spina bifida and scoliosis. </w:t>
      </w:r>
      <w:r w:rsidRPr="001D0493">
        <w:rPr>
          <w:i/>
        </w:rPr>
        <w:t xml:space="preserve">J </w:t>
      </w:r>
      <w:proofErr w:type="spellStart"/>
      <w:r w:rsidRPr="001D0493">
        <w:rPr>
          <w:i/>
        </w:rPr>
        <w:t>Pediatr</w:t>
      </w:r>
      <w:proofErr w:type="spellEnd"/>
      <w:r w:rsidRPr="001D0493">
        <w:rPr>
          <w:i/>
        </w:rPr>
        <w:t xml:space="preserve"> </w:t>
      </w:r>
      <w:proofErr w:type="spellStart"/>
      <w:r w:rsidRPr="001D0493">
        <w:rPr>
          <w:i/>
        </w:rPr>
        <w:t>Orthop</w:t>
      </w:r>
      <w:proofErr w:type="spellEnd"/>
      <w:r w:rsidRPr="001D0493">
        <w:t>. 2000</w:t>
      </w:r>
      <w:proofErr w:type="gramStart"/>
      <w:r w:rsidRPr="001D0493">
        <w:t>;20</w:t>
      </w:r>
      <w:proofErr w:type="gramEnd"/>
      <w:r w:rsidRPr="001D0493">
        <w:t>(6):765-70.</w:t>
      </w:r>
    </w:p>
    <w:p w14:paraId="79FA508F" w14:textId="68D60211" w:rsidR="00C719E8" w:rsidRDefault="00191752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proofErr w:type="spellStart"/>
      <w:r w:rsidRPr="00191752">
        <w:t>Nicolini-Panisson</w:t>
      </w:r>
      <w:proofErr w:type="spellEnd"/>
      <w:r w:rsidRPr="00191752">
        <w:t xml:space="preserve"> RD and </w:t>
      </w:r>
      <w:proofErr w:type="spellStart"/>
      <w:r w:rsidRPr="00191752">
        <w:t>Donadio</w:t>
      </w:r>
      <w:proofErr w:type="spellEnd"/>
      <w:r w:rsidRPr="00191752">
        <w:t xml:space="preserve"> MVF. Timed “Up &amp; Go” test in children and adolescents. </w:t>
      </w:r>
      <w:r w:rsidRPr="00191752">
        <w:rPr>
          <w:i/>
        </w:rPr>
        <w:t xml:space="preserve">Rev Paul </w:t>
      </w:r>
      <w:proofErr w:type="spellStart"/>
      <w:r w:rsidRPr="00191752">
        <w:rPr>
          <w:i/>
        </w:rPr>
        <w:t>Pediatr</w:t>
      </w:r>
      <w:proofErr w:type="spellEnd"/>
      <w:r w:rsidRPr="00191752">
        <w:t>. 2013</w:t>
      </w:r>
      <w:proofErr w:type="gramStart"/>
      <w:r w:rsidRPr="00191752">
        <w:t>;31</w:t>
      </w:r>
      <w:proofErr w:type="gramEnd"/>
      <w:r w:rsidRPr="00191752">
        <w:t>(3):377-83.</w:t>
      </w:r>
    </w:p>
    <w:p w14:paraId="12F1857F" w14:textId="37EEC90F" w:rsidR="00C719E8" w:rsidRDefault="00C719E8" w:rsidP="006D1312">
      <w:pPr>
        <w:pStyle w:val="ListParagraph"/>
        <w:numPr>
          <w:ilvl w:val="0"/>
          <w:numId w:val="4"/>
        </w:numPr>
        <w:shd w:val="clear" w:color="auto" w:fill="FFFFFF"/>
        <w:contextualSpacing w:val="0"/>
      </w:pPr>
      <w:proofErr w:type="spellStart"/>
      <w:r w:rsidRPr="00C719E8">
        <w:t>Bellin</w:t>
      </w:r>
      <w:proofErr w:type="spellEnd"/>
      <w:r w:rsidRPr="00C719E8">
        <w:t xml:space="preserve"> MH, </w:t>
      </w:r>
      <w:proofErr w:type="spellStart"/>
      <w:r w:rsidRPr="00C719E8">
        <w:t>Zabel</w:t>
      </w:r>
      <w:proofErr w:type="spellEnd"/>
      <w:r w:rsidRPr="00C719E8">
        <w:t xml:space="preserve"> TA, </w:t>
      </w:r>
      <w:proofErr w:type="spellStart"/>
      <w:r w:rsidRPr="00C719E8">
        <w:t>Dicianno</w:t>
      </w:r>
      <w:proofErr w:type="spellEnd"/>
      <w:r w:rsidRPr="00C719E8">
        <w:t xml:space="preserve"> BE, </w:t>
      </w:r>
      <w:proofErr w:type="gramStart"/>
      <w:r w:rsidRPr="00C719E8">
        <w:t>et</w:t>
      </w:r>
      <w:proofErr w:type="gramEnd"/>
      <w:r w:rsidRPr="00C719E8">
        <w:t xml:space="preserve"> al. Correlates of depressive and anxiety symptoms in young adults with spina bifida. </w:t>
      </w:r>
      <w:r w:rsidRPr="00C719E8">
        <w:rPr>
          <w:i/>
        </w:rPr>
        <w:t xml:space="preserve">J </w:t>
      </w:r>
      <w:proofErr w:type="spellStart"/>
      <w:r w:rsidRPr="00C719E8">
        <w:rPr>
          <w:i/>
        </w:rPr>
        <w:t>Pediatr</w:t>
      </w:r>
      <w:proofErr w:type="spellEnd"/>
      <w:r w:rsidRPr="00C719E8">
        <w:rPr>
          <w:i/>
        </w:rPr>
        <w:t xml:space="preserve"> Psychol</w:t>
      </w:r>
      <w:r w:rsidRPr="00C719E8">
        <w:t>. 2010</w:t>
      </w:r>
      <w:proofErr w:type="gramStart"/>
      <w:r w:rsidRPr="00C719E8">
        <w:t>;35</w:t>
      </w:r>
      <w:proofErr w:type="gramEnd"/>
      <w:r w:rsidRPr="00C719E8">
        <w:t>(7):778-789.</w:t>
      </w:r>
    </w:p>
    <w:p w14:paraId="135C8E36" w14:textId="77777777" w:rsidR="00742915" w:rsidRDefault="00742915" w:rsidP="006D1312">
      <w:pPr>
        <w:pStyle w:val="ListParagraph"/>
        <w:numPr>
          <w:ilvl w:val="0"/>
          <w:numId w:val="4"/>
        </w:numPr>
      </w:pPr>
      <w:proofErr w:type="spellStart"/>
      <w:r>
        <w:t>Ozek</w:t>
      </w:r>
      <w:proofErr w:type="spellEnd"/>
      <w:r>
        <w:t xml:space="preserve"> MM, </w:t>
      </w:r>
      <w:proofErr w:type="spellStart"/>
      <w:r>
        <w:t>Cinalli</w:t>
      </w:r>
      <w:proofErr w:type="spellEnd"/>
      <w:r>
        <w:t xml:space="preserve"> G, </w:t>
      </w:r>
      <w:proofErr w:type="spellStart"/>
      <w:r>
        <w:t>Maixner</w:t>
      </w:r>
      <w:proofErr w:type="spellEnd"/>
      <w:r>
        <w:t xml:space="preserve"> W. </w:t>
      </w:r>
      <w:r w:rsidRPr="00B51B6F">
        <w:rPr>
          <w:i/>
        </w:rPr>
        <w:t>Spina Bifida: Management and Outcome</w:t>
      </w:r>
      <w:r w:rsidRPr="00B51B6F">
        <w:t xml:space="preserve">. </w:t>
      </w:r>
      <w:r>
        <w:t>Springer Science and Business Media: Italy; 2008.</w:t>
      </w:r>
    </w:p>
    <w:p w14:paraId="44EEBF2C" w14:textId="35AD8904" w:rsidR="006B691B" w:rsidRPr="00B51B6F" w:rsidRDefault="006B691B" w:rsidP="006D1312">
      <w:pPr>
        <w:pStyle w:val="ListParagraph"/>
        <w:numPr>
          <w:ilvl w:val="0"/>
          <w:numId w:val="4"/>
        </w:numPr>
      </w:pPr>
      <w:proofErr w:type="spellStart"/>
      <w:r w:rsidRPr="006B691B">
        <w:t>Garra</w:t>
      </w:r>
      <w:proofErr w:type="spellEnd"/>
      <w:r w:rsidRPr="006B691B">
        <w:t xml:space="preserve"> G, Singer AJ, </w:t>
      </w:r>
      <w:proofErr w:type="spellStart"/>
      <w:r w:rsidRPr="006B691B">
        <w:t>Taira</w:t>
      </w:r>
      <w:proofErr w:type="spellEnd"/>
      <w:r w:rsidRPr="006B691B">
        <w:t xml:space="preserve"> BR, et al. Validation of the Wong-Baker FACES Pain Rating Scale in pediatric emergency department patients. </w:t>
      </w:r>
      <w:proofErr w:type="spellStart"/>
      <w:r w:rsidRPr="006B691B">
        <w:rPr>
          <w:i/>
        </w:rPr>
        <w:t>Acad</w:t>
      </w:r>
      <w:proofErr w:type="spellEnd"/>
      <w:r w:rsidRPr="006B691B">
        <w:rPr>
          <w:i/>
        </w:rPr>
        <w:t xml:space="preserve"> </w:t>
      </w:r>
      <w:proofErr w:type="spellStart"/>
      <w:r w:rsidRPr="006B691B">
        <w:rPr>
          <w:i/>
        </w:rPr>
        <w:t>Emerg</w:t>
      </w:r>
      <w:proofErr w:type="spellEnd"/>
      <w:r w:rsidRPr="006B691B">
        <w:rPr>
          <w:i/>
        </w:rPr>
        <w:t xml:space="preserve"> Med</w:t>
      </w:r>
      <w:r w:rsidRPr="006B691B">
        <w:t>. 2010</w:t>
      </w:r>
      <w:proofErr w:type="gramStart"/>
      <w:r w:rsidRPr="006B691B">
        <w:t>;17</w:t>
      </w:r>
      <w:proofErr w:type="gramEnd"/>
      <w:r w:rsidRPr="006B691B">
        <w:t>(1):50-4.</w:t>
      </w:r>
    </w:p>
    <w:p w14:paraId="3DD0EE8E" w14:textId="77777777" w:rsidR="00742915" w:rsidRPr="00900A54" w:rsidRDefault="00742915" w:rsidP="00742915">
      <w:pPr>
        <w:shd w:val="clear" w:color="auto" w:fill="FFFFFF"/>
        <w:spacing w:before="100" w:beforeAutospacing="1" w:after="120"/>
      </w:pPr>
    </w:p>
    <w:p w14:paraId="1D8C702B" w14:textId="77777777" w:rsidR="00900A54" w:rsidRPr="00BC0086" w:rsidRDefault="00900A54" w:rsidP="0038295C">
      <w:pPr>
        <w:pStyle w:val="ListParagraph"/>
        <w:spacing w:after="120"/>
        <w:contextualSpacing w:val="0"/>
        <w:rPr>
          <w:rFonts w:ascii="Times" w:hAnsi="Times"/>
          <w:sz w:val="20"/>
          <w:szCs w:val="20"/>
        </w:rPr>
      </w:pPr>
    </w:p>
    <w:sectPr w:rsidR="00900A54" w:rsidRPr="00BC0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E4"/>
    <w:multiLevelType w:val="hybridMultilevel"/>
    <w:tmpl w:val="BB8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D08"/>
    <w:multiLevelType w:val="multilevel"/>
    <w:tmpl w:val="25B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B026F"/>
    <w:multiLevelType w:val="hybridMultilevel"/>
    <w:tmpl w:val="2280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878"/>
    <w:multiLevelType w:val="hybridMultilevel"/>
    <w:tmpl w:val="0560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1F5"/>
    <w:multiLevelType w:val="multilevel"/>
    <w:tmpl w:val="9F9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10720"/>
    <w:multiLevelType w:val="multilevel"/>
    <w:tmpl w:val="FAD2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80D05"/>
    <w:multiLevelType w:val="multilevel"/>
    <w:tmpl w:val="59C4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04D8A"/>
    <w:multiLevelType w:val="multilevel"/>
    <w:tmpl w:val="FA9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61811"/>
    <w:multiLevelType w:val="hybridMultilevel"/>
    <w:tmpl w:val="D688A6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BE47615"/>
    <w:multiLevelType w:val="multilevel"/>
    <w:tmpl w:val="2280F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50E"/>
    <w:multiLevelType w:val="hybridMultilevel"/>
    <w:tmpl w:val="94E0BE9C"/>
    <w:lvl w:ilvl="0" w:tplc="1B2A8A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03F5"/>
    <w:multiLevelType w:val="hybridMultilevel"/>
    <w:tmpl w:val="199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6"/>
    <w:rsid w:val="00025AF0"/>
    <w:rsid w:val="0003169D"/>
    <w:rsid w:val="000555A5"/>
    <w:rsid w:val="00057DF0"/>
    <w:rsid w:val="00086A3A"/>
    <w:rsid w:val="000B7685"/>
    <w:rsid w:val="000C3FC8"/>
    <w:rsid w:val="000D2F5C"/>
    <w:rsid w:val="000E4773"/>
    <w:rsid w:val="0010447B"/>
    <w:rsid w:val="00112A66"/>
    <w:rsid w:val="001231B3"/>
    <w:rsid w:val="0014366F"/>
    <w:rsid w:val="00144614"/>
    <w:rsid w:val="0015189E"/>
    <w:rsid w:val="001544DF"/>
    <w:rsid w:val="00155C4A"/>
    <w:rsid w:val="00156522"/>
    <w:rsid w:val="001620AB"/>
    <w:rsid w:val="00170FBC"/>
    <w:rsid w:val="001754A9"/>
    <w:rsid w:val="00181CA2"/>
    <w:rsid w:val="00191752"/>
    <w:rsid w:val="001941DC"/>
    <w:rsid w:val="001B27ED"/>
    <w:rsid w:val="001C45FF"/>
    <w:rsid w:val="001D0493"/>
    <w:rsid w:val="001D341D"/>
    <w:rsid w:val="00203C70"/>
    <w:rsid w:val="00211825"/>
    <w:rsid w:val="0023063C"/>
    <w:rsid w:val="0023579E"/>
    <w:rsid w:val="00245F9E"/>
    <w:rsid w:val="002517E2"/>
    <w:rsid w:val="002646FB"/>
    <w:rsid w:val="002907BC"/>
    <w:rsid w:val="00292F9D"/>
    <w:rsid w:val="002A50C0"/>
    <w:rsid w:val="002D1FCF"/>
    <w:rsid w:val="002E2A25"/>
    <w:rsid w:val="003155B7"/>
    <w:rsid w:val="003169ED"/>
    <w:rsid w:val="00321764"/>
    <w:rsid w:val="003225BF"/>
    <w:rsid w:val="00354BFA"/>
    <w:rsid w:val="0038295C"/>
    <w:rsid w:val="003B6E1A"/>
    <w:rsid w:val="003B7E62"/>
    <w:rsid w:val="003C22DC"/>
    <w:rsid w:val="003D1C0D"/>
    <w:rsid w:val="003E7FAA"/>
    <w:rsid w:val="00413B20"/>
    <w:rsid w:val="00435D6E"/>
    <w:rsid w:val="00443C26"/>
    <w:rsid w:val="0045006D"/>
    <w:rsid w:val="00457142"/>
    <w:rsid w:val="0048203E"/>
    <w:rsid w:val="00486135"/>
    <w:rsid w:val="004D6FA7"/>
    <w:rsid w:val="004E0C0C"/>
    <w:rsid w:val="004F499D"/>
    <w:rsid w:val="00503CC0"/>
    <w:rsid w:val="00521813"/>
    <w:rsid w:val="0053462A"/>
    <w:rsid w:val="0053486B"/>
    <w:rsid w:val="005472DA"/>
    <w:rsid w:val="0057777D"/>
    <w:rsid w:val="0059073F"/>
    <w:rsid w:val="00594672"/>
    <w:rsid w:val="005A5546"/>
    <w:rsid w:val="005C3535"/>
    <w:rsid w:val="005D34A8"/>
    <w:rsid w:val="005E46D5"/>
    <w:rsid w:val="00604843"/>
    <w:rsid w:val="0063004B"/>
    <w:rsid w:val="00631987"/>
    <w:rsid w:val="006407DE"/>
    <w:rsid w:val="00640A3A"/>
    <w:rsid w:val="00651AA8"/>
    <w:rsid w:val="00653257"/>
    <w:rsid w:val="00657AF0"/>
    <w:rsid w:val="0068776C"/>
    <w:rsid w:val="00687859"/>
    <w:rsid w:val="006918E2"/>
    <w:rsid w:val="006A1D7A"/>
    <w:rsid w:val="006A680C"/>
    <w:rsid w:val="006B691B"/>
    <w:rsid w:val="006D016C"/>
    <w:rsid w:val="006D1312"/>
    <w:rsid w:val="006D6DA9"/>
    <w:rsid w:val="006F3C42"/>
    <w:rsid w:val="006F4FD6"/>
    <w:rsid w:val="00702BBD"/>
    <w:rsid w:val="0072298E"/>
    <w:rsid w:val="007260E3"/>
    <w:rsid w:val="00742915"/>
    <w:rsid w:val="00754F9E"/>
    <w:rsid w:val="007734DE"/>
    <w:rsid w:val="00793807"/>
    <w:rsid w:val="007973BC"/>
    <w:rsid w:val="007A3A9F"/>
    <w:rsid w:val="007A4C47"/>
    <w:rsid w:val="007B672D"/>
    <w:rsid w:val="007B6923"/>
    <w:rsid w:val="007D7903"/>
    <w:rsid w:val="007E7BC1"/>
    <w:rsid w:val="007F68EE"/>
    <w:rsid w:val="00807744"/>
    <w:rsid w:val="008205D4"/>
    <w:rsid w:val="00836880"/>
    <w:rsid w:val="00842091"/>
    <w:rsid w:val="00845037"/>
    <w:rsid w:val="00866203"/>
    <w:rsid w:val="00870558"/>
    <w:rsid w:val="00875B1F"/>
    <w:rsid w:val="00883DC6"/>
    <w:rsid w:val="00884A81"/>
    <w:rsid w:val="008A114A"/>
    <w:rsid w:val="008A3B76"/>
    <w:rsid w:val="008B51FC"/>
    <w:rsid w:val="008B7A60"/>
    <w:rsid w:val="008D0484"/>
    <w:rsid w:val="008D55BA"/>
    <w:rsid w:val="008E14AA"/>
    <w:rsid w:val="008E1E3A"/>
    <w:rsid w:val="008F3739"/>
    <w:rsid w:val="00900A54"/>
    <w:rsid w:val="0092496B"/>
    <w:rsid w:val="00926F95"/>
    <w:rsid w:val="009359CC"/>
    <w:rsid w:val="009473CA"/>
    <w:rsid w:val="0096299F"/>
    <w:rsid w:val="00973A5C"/>
    <w:rsid w:val="0098266F"/>
    <w:rsid w:val="009852D7"/>
    <w:rsid w:val="009937A8"/>
    <w:rsid w:val="00996752"/>
    <w:rsid w:val="00997CD1"/>
    <w:rsid w:val="00997DFA"/>
    <w:rsid w:val="009A2562"/>
    <w:rsid w:val="009B0A4B"/>
    <w:rsid w:val="009B18FA"/>
    <w:rsid w:val="009B31EC"/>
    <w:rsid w:val="009C04F5"/>
    <w:rsid w:val="009C0BAA"/>
    <w:rsid w:val="009C7282"/>
    <w:rsid w:val="009D4887"/>
    <w:rsid w:val="009F7697"/>
    <w:rsid w:val="00A15C0F"/>
    <w:rsid w:val="00A24A8F"/>
    <w:rsid w:val="00A357F3"/>
    <w:rsid w:val="00A365C8"/>
    <w:rsid w:val="00A472BA"/>
    <w:rsid w:val="00A5484D"/>
    <w:rsid w:val="00A558F4"/>
    <w:rsid w:val="00A6331E"/>
    <w:rsid w:val="00A746E4"/>
    <w:rsid w:val="00A80571"/>
    <w:rsid w:val="00A80F61"/>
    <w:rsid w:val="00A810B1"/>
    <w:rsid w:val="00A81976"/>
    <w:rsid w:val="00A91D9B"/>
    <w:rsid w:val="00AB3C86"/>
    <w:rsid w:val="00AC1219"/>
    <w:rsid w:val="00AC7966"/>
    <w:rsid w:val="00AE3697"/>
    <w:rsid w:val="00AF1911"/>
    <w:rsid w:val="00AF2BC7"/>
    <w:rsid w:val="00B10F6A"/>
    <w:rsid w:val="00B11EEC"/>
    <w:rsid w:val="00B1768A"/>
    <w:rsid w:val="00B241AA"/>
    <w:rsid w:val="00B347F1"/>
    <w:rsid w:val="00B42731"/>
    <w:rsid w:val="00B436EC"/>
    <w:rsid w:val="00B47271"/>
    <w:rsid w:val="00B51A84"/>
    <w:rsid w:val="00B51B6F"/>
    <w:rsid w:val="00B5544B"/>
    <w:rsid w:val="00B55A83"/>
    <w:rsid w:val="00B74A05"/>
    <w:rsid w:val="00B758D2"/>
    <w:rsid w:val="00B93F55"/>
    <w:rsid w:val="00B95484"/>
    <w:rsid w:val="00BB173E"/>
    <w:rsid w:val="00BB5E1F"/>
    <w:rsid w:val="00BC0086"/>
    <w:rsid w:val="00BC5A74"/>
    <w:rsid w:val="00BE3EF5"/>
    <w:rsid w:val="00BF4BC8"/>
    <w:rsid w:val="00BF787E"/>
    <w:rsid w:val="00C03429"/>
    <w:rsid w:val="00C11873"/>
    <w:rsid w:val="00C20E13"/>
    <w:rsid w:val="00C337ED"/>
    <w:rsid w:val="00C45174"/>
    <w:rsid w:val="00C621DB"/>
    <w:rsid w:val="00C719E8"/>
    <w:rsid w:val="00C8179F"/>
    <w:rsid w:val="00C81878"/>
    <w:rsid w:val="00C84F81"/>
    <w:rsid w:val="00C859B4"/>
    <w:rsid w:val="00CA21C4"/>
    <w:rsid w:val="00CB4A20"/>
    <w:rsid w:val="00CB5425"/>
    <w:rsid w:val="00CD0265"/>
    <w:rsid w:val="00CE4041"/>
    <w:rsid w:val="00CF4E05"/>
    <w:rsid w:val="00D0231F"/>
    <w:rsid w:val="00D025DE"/>
    <w:rsid w:val="00D139BE"/>
    <w:rsid w:val="00D14B93"/>
    <w:rsid w:val="00D17909"/>
    <w:rsid w:val="00D32125"/>
    <w:rsid w:val="00D37ED0"/>
    <w:rsid w:val="00D43B4F"/>
    <w:rsid w:val="00D45D42"/>
    <w:rsid w:val="00D5135C"/>
    <w:rsid w:val="00D54CD1"/>
    <w:rsid w:val="00D85B6D"/>
    <w:rsid w:val="00D942BD"/>
    <w:rsid w:val="00DB2C73"/>
    <w:rsid w:val="00DB346E"/>
    <w:rsid w:val="00DC06F4"/>
    <w:rsid w:val="00DC5A1C"/>
    <w:rsid w:val="00DD5029"/>
    <w:rsid w:val="00DD65CD"/>
    <w:rsid w:val="00DD6D59"/>
    <w:rsid w:val="00DF672E"/>
    <w:rsid w:val="00DF72B4"/>
    <w:rsid w:val="00E0251A"/>
    <w:rsid w:val="00E03632"/>
    <w:rsid w:val="00E0529F"/>
    <w:rsid w:val="00E23526"/>
    <w:rsid w:val="00E36D3C"/>
    <w:rsid w:val="00E61E91"/>
    <w:rsid w:val="00E809A5"/>
    <w:rsid w:val="00E90D07"/>
    <w:rsid w:val="00E973A6"/>
    <w:rsid w:val="00EB44D9"/>
    <w:rsid w:val="00EB719B"/>
    <w:rsid w:val="00EF665A"/>
    <w:rsid w:val="00F10C75"/>
    <w:rsid w:val="00F128C2"/>
    <w:rsid w:val="00F16F90"/>
    <w:rsid w:val="00F2152F"/>
    <w:rsid w:val="00F42737"/>
    <w:rsid w:val="00F746D5"/>
    <w:rsid w:val="00FA2168"/>
    <w:rsid w:val="00FA54BC"/>
    <w:rsid w:val="00FA77F9"/>
    <w:rsid w:val="00FB2CD1"/>
    <w:rsid w:val="00FB379A"/>
    <w:rsid w:val="00FC5BCB"/>
    <w:rsid w:val="00FD0388"/>
    <w:rsid w:val="00FD179E"/>
    <w:rsid w:val="00FE411D"/>
    <w:rsid w:val="00FF0EE6"/>
    <w:rsid w:val="00FF352A"/>
    <w:rsid w:val="00FF46B8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D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F4"/>
    <w:pPr>
      <w:ind w:left="720"/>
      <w:contextualSpacing/>
    </w:pPr>
  </w:style>
  <w:style w:type="character" w:styleId="Hyperlink">
    <w:name w:val="Hyperlink"/>
    <w:uiPriority w:val="99"/>
    <w:unhideWhenUsed/>
    <w:rsid w:val="00FD17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00A5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00A54"/>
  </w:style>
  <w:style w:type="character" w:styleId="Emphasis">
    <w:name w:val="Emphasis"/>
    <w:basedOn w:val="DefaultParagraphFont"/>
    <w:uiPriority w:val="20"/>
    <w:qFormat/>
    <w:rsid w:val="00E61E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F4"/>
    <w:pPr>
      <w:ind w:left="720"/>
      <w:contextualSpacing/>
    </w:pPr>
  </w:style>
  <w:style w:type="character" w:styleId="Hyperlink">
    <w:name w:val="Hyperlink"/>
    <w:uiPriority w:val="99"/>
    <w:unhideWhenUsed/>
    <w:rsid w:val="00FD17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00A5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00A54"/>
  </w:style>
  <w:style w:type="character" w:styleId="Emphasis">
    <w:name w:val="Emphasis"/>
    <w:basedOn w:val="DefaultParagraphFont"/>
    <w:uiPriority w:val="20"/>
    <w:qFormat/>
    <w:rsid w:val="00E61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psintl.com/AMPS/related/AONE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2268</Words>
  <Characters>12928</Characters>
  <Application>Microsoft Macintosh Word</Application>
  <DocSecurity>0</DocSecurity>
  <Lines>107</Lines>
  <Paragraphs>30</Paragraphs>
  <ScaleCrop>false</ScaleCrop>
  <Company>The University of North Carolina at Chapel Hill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Scronce</dc:creator>
  <cp:keywords/>
  <dc:description/>
  <cp:lastModifiedBy>Brennan Ehlinger</cp:lastModifiedBy>
  <cp:revision>22</cp:revision>
  <dcterms:created xsi:type="dcterms:W3CDTF">2017-03-20T17:18:00Z</dcterms:created>
  <dcterms:modified xsi:type="dcterms:W3CDTF">2017-06-04T16:33:00Z</dcterms:modified>
</cp:coreProperties>
</file>