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1E0" w:firstRow="1" w:lastRow="1" w:firstColumn="1" w:lastColumn="1" w:noHBand="0" w:noVBand="0"/>
      </w:tblPr>
      <w:tblGrid>
        <w:gridCol w:w="10421"/>
      </w:tblGrid>
      <w:tr w:rsidR="005263ED" w:rsidRPr="008313E2" w14:paraId="32B15CA2" w14:textId="77777777" w:rsidTr="002F16E1">
        <w:tc>
          <w:tcPr>
            <w:tcW w:w="10421" w:type="dxa"/>
            <w:shd w:val="clear" w:color="auto" w:fill="auto"/>
          </w:tcPr>
          <w:p w14:paraId="1C3830B5" w14:textId="77777777" w:rsidR="005263ED" w:rsidRPr="008313E2" w:rsidRDefault="00196026" w:rsidP="002F16E1">
            <w:pPr>
              <w:jc w:val="center"/>
              <w:rPr>
                <w:b/>
              </w:rPr>
            </w:pPr>
            <w:r w:rsidRPr="008313E2">
              <w:rPr>
                <w:b/>
              </w:rPr>
              <w:t>CRITICALLY APPRAISED TOPIC</w:t>
            </w:r>
          </w:p>
        </w:tc>
      </w:tr>
    </w:tbl>
    <w:p w14:paraId="593B7443" w14:textId="77777777" w:rsidR="008B5180" w:rsidRPr="008313E2" w:rsidRDefault="00E45289" w:rsidP="00196026">
      <w:pPr>
        <w:spacing w:before="120" w:after="120"/>
        <w:rPr>
          <w:b/>
        </w:rPr>
      </w:pPr>
      <w:r w:rsidRPr="008313E2">
        <w:rPr>
          <w:b/>
        </w:rPr>
        <w:t xml:space="preserve">FOCUSED </w:t>
      </w:r>
      <w:r w:rsidR="00554FFC" w:rsidRPr="008313E2">
        <w:rPr>
          <w:b/>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8B5180" w:rsidRPr="008313E2" w14:paraId="5BD8D87D" w14:textId="77777777" w:rsidTr="002F16E1">
        <w:tc>
          <w:tcPr>
            <w:tcW w:w="10421" w:type="dxa"/>
            <w:shd w:val="clear" w:color="auto" w:fill="auto"/>
          </w:tcPr>
          <w:p w14:paraId="58E81E22" w14:textId="579DCD2F" w:rsidR="008B5180" w:rsidRPr="008313E2" w:rsidRDefault="00503385" w:rsidP="002F16E1">
            <w:pPr>
              <w:spacing w:before="120" w:after="120"/>
            </w:pPr>
            <w:r w:rsidRPr="008313E2">
              <w:t>For high school and/or collegiate female soccer players does an ACL prevention program reduce the incidence of ACL tears compared to not participating in an ACL prevention program?</w:t>
            </w:r>
          </w:p>
        </w:tc>
      </w:tr>
    </w:tbl>
    <w:p w14:paraId="28F620F5" w14:textId="77777777" w:rsidR="00554FFC" w:rsidRPr="008313E2" w:rsidRDefault="00554FFC" w:rsidP="00077862">
      <w:pPr>
        <w:spacing w:before="120" w:after="120"/>
        <w:rPr>
          <w:b/>
        </w:rPr>
      </w:pPr>
    </w:p>
    <w:p w14:paraId="055B1FEA" w14:textId="77777777" w:rsidR="000F3690" w:rsidRPr="008313E2" w:rsidRDefault="00A66A42" w:rsidP="00077862">
      <w:pPr>
        <w:spacing w:before="120" w:after="120"/>
        <w:rPr>
          <w:b/>
        </w:rPr>
      </w:pPr>
      <w:r w:rsidRPr="008313E2">
        <w:rPr>
          <w:b/>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800"/>
        <w:gridCol w:w="1107"/>
        <w:gridCol w:w="2606"/>
      </w:tblGrid>
      <w:tr w:rsidR="003A6741" w:rsidRPr="008313E2" w14:paraId="6B2FBC1E" w14:textId="77777777" w:rsidTr="002F16E1">
        <w:tc>
          <w:tcPr>
            <w:tcW w:w="1908" w:type="dxa"/>
            <w:shd w:val="clear" w:color="auto" w:fill="auto"/>
          </w:tcPr>
          <w:p w14:paraId="13E3FD5F" w14:textId="77777777" w:rsidR="003A6741" w:rsidRPr="008313E2" w:rsidRDefault="008B5180" w:rsidP="002F16E1">
            <w:pPr>
              <w:spacing w:before="120" w:after="120"/>
              <w:rPr>
                <w:b/>
              </w:rPr>
            </w:pPr>
            <w:r w:rsidRPr="008313E2">
              <w:rPr>
                <w:b/>
              </w:rPr>
              <w:t>Prepared by</w:t>
            </w:r>
          </w:p>
        </w:tc>
        <w:tc>
          <w:tcPr>
            <w:tcW w:w="4800" w:type="dxa"/>
            <w:shd w:val="clear" w:color="auto" w:fill="auto"/>
          </w:tcPr>
          <w:p w14:paraId="2C7BE32E" w14:textId="5BD55A77" w:rsidR="003A6741" w:rsidRPr="008313E2" w:rsidRDefault="00503385" w:rsidP="002F16E1">
            <w:pPr>
              <w:spacing w:before="120" w:after="120"/>
            </w:pPr>
            <w:r w:rsidRPr="008313E2">
              <w:t>Andrew Kohler</w:t>
            </w:r>
          </w:p>
        </w:tc>
        <w:tc>
          <w:tcPr>
            <w:tcW w:w="1107" w:type="dxa"/>
            <w:shd w:val="clear" w:color="auto" w:fill="auto"/>
          </w:tcPr>
          <w:p w14:paraId="27C721FF" w14:textId="77777777" w:rsidR="003A6741" w:rsidRPr="008313E2" w:rsidRDefault="003A6741" w:rsidP="002F16E1">
            <w:pPr>
              <w:spacing w:before="120" w:after="120"/>
              <w:rPr>
                <w:b/>
              </w:rPr>
            </w:pPr>
            <w:r w:rsidRPr="008313E2">
              <w:rPr>
                <w:b/>
              </w:rPr>
              <w:t>Date</w:t>
            </w:r>
          </w:p>
        </w:tc>
        <w:tc>
          <w:tcPr>
            <w:tcW w:w="2606" w:type="dxa"/>
            <w:shd w:val="clear" w:color="auto" w:fill="auto"/>
          </w:tcPr>
          <w:p w14:paraId="1D6FF5A7" w14:textId="49A004A1" w:rsidR="003A6741" w:rsidRPr="008313E2" w:rsidRDefault="00503385" w:rsidP="002F16E1">
            <w:pPr>
              <w:spacing w:before="120" w:after="120"/>
            </w:pPr>
            <w:r w:rsidRPr="008313E2">
              <w:t>11/24/2015</w:t>
            </w:r>
          </w:p>
        </w:tc>
      </w:tr>
      <w:tr w:rsidR="008B031E" w:rsidRPr="008313E2" w14:paraId="5EB2BDD4" w14:textId="77777777" w:rsidTr="002F16E1">
        <w:tc>
          <w:tcPr>
            <w:tcW w:w="1908" w:type="dxa"/>
            <w:shd w:val="clear" w:color="auto" w:fill="auto"/>
          </w:tcPr>
          <w:p w14:paraId="2150AA6F" w14:textId="77777777" w:rsidR="008B031E" w:rsidRPr="008313E2" w:rsidRDefault="008B031E" w:rsidP="002F16E1">
            <w:pPr>
              <w:spacing w:before="120" w:after="120"/>
              <w:rPr>
                <w:b/>
              </w:rPr>
            </w:pPr>
            <w:r w:rsidRPr="008313E2">
              <w:rPr>
                <w:b/>
              </w:rPr>
              <w:t>Email address</w:t>
            </w:r>
          </w:p>
        </w:tc>
        <w:tc>
          <w:tcPr>
            <w:tcW w:w="8513" w:type="dxa"/>
            <w:gridSpan w:val="3"/>
            <w:shd w:val="clear" w:color="auto" w:fill="auto"/>
          </w:tcPr>
          <w:p w14:paraId="2EA72E94" w14:textId="22FC71A1" w:rsidR="008B031E" w:rsidRPr="008313E2" w:rsidRDefault="00503385" w:rsidP="002F16E1">
            <w:pPr>
              <w:spacing w:before="120" w:after="120"/>
            </w:pPr>
            <w:r w:rsidRPr="008313E2">
              <w:t>akohler@med.unc.edu</w:t>
            </w:r>
          </w:p>
        </w:tc>
      </w:tr>
    </w:tbl>
    <w:p w14:paraId="0A295499" w14:textId="77777777" w:rsidR="00554FFC" w:rsidRPr="008313E2" w:rsidRDefault="00554FFC" w:rsidP="00A66A42">
      <w:pPr>
        <w:spacing w:before="120" w:after="120"/>
        <w:rPr>
          <w:b/>
        </w:rPr>
      </w:pPr>
    </w:p>
    <w:p w14:paraId="6E9F183E" w14:textId="77777777" w:rsidR="00FE7D95" w:rsidRPr="008313E2" w:rsidRDefault="00A66A42" w:rsidP="00A66A42">
      <w:pPr>
        <w:spacing w:before="120" w:after="120"/>
        <w:rPr>
          <w:b/>
        </w:rPr>
      </w:pPr>
      <w:r w:rsidRPr="008313E2">
        <w:rPr>
          <w:b/>
        </w:rPr>
        <w:t>CLINI</w:t>
      </w:r>
      <w:r w:rsidR="00E45289" w:rsidRPr="008313E2">
        <w:rPr>
          <w:b/>
        </w:rPr>
        <w:t>C</w:t>
      </w:r>
      <w:r w:rsidRPr="008313E2">
        <w:rPr>
          <w:b/>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A66A42" w:rsidRPr="008313E2" w14:paraId="0A6126E4" w14:textId="77777777" w:rsidTr="002F16E1">
        <w:tc>
          <w:tcPr>
            <w:tcW w:w="10421" w:type="dxa"/>
            <w:shd w:val="clear" w:color="auto" w:fill="auto"/>
          </w:tcPr>
          <w:p w14:paraId="5FA2FA17" w14:textId="742B46AD" w:rsidR="00A66A42" w:rsidRPr="008313E2" w:rsidRDefault="00BC7F74" w:rsidP="002F16E1">
            <w:pPr>
              <w:spacing w:before="120" w:after="120"/>
            </w:pPr>
            <w:r w:rsidRPr="008313E2">
              <w:t xml:space="preserve">In my first outpatient </w:t>
            </w:r>
            <w:proofErr w:type="spellStart"/>
            <w:r w:rsidRPr="008313E2">
              <w:t>ortho</w:t>
            </w:r>
            <w:proofErr w:type="spellEnd"/>
            <w:r w:rsidRPr="008313E2">
              <w:t xml:space="preserve"> clinical rotation we had a high school female soccer player rehabbing s/p ACL reconstruction. She, nor was her school, involved with any sort of ACL prevention program or warm-up routine. I am aware of these ACL prevention programs and was going to assist in leading one but it was cancelled. I know that some of the major soccer clubs and international teams in Europe participate in similar warm-ups and I was interested at how effective they are at preventing ACL tears. If programs such as these are beneficial at preventing injury in practice and games then sufficient evidence should be presented to high schools and college teams to implement prevention programs in their practice and game day warm-up routine.</w:t>
            </w:r>
          </w:p>
        </w:tc>
      </w:tr>
    </w:tbl>
    <w:p w14:paraId="4C1DA6D5" w14:textId="77777777" w:rsidR="00554FFC" w:rsidRPr="008313E2" w:rsidRDefault="00554FFC" w:rsidP="00A66A42">
      <w:pPr>
        <w:spacing w:before="120"/>
        <w:rPr>
          <w:b/>
        </w:rPr>
      </w:pPr>
    </w:p>
    <w:p w14:paraId="28962773" w14:textId="77777777" w:rsidR="00A66A42" w:rsidRPr="008313E2" w:rsidRDefault="00A66A42" w:rsidP="00A66A42">
      <w:pPr>
        <w:spacing w:before="120"/>
        <w:rPr>
          <w:b/>
        </w:rPr>
      </w:pPr>
      <w:r w:rsidRPr="008313E2">
        <w:rPr>
          <w:b/>
        </w:rPr>
        <w:t>SUMMARY OF SEARCH</w:t>
      </w:r>
    </w:p>
    <w:p w14:paraId="23743A1A" w14:textId="77777777" w:rsidR="00A66A42" w:rsidRPr="008313E2" w:rsidRDefault="00A66A42" w:rsidP="00A66A42">
      <w:pPr>
        <w:spacing w:after="120"/>
      </w:pPr>
      <w:r w:rsidRPr="008313E2">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A66A42" w:rsidRPr="008313E2" w14:paraId="3CB66A3D" w14:textId="77777777" w:rsidTr="002F16E1">
        <w:tc>
          <w:tcPr>
            <w:tcW w:w="10421" w:type="dxa"/>
            <w:shd w:val="clear" w:color="auto" w:fill="auto"/>
          </w:tcPr>
          <w:p w14:paraId="3CE5AA52" w14:textId="3A84D63D" w:rsidR="00A66A42" w:rsidRDefault="005D016F" w:rsidP="005D016F">
            <w:pPr>
              <w:pStyle w:val="ListParagraph"/>
              <w:numPr>
                <w:ilvl w:val="0"/>
                <w:numId w:val="37"/>
              </w:numPr>
              <w:spacing w:before="120" w:after="120"/>
            </w:pPr>
            <w:r>
              <w:t xml:space="preserve">ACL prevention programs can significantly reduce the incidence and injury rate of ACL injuries among the female high school and collegiate soccer players. </w:t>
            </w:r>
          </w:p>
          <w:p w14:paraId="24DC4209" w14:textId="6430B75B" w:rsidR="005D016F" w:rsidRDefault="005D016F" w:rsidP="005D016F">
            <w:pPr>
              <w:pStyle w:val="ListParagraph"/>
              <w:numPr>
                <w:ilvl w:val="0"/>
                <w:numId w:val="37"/>
              </w:numPr>
              <w:spacing w:before="120" w:after="120"/>
            </w:pPr>
            <w:r>
              <w:t xml:space="preserve">The best ACL prevention programs are multicomponent and focus on </w:t>
            </w:r>
            <w:proofErr w:type="spellStart"/>
            <w:r>
              <w:t>plyometrics</w:t>
            </w:r>
            <w:proofErr w:type="spellEnd"/>
            <w:r>
              <w:t>, strengthening, dynamic stabilization, sport-specific agility drills, and education feedback on technique.</w:t>
            </w:r>
          </w:p>
          <w:p w14:paraId="3BF71352" w14:textId="6C662485" w:rsidR="005D016F" w:rsidRDefault="005D016F" w:rsidP="005D016F">
            <w:pPr>
              <w:pStyle w:val="ListParagraph"/>
              <w:numPr>
                <w:ilvl w:val="0"/>
                <w:numId w:val="37"/>
              </w:numPr>
              <w:spacing w:before="120" w:after="120"/>
            </w:pPr>
            <w:r>
              <w:t xml:space="preserve">It is recommended to begin a prevention program during the preseason, preferably 6 weeks before the season, and continue the program throughout the season 1 -2 times a week. </w:t>
            </w:r>
          </w:p>
          <w:p w14:paraId="7E13126A" w14:textId="6582E77E" w:rsidR="00A66A42" w:rsidRPr="008313E2" w:rsidRDefault="005D016F" w:rsidP="002F16E1">
            <w:pPr>
              <w:pStyle w:val="ListParagraph"/>
              <w:numPr>
                <w:ilvl w:val="0"/>
                <w:numId w:val="37"/>
              </w:numPr>
              <w:spacing w:before="120" w:after="120"/>
            </w:pPr>
            <w:r>
              <w:t>Key points for future research include more high-quality randomized control trials with consistent component design.</w:t>
            </w:r>
          </w:p>
        </w:tc>
      </w:tr>
    </w:tbl>
    <w:p w14:paraId="3D167835" w14:textId="77777777" w:rsidR="00A66A42" w:rsidRPr="008313E2" w:rsidRDefault="00637684" w:rsidP="00637684">
      <w:pPr>
        <w:spacing w:before="120" w:after="120"/>
        <w:rPr>
          <w:b/>
        </w:rPr>
      </w:pPr>
      <w:r w:rsidRPr="008313E2">
        <w:rPr>
          <w:b/>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637684" w:rsidRPr="008313E2" w14:paraId="07A546BD" w14:textId="77777777" w:rsidTr="002F16E1">
        <w:tc>
          <w:tcPr>
            <w:tcW w:w="10421" w:type="dxa"/>
            <w:shd w:val="clear" w:color="auto" w:fill="auto"/>
          </w:tcPr>
          <w:p w14:paraId="5BDB5052" w14:textId="5FB7AF17" w:rsidR="00637684" w:rsidRPr="008313E2" w:rsidRDefault="005D016F" w:rsidP="002F16E1">
            <w:pPr>
              <w:spacing w:before="120" w:after="120"/>
            </w:pPr>
            <w:r>
              <w:t>Current literature supports favourabl</w:t>
            </w:r>
            <w:r w:rsidR="003B4493">
              <w:t>e evidence that an ACL prevention program implemented in the pre-season and season focused on neuromuscular components (</w:t>
            </w:r>
            <w:proofErr w:type="spellStart"/>
            <w:r w:rsidR="003B4493">
              <w:t>plyometrics</w:t>
            </w:r>
            <w:proofErr w:type="spellEnd"/>
            <w:r w:rsidR="003B4493">
              <w:t>, strength, soccer-</w:t>
            </w:r>
            <w:proofErr w:type="spellStart"/>
            <w:r w:rsidR="003B4493">
              <w:t>spefici</w:t>
            </w:r>
            <w:proofErr w:type="spellEnd"/>
            <w:r w:rsidR="003B4493">
              <w:t xml:space="preserve"> agility drills, and dynamic stabilization) can reduce the incidence and injury rate of ACL injuries in female high school and collegiate soccer athletes. </w:t>
            </w:r>
          </w:p>
        </w:tc>
      </w:tr>
    </w:tbl>
    <w:p w14:paraId="6A97782E" w14:textId="77777777" w:rsidR="00637684" w:rsidRPr="008313E2" w:rsidRDefault="00637684" w:rsidP="005263ED">
      <w:pPr>
        <w:spacing w:before="120" w:after="12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421"/>
      </w:tblGrid>
      <w:tr w:rsidR="00637684" w:rsidRPr="008313E2" w14:paraId="6F73E973" w14:textId="77777777" w:rsidTr="002F16E1">
        <w:tc>
          <w:tcPr>
            <w:tcW w:w="10421" w:type="dxa"/>
            <w:shd w:val="clear" w:color="auto" w:fill="E6E6E6"/>
          </w:tcPr>
          <w:p w14:paraId="4FEA6D67" w14:textId="77777777" w:rsidR="00637684" w:rsidRPr="008313E2" w:rsidRDefault="00637684" w:rsidP="00554FFC">
            <w:pPr>
              <w:spacing w:before="120" w:after="120"/>
              <w:jc w:val="center"/>
              <w:rPr>
                <w:b/>
                <w:i/>
              </w:rPr>
            </w:pPr>
            <w:r w:rsidRPr="008313E2">
              <w:rPr>
                <w:b/>
                <w:i/>
              </w:rPr>
              <w:t xml:space="preserve">This critically appraised </w:t>
            </w:r>
            <w:r w:rsidR="00554FFC" w:rsidRPr="008313E2">
              <w:rPr>
                <w:b/>
                <w:i/>
              </w:rPr>
              <w:t>topic</w:t>
            </w:r>
            <w:r w:rsidRPr="008313E2">
              <w:rPr>
                <w:b/>
                <w:i/>
              </w:rPr>
              <w:t xml:space="preserve"> has </w:t>
            </w:r>
            <w:r w:rsidR="00554FFC" w:rsidRPr="008313E2">
              <w:rPr>
                <w:b/>
                <w:i/>
              </w:rPr>
              <w:t>been individually prepared as part of a course requirement and has been peer-reviewed by one other independent course instructor</w:t>
            </w:r>
          </w:p>
        </w:tc>
      </w:tr>
    </w:tbl>
    <w:p w14:paraId="5981A259" w14:textId="77777777" w:rsidR="00554FFC" w:rsidRPr="008313E2" w:rsidRDefault="00554FFC" w:rsidP="00554FFC">
      <w:pPr>
        <w:spacing w:before="120" w:after="120"/>
        <w:rPr>
          <w:b/>
        </w:rPr>
      </w:pPr>
      <w:r w:rsidRPr="008313E2">
        <w:rPr>
          <w:b/>
        </w:rPr>
        <w:br w:type="page"/>
      </w:r>
      <w:r w:rsidRPr="008313E2">
        <w:rPr>
          <w:b/>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5"/>
        <w:gridCol w:w="2910"/>
        <w:gridCol w:w="2386"/>
        <w:gridCol w:w="2600"/>
      </w:tblGrid>
      <w:tr w:rsidR="00554FFC" w:rsidRPr="008313E2" w14:paraId="30162BC9" w14:textId="77777777" w:rsidTr="00B164D1">
        <w:tc>
          <w:tcPr>
            <w:tcW w:w="10421" w:type="dxa"/>
            <w:gridSpan w:val="4"/>
            <w:shd w:val="clear" w:color="auto" w:fill="E6E6E6"/>
          </w:tcPr>
          <w:p w14:paraId="5D3E0A18" w14:textId="77777777" w:rsidR="00554FFC" w:rsidRPr="008313E2" w:rsidRDefault="00554FFC" w:rsidP="009E380F">
            <w:pPr>
              <w:spacing w:before="120" w:after="120"/>
              <w:rPr>
                <w:b/>
              </w:rPr>
            </w:pPr>
            <w:r w:rsidRPr="008313E2">
              <w:rPr>
                <w:b/>
              </w:rPr>
              <w:t>Terms used to guide the search strategy</w:t>
            </w:r>
          </w:p>
        </w:tc>
      </w:tr>
      <w:tr w:rsidR="00554FFC" w:rsidRPr="008313E2" w14:paraId="0CED0664" w14:textId="77777777" w:rsidTr="00B164D1">
        <w:tc>
          <w:tcPr>
            <w:tcW w:w="2525" w:type="dxa"/>
            <w:tcBorders>
              <w:right w:val="single" w:sz="8" w:space="0" w:color="auto"/>
            </w:tcBorders>
            <w:shd w:val="clear" w:color="auto" w:fill="auto"/>
          </w:tcPr>
          <w:p w14:paraId="5D9A9B87" w14:textId="77777777" w:rsidR="00554FFC" w:rsidRPr="008313E2" w:rsidRDefault="00554FFC" w:rsidP="009E380F">
            <w:pPr>
              <w:spacing w:before="120" w:after="120"/>
            </w:pPr>
            <w:r w:rsidRPr="008313E2">
              <w:rPr>
                <w:b/>
                <w:u w:val="single"/>
              </w:rPr>
              <w:t>P</w:t>
            </w:r>
            <w:r w:rsidRPr="008313E2">
              <w:t>atient/Client Group</w:t>
            </w:r>
          </w:p>
        </w:tc>
        <w:tc>
          <w:tcPr>
            <w:tcW w:w="2910" w:type="dxa"/>
            <w:tcBorders>
              <w:left w:val="single" w:sz="8" w:space="0" w:color="auto"/>
            </w:tcBorders>
            <w:shd w:val="clear" w:color="auto" w:fill="auto"/>
          </w:tcPr>
          <w:p w14:paraId="0F4D7E43" w14:textId="77777777" w:rsidR="00554FFC" w:rsidRPr="008313E2" w:rsidRDefault="00554FFC" w:rsidP="009E380F">
            <w:pPr>
              <w:spacing w:before="120" w:after="120"/>
            </w:pPr>
            <w:r w:rsidRPr="008313E2">
              <w:rPr>
                <w:b/>
                <w:u w:val="single"/>
              </w:rPr>
              <w:t>I</w:t>
            </w:r>
            <w:r w:rsidRPr="008313E2">
              <w:t>ntervention (or Assessment)</w:t>
            </w:r>
          </w:p>
        </w:tc>
        <w:tc>
          <w:tcPr>
            <w:tcW w:w="2386" w:type="dxa"/>
            <w:tcBorders>
              <w:left w:val="single" w:sz="8" w:space="0" w:color="auto"/>
            </w:tcBorders>
            <w:shd w:val="clear" w:color="auto" w:fill="auto"/>
          </w:tcPr>
          <w:p w14:paraId="2AF17941" w14:textId="77777777" w:rsidR="00554FFC" w:rsidRPr="008313E2" w:rsidRDefault="00554FFC" w:rsidP="009E380F">
            <w:pPr>
              <w:spacing w:before="120" w:after="120"/>
            </w:pPr>
            <w:r w:rsidRPr="008313E2">
              <w:rPr>
                <w:b/>
                <w:u w:val="single"/>
              </w:rPr>
              <w:t>C</w:t>
            </w:r>
            <w:r w:rsidRPr="008313E2">
              <w:t>omparison</w:t>
            </w:r>
          </w:p>
        </w:tc>
        <w:tc>
          <w:tcPr>
            <w:tcW w:w="2600" w:type="dxa"/>
            <w:tcBorders>
              <w:left w:val="single" w:sz="8" w:space="0" w:color="auto"/>
            </w:tcBorders>
            <w:shd w:val="clear" w:color="auto" w:fill="auto"/>
          </w:tcPr>
          <w:p w14:paraId="0CC56CD6" w14:textId="77777777" w:rsidR="00554FFC" w:rsidRPr="008313E2" w:rsidRDefault="00554FFC" w:rsidP="009E380F">
            <w:pPr>
              <w:spacing w:before="120" w:after="120"/>
            </w:pPr>
            <w:r w:rsidRPr="008313E2">
              <w:rPr>
                <w:b/>
                <w:u w:val="single"/>
              </w:rPr>
              <w:t>O</w:t>
            </w:r>
            <w:r w:rsidRPr="008313E2">
              <w:t>utcome(s)</w:t>
            </w:r>
          </w:p>
        </w:tc>
      </w:tr>
      <w:tr w:rsidR="00B164D1" w:rsidRPr="008313E2" w14:paraId="4DD8122C" w14:textId="77777777" w:rsidTr="00B164D1">
        <w:tc>
          <w:tcPr>
            <w:tcW w:w="2525" w:type="dxa"/>
            <w:tcBorders>
              <w:right w:val="single" w:sz="8" w:space="0" w:color="auto"/>
            </w:tcBorders>
            <w:shd w:val="clear" w:color="auto" w:fill="auto"/>
          </w:tcPr>
          <w:p w14:paraId="3F9BFD3A" w14:textId="77777777" w:rsidR="00B164D1" w:rsidRPr="008313E2" w:rsidRDefault="00B164D1" w:rsidP="00BC7F74">
            <w:pPr>
              <w:spacing w:before="120" w:after="120"/>
            </w:pPr>
            <w:r w:rsidRPr="008313E2">
              <w:t>Soccer player</w:t>
            </w:r>
          </w:p>
          <w:p w14:paraId="5E4E691E" w14:textId="77777777" w:rsidR="00B164D1" w:rsidRPr="008313E2" w:rsidRDefault="00B164D1" w:rsidP="00BC7F74">
            <w:pPr>
              <w:spacing w:before="120" w:after="120"/>
            </w:pPr>
            <w:r w:rsidRPr="008313E2">
              <w:t>Female</w:t>
            </w:r>
          </w:p>
          <w:p w14:paraId="012395F2" w14:textId="77777777" w:rsidR="00B164D1" w:rsidRPr="008313E2" w:rsidRDefault="00B164D1" w:rsidP="00BC7F74">
            <w:pPr>
              <w:spacing w:before="120" w:after="120"/>
            </w:pPr>
            <w:r w:rsidRPr="008313E2">
              <w:t>Athlete</w:t>
            </w:r>
          </w:p>
          <w:p w14:paraId="4D3C038F" w14:textId="77777777" w:rsidR="00B164D1" w:rsidRPr="008313E2" w:rsidRDefault="00B164D1" w:rsidP="00BC7F74">
            <w:pPr>
              <w:spacing w:before="120" w:after="120"/>
            </w:pPr>
            <w:r w:rsidRPr="008313E2">
              <w:t xml:space="preserve">College </w:t>
            </w:r>
          </w:p>
          <w:p w14:paraId="126169F5" w14:textId="77777777" w:rsidR="00B164D1" w:rsidRPr="008313E2" w:rsidRDefault="00B164D1" w:rsidP="00BC7F74">
            <w:pPr>
              <w:spacing w:before="120" w:after="120"/>
            </w:pPr>
            <w:r w:rsidRPr="008313E2">
              <w:t>High school</w:t>
            </w:r>
          </w:p>
          <w:p w14:paraId="3E2A9540" w14:textId="77777777" w:rsidR="00B164D1" w:rsidRPr="008313E2" w:rsidRDefault="00B164D1" w:rsidP="00BC7F74">
            <w:pPr>
              <w:spacing w:before="120" w:after="120"/>
            </w:pPr>
            <w:r w:rsidRPr="008313E2">
              <w:t xml:space="preserve">Adolescent </w:t>
            </w:r>
          </w:p>
          <w:p w14:paraId="02AC8967" w14:textId="77777777" w:rsidR="00B164D1" w:rsidRPr="008313E2" w:rsidRDefault="00B164D1" w:rsidP="00BC7F74">
            <w:pPr>
              <w:spacing w:before="120" w:after="120"/>
            </w:pPr>
            <w:r w:rsidRPr="008313E2">
              <w:t>Young adult</w:t>
            </w:r>
          </w:p>
          <w:p w14:paraId="7C1AEA17" w14:textId="02EC5819" w:rsidR="00B164D1" w:rsidRPr="008313E2" w:rsidRDefault="00B164D1" w:rsidP="009E380F">
            <w:pPr>
              <w:spacing w:before="120" w:after="120"/>
            </w:pPr>
            <w:r w:rsidRPr="008313E2">
              <w:t>Sports</w:t>
            </w:r>
          </w:p>
        </w:tc>
        <w:tc>
          <w:tcPr>
            <w:tcW w:w="2910" w:type="dxa"/>
            <w:tcBorders>
              <w:left w:val="single" w:sz="8" w:space="0" w:color="auto"/>
            </w:tcBorders>
            <w:shd w:val="clear" w:color="auto" w:fill="auto"/>
          </w:tcPr>
          <w:p w14:paraId="340ECD88" w14:textId="77777777" w:rsidR="00B164D1" w:rsidRPr="008313E2" w:rsidRDefault="00B164D1" w:rsidP="00BC7F74">
            <w:pPr>
              <w:spacing w:before="120" w:after="120"/>
            </w:pPr>
            <w:r w:rsidRPr="008313E2">
              <w:t>ACL</w:t>
            </w:r>
          </w:p>
          <w:p w14:paraId="36EFB5F8" w14:textId="77777777" w:rsidR="00B164D1" w:rsidRPr="008313E2" w:rsidRDefault="00B164D1" w:rsidP="00BC7F74">
            <w:pPr>
              <w:spacing w:before="120" w:after="120"/>
            </w:pPr>
            <w:r w:rsidRPr="008313E2">
              <w:t xml:space="preserve">Prevention </w:t>
            </w:r>
          </w:p>
          <w:p w14:paraId="2524C396" w14:textId="77777777" w:rsidR="00B164D1" w:rsidRPr="008313E2" w:rsidRDefault="00B164D1" w:rsidP="00BC7F74">
            <w:pPr>
              <w:spacing w:before="120" w:after="120"/>
            </w:pPr>
            <w:r w:rsidRPr="008313E2">
              <w:t>Program</w:t>
            </w:r>
          </w:p>
          <w:p w14:paraId="0E7018D4" w14:textId="77777777" w:rsidR="00B164D1" w:rsidRPr="008313E2" w:rsidRDefault="00B164D1" w:rsidP="00BC7F74">
            <w:pPr>
              <w:spacing w:before="120" w:after="120"/>
            </w:pPr>
            <w:r w:rsidRPr="008313E2">
              <w:t>Warm-up</w:t>
            </w:r>
          </w:p>
          <w:p w14:paraId="7D752D7E" w14:textId="77777777" w:rsidR="00B164D1" w:rsidRPr="008313E2" w:rsidRDefault="00B164D1" w:rsidP="00BC7F74">
            <w:pPr>
              <w:spacing w:before="120" w:after="120"/>
            </w:pPr>
            <w:r w:rsidRPr="008313E2">
              <w:t>Warm up</w:t>
            </w:r>
          </w:p>
          <w:p w14:paraId="135F289F" w14:textId="77777777" w:rsidR="00B164D1" w:rsidRPr="008313E2" w:rsidRDefault="00B164D1" w:rsidP="00BC7F74">
            <w:pPr>
              <w:spacing w:before="120" w:after="120"/>
            </w:pPr>
            <w:r w:rsidRPr="008313E2">
              <w:t>Train*</w:t>
            </w:r>
          </w:p>
          <w:p w14:paraId="44A61A54" w14:textId="77777777" w:rsidR="00B164D1" w:rsidRPr="008313E2" w:rsidRDefault="00B164D1" w:rsidP="00BC7F74">
            <w:pPr>
              <w:spacing w:before="120" w:after="120"/>
            </w:pPr>
            <w:r w:rsidRPr="008313E2">
              <w:t>Exercise</w:t>
            </w:r>
          </w:p>
          <w:p w14:paraId="2F93644D" w14:textId="77777777" w:rsidR="00B164D1" w:rsidRPr="008313E2" w:rsidRDefault="00B164D1" w:rsidP="009E380F">
            <w:pPr>
              <w:spacing w:before="120" w:after="120"/>
            </w:pPr>
          </w:p>
        </w:tc>
        <w:tc>
          <w:tcPr>
            <w:tcW w:w="2386" w:type="dxa"/>
            <w:tcBorders>
              <w:left w:val="single" w:sz="8" w:space="0" w:color="auto"/>
            </w:tcBorders>
            <w:shd w:val="clear" w:color="auto" w:fill="auto"/>
          </w:tcPr>
          <w:p w14:paraId="447B9FD6" w14:textId="77777777" w:rsidR="00B164D1" w:rsidRPr="008313E2" w:rsidRDefault="00B164D1" w:rsidP="009E380F">
            <w:pPr>
              <w:spacing w:before="120" w:after="120"/>
            </w:pPr>
          </w:p>
        </w:tc>
        <w:tc>
          <w:tcPr>
            <w:tcW w:w="2600" w:type="dxa"/>
            <w:tcBorders>
              <w:left w:val="single" w:sz="8" w:space="0" w:color="auto"/>
            </w:tcBorders>
            <w:shd w:val="clear" w:color="auto" w:fill="auto"/>
          </w:tcPr>
          <w:p w14:paraId="334CD5B1" w14:textId="77777777" w:rsidR="00B164D1" w:rsidRPr="008313E2" w:rsidRDefault="00B164D1" w:rsidP="00BC7F74">
            <w:pPr>
              <w:spacing w:before="120" w:after="120"/>
            </w:pPr>
            <w:r w:rsidRPr="008313E2">
              <w:t>ACL</w:t>
            </w:r>
          </w:p>
          <w:p w14:paraId="25AEC497" w14:textId="77777777" w:rsidR="00B164D1" w:rsidRPr="008313E2" w:rsidRDefault="00B164D1" w:rsidP="00BC7F74">
            <w:pPr>
              <w:spacing w:before="120" w:after="120"/>
            </w:pPr>
            <w:r w:rsidRPr="008313E2">
              <w:t>Injury</w:t>
            </w:r>
          </w:p>
          <w:p w14:paraId="3CB88DCD" w14:textId="77777777" w:rsidR="00B164D1" w:rsidRPr="008313E2" w:rsidRDefault="00B164D1" w:rsidP="00BC7F74">
            <w:pPr>
              <w:spacing w:before="120" w:after="120"/>
            </w:pPr>
            <w:r w:rsidRPr="008313E2">
              <w:t xml:space="preserve">Rupture </w:t>
            </w:r>
          </w:p>
          <w:p w14:paraId="0F24CD1D" w14:textId="77777777" w:rsidR="00B164D1" w:rsidRPr="008313E2" w:rsidRDefault="00B164D1" w:rsidP="00BC7F74">
            <w:pPr>
              <w:spacing w:before="120" w:after="120"/>
            </w:pPr>
            <w:r w:rsidRPr="008313E2">
              <w:t>Tear</w:t>
            </w:r>
          </w:p>
          <w:p w14:paraId="55AFA19E" w14:textId="77777777" w:rsidR="00B164D1" w:rsidRPr="008313E2" w:rsidRDefault="00B164D1" w:rsidP="009E380F">
            <w:pPr>
              <w:spacing w:before="120" w:after="120"/>
            </w:pPr>
          </w:p>
        </w:tc>
      </w:tr>
    </w:tbl>
    <w:p w14:paraId="01C9A14B" w14:textId="74CEBA84" w:rsidR="00503385" w:rsidRPr="008313E2" w:rsidRDefault="00554FFC" w:rsidP="00B164D1">
      <w:pPr>
        <w:spacing w:before="120" w:after="120"/>
        <w:rPr>
          <w:b/>
        </w:rPr>
      </w:pPr>
      <w:r w:rsidRPr="008313E2">
        <w:rPr>
          <w:b/>
        </w:rPr>
        <w:t>Final search strategy:</w:t>
      </w:r>
    </w:p>
    <w:p w14:paraId="7AE8F8D6" w14:textId="77777777" w:rsidR="00503385" w:rsidRPr="008313E2" w:rsidRDefault="00503385" w:rsidP="00503385">
      <w:r w:rsidRPr="008313E2">
        <w:t>PubMed:</w:t>
      </w:r>
    </w:p>
    <w:p w14:paraId="569F22AD" w14:textId="77777777" w:rsidR="00503385" w:rsidRPr="008313E2" w:rsidRDefault="00503385" w:rsidP="00503385">
      <w:pPr>
        <w:pStyle w:val="ListParagraph"/>
        <w:numPr>
          <w:ilvl w:val="0"/>
          <w:numId w:val="23"/>
        </w:numPr>
      </w:pPr>
      <w:r w:rsidRPr="008313E2">
        <w:t>(</w:t>
      </w:r>
      <w:proofErr w:type="gramStart"/>
      <w:r w:rsidRPr="008313E2">
        <w:t>soccer</w:t>
      </w:r>
      <w:proofErr w:type="gramEnd"/>
      <w:r w:rsidRPr="008313E2">
        <w:t xml:space="preserve"> OR football) AND athlete</w:t>
      </w:r>
    </w:p>
    <w:p w14:paraId="32022748" w14:textId="66352BC7" w:rsidR="00503385" w:rsidRPr="008313E2" w:rsidRDefault="00503385" w:rsidP="00503385">
      <w:pPr>
        <w:pStyle w:val="ListParagraph"/>
        <w:numPr>
          <w:ilvl w:val="0"/>
          <w:numId w:val="23"/>
        </w:numPr>
      </w:pPr>
      <w:proofErr w:type="gramStart"/>
      <w:r w:rsidRPr="008313E2">
        <w:t>high</w:t>
      </w:r>
      <w:proofErr w:type="gramEnd"/>
      <w:r w:rsidRPr="008313E2">
        <w:t xml:space="preserve"> school OR collegiate OR varsity AND sport*</w:t>
      </w:r>
    </w:p>
    <w:p w14:paraId="17A9C63B" w14:textId="77777777" w:rsidR="00503385" w:rsidRPr="008313E2" w:rsidRDefault="00503385" w:rsidP="00503385">
      <w:pPr>
        <w:pStyle w:val="ListParagraph"/>
        <w:numPr>
          <w:ilvl w:val="0"/>
          <w:numId w:val="23"/>
        </w:numPr>
      </w:pPr>
      <w:r w:rsidRPr="008313E2">
        <w:t>ACL OR anterior cruciate ligament OR Injury OR tear OR rupture</w:t>
      </w:r>
    </w:p>
    <w:p w14:paraId="67268D70" w14:textId="77777777" w:rsidR="00503385" w:rsidRPr="008313E2" w:rsidRDefault="00503385" w:rsidP="00503385">
      <w:pPr>
        <w:pStyle w:val="ListParagraph"/>
        <w:numPr>
          <w:ilvl w:val="0"/>
          <w:numId w:val="23"/>
        </w:numPr>
      </w:pPr>
      <w:proofErr w:type="gramStart"/>
      <w:r w:rsidRPr="008313E2">
        <w:t>prevention</w:t>
      </w:r>
      <w:proofErr w:type="gramEnd"/>
      <w:r w:rsidRPr="008313E2">
        <w:t xml:space="preserve"> OR program OR warm-up OR warm up OR train* OR exercise OR neuromuscular</w:t>
      </w:r>
    </w:p>
    <w:p w14:paraId="4D0CF0E1" w14:textId="77777777" w:rsidR="00503385" w:rsidRPr="008313E2" w:rsidRDefault="00503385" w:rsidP="00503385">
      <w:pPr>
        <w:pStyle w:val="ListParagraph"/>
        <w:numPr>
          <w:ilvl w:val="0"/>
          <w:numId w:val="23"/>
        </w:numPr>
      </w:pPr>
      <w:r w:rsidRPr="008313E2">
        <w:t xml:space="preserve">#1 AND #2 AND #3 AND #4 - - </w:t>
      </w:r>
      <w:r w:rsidRPr="008313E2">
        <w:rPr>
          <w:color w:val="FF0000"/>
        </w:rPr>
        <w:t>824 results</w:t>
      </w:r>
      <w:r w:rsidRPr="008313E2">
        <w:t xml:space="preserve">  </w:t>
      </w:r>
    </w:p>
    <w:p w14:paraId="0481D6DC" w14:textId="77777777" w:rsidR="00503385" w:rsidRPr="008313E2" w:rsidRDefault="00503385" w:rsidP="00503385">
      <w:pPr>
        <w:pStyle w:val="ListParagraph"/>
        <w:numPr>
          <w:ilvl w:val="0"/>
          <w:numId w:val="23"/>
        </w:numPr>
      </w:pPr>
      <w:r w:rsidRPr="008313E2">
        <w:t xml:space="preserve">#5 applied Filters: Publication dates: 2000 – 2015; Humans; English; female; young adult (19-24 years) AND child (birth – 18 years) - - </w:t>
      </w:r>
      <w:r w:rsidRPr="008313E2">
        <w:rPr>
          <w:color w:val="FF0000"/>
        </w:rPr>
        <w:t>175 results</w:t>
      </w:r>
    </w:p>
    <w:p w14:paraId="597BD47A" w14:textId="3D4A9701" w:rsidR="00554FFC" w:rsidRPr="008313E2" w:rsidRDefault="00503385" w:rsidP="00B164D1">
      <w:pPr>
        <w:spacing w:before="120" w:after="120"/>
        <w:ind w:left="360"/>
      </w:pPr>
      <w:r w:rsidRPr="008313E2">
        <w:t xml:space="preserve">#6 applied NOT (concussion OR head OR middle) </w:t>
      </w:r>
      <w:r w:rsidRPr="008313E2">
        <w:rPr>
          <w:color w:val="FF0000"/>
        </w:rPr>
        <w:t>107 results</w:t>
      </w:r>
    </w:p>
    <w:p w14:paraId="7E932016" w14:textId="77777777" w:rsidR="00554FFC" w:rsidRPr="008313E2" w:rsidRDefault="00554FFC" w:rsidP="00554FFC">
      <w:pPr>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4"/>
        <w:gridCol w:w="1831"/>
        <w:gridCol w:w="3786"/>
      </w:tblGrid>
      <w:tr w:rsidR="00554FFC" w:rsidRPr="008313E2" w14:paraId="31D61A0B" w14:textId="77777777" w:rsidTr="00503385">
        <w:tc>
          <w:tcPr>
            <w:tcW w:w="4804" w:type="dxa"/>
            <w:shd w:val="clear" w:color="auto" w:fill="E6E6E6"/>
          </w:tcPr>
          <w:p w14:paraId="6D42EF0A" w14:textId="77777777" w:rsidR="00554FFC" w:rsidRPr="008313E2" w:rsidRDefault="00554FFC" w:rsidP="009E380F">
            <w:pPr>
              <w:spacing w:before="120" w:after="120"/>
              <w:jc w:val="center"/>
              <w:rPr>
                <w:b/>
              </w:rPr>
            </w:pPr>
            <w:r w:rsidRPr="008313E2">
              <w:rPr>
                <w:b/>
              </w:rPr>
              <w:t>Databases and Sites Searched</w:t>
            </w:r>
          </w:p>
        </w:tc>
        <w:tc>
          <w:tcPr>
            <w:tcW w:w="1831" w:type="dxa"/>
            <w:shd w:val="clear" w:color="auto" w:fill="E6E6E6"/>
          </w:tcPr>
          <w:p w14:paraId="3BD946FF" w14:textId="77777777" w:rsidR="00554FFC" w:rsidRPr="008313E2" w:rsidRDefault="00554FFC" w:rsidP="009E380F">
            <w:pPr>
              <w:spacing w:before="120" w:after="120"/>
              <w:jc w:val="center"/>
              <w:rPr>
                <w:b/>
              </w:rPr>
            </w:pPr>
            <w:r w:rsidRPr="008313E2">
              <w:rPr>
                <w:b/>
              </w:rPr>
              <w:t>Number of results</w:t>
            </w:r>
          </w:p>
        </w:tc>
        <w:tc>
          <w:tcPr>
            <w:tcW w:w="3786" w:type="dxa"/>
            <w:shd w:val="clear" w:color="auto" w:fill="E6E6E6"/>
          </w:tcPr>
          <w:p w14:paraId="198581ED" w14:textId="77777777" w:rsidR="00554FFC" w:rsidRPr="008313E2" w:rsidRDefault="00554FFC" w:rsidP="009E380F">
            <w:pPr>
              <w:spacing w:before="120" w:after="120"/>
              <w:rPr>
                <w:b/>
              </w:rPr>
            </w:pPr>
            <w:r w:rsidRPr="008313E2">
              <w:rPr>
                <w:b/>
              </w:rPr>
              <w:t>Limits applied, revised number of results (if applicable)</w:t>
            </w:r>
          </w:p>
        </w:tc>
      </w:tr>
      <w:tr w:rsidR="00503385" w:rsidRPr="008313E2" w14:paraId="19A5D6CC" w14:textId="77777777" w:rsidTr="00503385">
        <w:tc>
          <w:tcPr>
            <w:tcW w:w="4804" w:type="dxa"/>
            <w:shd w:val="clear" w:color="auto" w:fill="auto"/>
          </w:tcPr>
          <w:p w14:paraId="53FEFF22" w14:textId="77777777" w:rsidR="00503385" w:rsidRPr="008313E2" w:rsidRDefault="00503385" w:rsidP="00503385">
            <w:pPr>
              <w:spacing w:before="120" w:after="120"/>
              <w:rPr>
                <w:b/>
              </w:rPr>
            </w:pPr>
            <w:r w:rsidRPr="008313E2">
              <w:rPr>
                <w:b/>
              </w:rPr>
              <w:t>PubMed</w:t>
            </w:r>
          </w:p>
          <w:p w14:paraId="788EAA8B" w14:textId="77777777" w:rsidR="00503385" w:rsidRPr="008313E2" w:rsidRDefault="00503385" w:rsidP="00503385">
            <w:pPr>
              <w:spacing w:before="120" w:after="120"/>
              <w:rPr>
                <w:b/>
              </w:rPr>
            </w:pPr>
          </w:p>
          <w:p w14:paraId="1431859E" w14:textId="77777777" w:rsidR="00503385" w:rsidRPr="008313E2" w:rsidRDefault="00503385" w:rsidP="00503385">
            <w:pPr>
              <w:spacing w:before="120" w:after="120"/>
              <w:rPr>
                <w:b/>
              </w:rPr>
            </w:pPr>
            <w:r w:rsidRPr="008313E2">
              <w:rPr>
                <w:b/>
              </w:rPr>
              <w:t xml:space="preserve">CINAHL </w:t>
            </w:r>
          </w:p>
          <w:p w14:paraId="4ADFC043" w14:textId="77777777" w:rsidR="00503385" w:rsidRPr="008313E2" w:rsidRDefault="00503385" w:rsidP="00503385">
            <w:pPr>
              <w:spacing w:before="120" w:after="120"/>
              <w:rPr>
                <w:b/>
              </w:rPr>
            </w:pPr>
          </w:p>
          <w:p w14:paraId="04DF9738" w14:textId="77777777" w:rsidR="00503385" w:rsidRPr="008313E2" w:rsidRDefault="00503385" w:rsidP="00503385">
            <w:pPr>
              <w:spacing w:before="120" w:after="120"/>
              <w:rPr>
                <w:b/>
              </w:rPr>
            </w:pPr>
            <w:proofErr w:type="spellStart"/>
            <w:r w:rsidRPr="008313E2">
              <w:rPr>
                <w:b/>
              </w:rPr>
              <w:t>PEDro</w:t>
            </w:r>
            <w:proofErr w:type="spellEnd"/>
          </w:p>
          <w:p w14:paraId="10B900C2" w14:textId="77777777" w:rsidR="00503385" w:rsidRPr="008313E2" w:rsidRDefault="00503385" w:rsidP="00503385">
            <w:pPr>
              <w:spacing w:before="120" w:after="120"/>
              <w:rPr>
                <w:b/>
              </w:rPr>
            </w:pPr>
          </w:p>
          <w:p w14:paraId="4A161876" w14:textId="4F46FF06" w:rsidR="00503385" w:rsidRPr="008313E2" w:rsidRDefault="00503385" w:rsidP="009E380F">
            <w:pPr>
              <w:spacing w:before="120" w:after="120"/>
              <w:rPr>
                <w:b/>
              </w:rPr>
            </w:pPr>
            <w:r w:rsidRPr="008313E2">
              <w:rPr>
                <w:b/>
              </w:rPr>
              <w:t>Cochrane Library</w:t>
            </w:r>
          </w:p>
        </w:tc>
        <w:tc>
          <w:tcPr>
            <w:tcW w:w="1831" w:type="dxa"/>
            <w:shd w:val="clear" w:color="auto" w:fill="auto"/>
          </w:tcPr>
          <w:p w14:paraId="21EF9605" w14:textId="77777777" w:rsidR="00503385" w:rsidRPr="008313E2" w:rsidRDefault="00503385" w:rsidP="00503385">
            <w:pPr>
              <w:spacing w:before="120" w:after="120"/>
              <w:rPr>
                <w:b/>
              </w:rPr>
            </w:pPr>
            <w:r w:rsidRPr="008313E2">
              <w:rPr>
                <w:b/>
              </w:rPr>
              <w:t>107</w:t>
            </w:r>
          </w:p>
          <w:p w14:paraId="7F5AFB7B" w14:textId="77777777" w:rsidR="00503385" w:rsidRPr="008313E2" w:rsidRDefault="00503385" w:rsidP="00503385">
            <w:pPr>
              <w:spacing w:before="120" w:after="120"/>
              <w:rPr>
                <w:b/>
              </w:rPr>
            </w:pPr>
          </w:p>
          <w:p w14:paraId="606E8A54" w14:textId="77777777" w:rsidR="00503385" w:rsidRPr="008313E2" w:rsidRDefault="00503385" w:rsidP="00503385">
            <w:pPr>
              <w:spacing w:before="120" w:after="120"/>
              <w:rPr>
                <w:b/>
              </w:rPr>
            </w:pPr>
            <w:r w:rsidRPr="008313E2">
              <w:rPr>
                <w:b/>
              </w:rPr>
              <w:t>41</w:t>
            </w:r>
          </w:p>
          <w:p w14:paraId="0BBDA10B" w14:textId="77777777" w:rsidR="00503385" w:rsidRPr="008313E2" w:rsidRDefault="00503385" w:rsidP="00503385">
            <w:pPr>
              <w:spacing w:before="120" w:after="120"/>
              <w:rPr>
                <w:b/>
              </w:rPr>
            </w:pPr>
          </w:p>
          <w:p w14:paraId="04D7E563" w14:textId="77777777" w:rsidR="00503385" w:rsidRPr="008313E2" w:rsidRDefault="00503385" w:rsidP="00503385">
            <w:pPr>
              <w:spacing w:before="120" w:after="120"/>
              <w:rPr>
                <w:b/>
              </w:rPr>
            </w:pPr>
            <w:r w:rsidRPr="008313E2">
              <w:rPr>
                <w:b/>
              </w:rPr>
              <w:t>3</w:t>
            </w:r>
          </w:p>
          <w:p w14:paraId="6987B7E4" w14:textId="77777777" w:rsidR="00503385" w:rsidRPr="008313E2" w:rsidRDefault="00503385" w:rsidP="00503385">
            <w:pPr>
              <w:spacing w:before="120" w:after="120"/>
              <w:rPr>
                <w:b/>
              </w:rPr>
            </w:pPr>
          </w:p>
          <w:p w14:paraId="4CB533D1" w14:textId="16A6971F" w:rsidR="00503385" w:rsidRPr="008313E2" w:rsidRDefault="00503385" w:rsidP="009E380F">
            <w:pPr>
              <w:spacing w:before="120" w:after="120"/>
              <w:rPr>
                <w:b/>
              </w:rPr>
            </w:pPr>
            <w:r w:rsidRPr="008313E2">
              <w:rPr>
                <w:b/>
              </w:rPr>
              <w:t>1</w:t>
            </w:r>
          </w:p>
        </w:tc>
        <w:tc>
          <w:tcPr>
            <w:tcW w:w="3786" w:type="dxa"/>
            <w:shd w:val="clear" w:color="auto" w:fill="auto"/>
          </w:tcPr>
          <w:p w14:paraId="767C80E9" w14:textId="77777777" w:rsidR="00503385" w:rsidRPr="008313E2" w:rsidRDefault="00503385" w:rsidP="00503385">
            <w:pPr>
              <w:spacing w:before="120" w:after="120"/>
              <w:rPr>
                <w:b/>
              </w:rPr>
            </w:pPr>
          </w:p>
          <w:p w14:paraId="216A6168" w14:textId="77777777" w:rsidR="00503385" w:rsidRPr="008313E2" w:rsidRDefault="00503385" w:rsidP="00503385">
            <w:pPr>
              <w:spacing w:before="120" w:after="120"/>
              <w:rPr>
                <w:b/>
              </w:rPr>
            </w:pPr>
          </w:p>
          <w:p w14:paraId="0927A8E1" w14:textId="77777777" w:rsidR="00503385" w:rsidRPr="008313E2" w:rsidRDefault="00503385" w:rsidP="00503385">
            <w:pPr>
              <w:spacing w:before="120" w:after="120"/>
              <w:rPr>
                <w:b/>
                <w:color w:val="FF0000"/>
              </w:rPr>
            </w:pPr>
            <w:r w:rsidRPr="008313E2">
              <w:rPr>
                <w:b/>
              </w:rPr>
              <w:t xml:space="preserve">Filtered: publication date 2000-2015, female, English, age (child and young adult - - </w:t>
            </w:r>
            <w:r w:rsidRPr="008313E2">
              <w:rPr>
                <w:b/>
                <w:color w:val="FF0000"/>
              </w:rPr>
              <w:t>15 results</w:t>
            </w:r>
          </w:p>
          <w:p w14:paraId="518667E6" w14:textId="77777777" w:rsidR="00503385" w:rsidRPr="008313E2" w:rsidRDefault="00503385" w:rsidP="00503385">
            <w:pPr>
              <w:spacing w:before="120" w:after="120"/>
              <w:rPr>
                <w:b/>
              </w:rPr>
            </w:pPr>
          </w:p>
          <w:p w14:paraId="5E91C7AB" w14:textId="77777777" w:rsidR="00503385" w:rsidRPr="008313E2" w:rsidRDefault="00503385" w:rsidP="009E380F">
            <w:pPr>
              <w:spacing w:before="120" w:after="120"/>
              <w:rPr>
                <w:b/>
              </w:rPr>
            </w:pPr>
          </w:p>
        </w:tc>
      </w:tr>
    </w:tbl>
    <w:p w14:paraId="0A2E0443" w14:textId="77777777" w:rsidR="00554FFC" w:rsidRPr="008313E2" w:rsidRDefault="00554FFC" w:rsidP="00554FFC">
      <w:pPr>
        <w:spacing w:before="120" w:after="120"/>
        <w:rPr>
          <w:b/>
        </w:rPr>
      </w:pPr>
    </w:p>
    <w:p w14:paraId="22664201" w14:textId="77777777" w:rsidR="00554FFC" w:rsidRPr="008313E2" w:rsidRDefault="00554FFC" w:rsidP="00554FFC">
      <w:pPr>
        <w:pStyle w:val="Heading2"/>
        <w:spacing w:before="120" w:after="120" w:line="240" w:lineRule="auto"/>
        <w:rPr>
          <w:rFonts w:ascii="Verdana" w:hAnsi="Verdana"/>
          <w:sz w:val="20"/>
          <w:szCs w:val="20"/>
        </w:rPr>
      </w:pPr>
      <w:r w:rsidRPr="008313E2">
        <w:rPr>
          <w:rFonts w:ascii="Verdana" w:hAnsi="Verdana"/>
          <w:sz w:val="20"/>
          <w:szCs w:val="20"/>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54FFC" w:rsidRPr="008313E2" w14:paraId="16314F5C" w14:textId="77777777" w:rsidTr="009E380F">
        <w:tc>
          <w:tcPr>
            <w:tcW w:w="10421" w:type="dxa"/>
            <w:shd w:val="clear" w:color="auto" w:fill="E6E6E6"/>
          </w:tcPr>
          <w:p w14:paraId="47FED4AA" w14:textId="77777777" w:rsidR="00554FFC" w:rsidRPr="008313E2" w:rsidRDefault="00554FFC" w:rsidP="009E380F">
            <w:pPr>
              <w:spacing w:before="120" w:after="120"/>
              <w:rPr>
                <w:b/>
              </w:rPr>
            </w:pPr>
            <w:r w:rsidRPr="008313E2">
              <w:rPr>
                <w:b/>
              </w:rPr>
              <w:t>Inclusion Criteria</w:t>
            </w:r>
          </w:p>
        </w:tc>
      </w:tr>
      <w:tr w:rsidR="00554FFC" w:rsidRPr="008313E2" w14:paraId="79691DC8" w14:textId="77777777" w:rsidTr="009E380F">
        <w:tc>
          <w:tcPr>
            <w:tcW w:w="10421" w:type="dxa"/>
            <w:tcBorders>
              <w:bottom w:val="single" w:sz="4" w:space="0" w:color="auto"/>
            </w:tcBorders>
            <w:shd w:val="clear" w:color="auto" w:fill="auto"/>
          </w:tcPr>
          <w:p w14:paraId="77A0194A" w14:textId="77777777" w:rsidR="00B164D1" w:rsidRPr="008313E2" w:rsidRDefault="00B164D1" w:rsidP="00B164D1">
            <w:pPr>
              <w:pStyle w:val="ListParagraph"/>
              <w:numPr>
                <w:ilvl w:val="0"/>
                <w:numId w:val="29"/>
              </w:numPr>
              <w:spacing w:before="120" w:after="120"/>
            </w:pPr>
            <w:r w:rsidRPr="008313E2">
              <w:t>Randomized Control Trials, Controlled Trials, uncontrolled trials</w:t>
            </w:r>
          </w:p>
          <w:p w14:paraId="53F71335" w14:textId="77777777" w:rsidR="00B164D1" w:rsidRPr="008313E2" w:rsidRDefault="00B164D1" w:rsidP="00B164D1">
            <w:pPr>
              <w:pStyle w:val="ListParagraph"/>
              <w:numPr>
                <w:ilvl w:val="0"/>
                <w:numId w:val="29"/>
              </w:numPr>
              <w:spacing w:before="120" w:after="120"/>
            </w:pPr>
            <w:r w:rsidRPr="008313E2">
              <w:t>Published up to September 2015</w:t>
            </w:r>
          </w:p>
          <w:p w14:paraId="48A8C4AD" w14:textId="77777777" w:rsidR="00B164D1" w:rsidRPr="008313E2" w:rsidRDefault="00B164D1" w:rsidP="00B164D1">
            <w:pPr>
              <w:pStyle w:val="ListParagraph"/>
              <w:numPr>
                <w:ilvl w:val="0"/>
                <w:numId w:val="29"/>
              </w:numPr>
              <w:spacing w:before="120" w:after="120"/>
            </w:pPr>
            <w:r w:rsidRPr="008313E2">
              <w:t>A protocol that included an ACL prevention program</w:t>
            </w:r>
          </w:p>
          <w:p w14:paraId="0D8DF452" w14:textId="77777777" w:rsidR="00B164D1" w:rsidRPr="008313E2" w:rsidRDefault="00B164D1" w:rsidP="00B164D1">
            <w:pPr>
              <w:pStyle w:val="ListParagraph"/>
              <w:numPr>
                <w:ilvl w:val="0"/>
                <w:numId w:val="29"/>
              </w:numPr>
              <w:spacing w:before="120" w:after="120"/>
            </w:pPr>
            <w:r w:rsidRPr="008313E2">
              <w:t>Studied a population of high school of collegiate soccer players</w:t>
            </w:r>
          </w:p>
          <w:p w14:paraId="19E2AE9B" w14:textId="0A30841B" w:rsidR="00B164D1" w:rsidRPr="008313E2" w:rsidRDefault="00B164D1" w:rsidP="00B164D1">
            <w:pPr>
              <w:pStyle w:val="ListParagraph"/>
              <w:numPr>
                <w:ilvl w:val="0"/>
                <w:numId w:val="29"/>
              </w:numPr>
              <w:spacing w:before="120" w:after="120"/>
            </w:pPr>
            <w:r w:rsidRPr="008313E2">
              <w:t>Measured incidence rate after intervention</w:t>
            </w:r>
          </w:p>
          <w:p w14:paraId="7CAFA565" w14:textId="4C85FFCD" w:rsidR="00554FFC" w:rsidRPr="008313E2" w:rsidRDefault="00B164D1" w:rsidP="00B164D1">
            <w:pPr>
              <w:pStyle w:val="ListParagraph"/>
              <w:numPr>
                <w:ilvl w:val="0"/>
                <w:numId w:val="29"/>
              </w:numPr>
              <w:spacing w:before="120" w:after="120"/>
            </w:pPr>
            <w:r w:rsidRPr="008313E2">
              <w:t>Published in English</w:t>
            </w:r>
          </w:p>
        </w:tc>
      </w:tr>
      <w:tr w:rsidR="00554FFC" w:rsidRPr="008313E2" w14:paraId="6A31B62F" w14:textId="77777777" w:rsidTr="009E380F">
        <w:tc>
          <w:tcPr>
            <w:tcW w:w="10421" w:type="dxa"/>
            <w:shd w:val="clear" w:color="auto" w:fill="E6E6E6"/>
          </w:tcPr>
          <w:p w14:paraId="50A878DE" w14:textId="77777777" w:rsidR="00554FFC" w:rsidRPr="008313E2" w:rsidRDefault="00554FFC" w:rsidP="009E380F">
            <w:pPr>
              <w:spacing w:before="120" w:after="120"/>
              <w:rPr>
                <w:b/>
              </w:rPr>
            </w:pPr>
            <w:r w:rsidRPr="008313E2">
              <w:rPr>
                <w:b/>
              </w:rPr>
              <w:t>Exclusion Criteria</w:t>
            </w:r>
          </w:p>
        </w:tc>
      </w:tr>
      <w:tr w:rsidR="00554FFC" w:rsidRPr="008313E2" w14:paraId="6CDF4EBA" w14:textId="77777777" w:rsidTr="009E380F">
        <w:tc>
          <w:tcPr>
            <w:tcW w:w="10421" w:type="dxa"/>
            <w:shd w:val="clear" w:color="auto" w:fill="auto"/>
          </w:tcPr>
          <w:p w14:paraId="084430CA" w14:textId="004822DB" w:rsidR="00B164D1" w:rsidRPr="008313E2" w:rsidRDefault="00B164D1" w:rsidP="00B164D1">
            <w:pPr>
              <w:pStyle w:val="ListParagraph"/>
              <w:numPr>
                <w:ilvl w:val="0"/>
                <w:numId w:val="30"/>
              </w:numPr>
              <w:spacing w:before="120" w:after="120"/>
            </w:pPr>
            <w:r w:rsidRPr="008313E2">
              <w:t>Abstracts</w:t>
            </w:r>
          </w:p>
          <w:p w14:paraId="4B90D38B" w14:textId="77777777" w:rsidR="00B164D1" w:rsidRPr="008313E2" w:rsidRDefault="00B164D1" w:rsidP="00B164D1">
            <w:pPr>
              <w:pStyle w:val="ListParagraph"/>
              <w:numPr>
                <w:ilvl w:val="0"/>
                <w:numId w:val="30"/>
              </w:numPr>
              <w:spacing w:before="120" w:after="120"/>
            </w:pPr>
            <w:r w:rsidRPr="008313E2">
              <w:lastRenderedPageBreak/>
              <w:t>Letters to editors</w:t>
            </w:r>
          </w:p>
          <w:p w14:paraId="533A57D3" w14:textId="77777777" w:rsidR="00B164D1" w:rsidRPr="008313E2" w:rsidRDefault="00B164D1" w:rsidP="00B164D1">
            <w:pPr>
              <w:pStyle w:val="ListParagraph"/>
              <w:numPr>
                <w:ilvl w:val="0"/>
                <w:numId w:val="30"/>
              </w:numPr>
              <w:spacing w:before="120" w:after="120"/>
            </w:pPr>
            <w:r w:rsidRPr="008313E2">
              <w:t>Dissertations</w:t>
            </w:r>
          </w:p>
          <w:p w14:paraId="6D9449C7" w14:textId="43BB4900" w:rsidR="00554FFC" w:rsidRPr="008313E2" w:rsidRDefault="00B164D1" w:rsidP="009E380F">
            <w:pPr>
              <w:pStyle w:val="ListParagraph"/>
              <w:numPr>
                <w:ilvl w:val="0"/>
                <w:numId w:val="30"/>
              </w:numPr>
              <w:spacing w:before="120" w:after="120"/>
            </w:pPr>
            <w:r w:rsidRPr="008313E2">
              <w:t>Narrative review articles</w:t>
            </w:r>
          </w:p>
        </w:tc>
      </w:tr>
    </w:tbl>
    <w:p w14:paraId="11615D33" w14:textId="7277C964" w:rsidR="00554FFC" w:rsidRPr="008313E2" w:rsidRDefault="00554FFC" w:rsidP="00554FFC">
      <w:pPr>
        <w:spacing w:before="120" w:after="120"/>
        <w:rPr>
          <w:b/>
        </w:rPr>
      </w:pPr>
      <w:r w:rsidRPr="008313E2">
        <w:rPr>
          <w:b/>
        </w:rPr>
        <w:lastRenderedPageBreak/>
        <w:t>RESULTS OF SEARCH</w:t>
      </w:r>
    </w:p>
    <w:p w14:paraId="639B7281" w14:textId="176D1839" w:rsidR="00554FFC" w:rsidRPr="008313E2" w:rsidRDefault="00554FFC" w:rsidP="00554FFC">
      <w:pPr>
        <w:spacing w:before="120" w:after="120"/>
        <w:rPr>
          <w:b/>
        </w:rPr>
      </w:pPr>
      <w:r w:rsidRPr="008313E2">
        <w:rPr>
          <w:b/>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1733"/>
        <w:gridCol w:w="2042"/>
        <w:gridCol w:w="2659"/>
      </w:tblGrid>
      <w:tr w:rsidR="00554FFC" w:rsidRPr="008313E2" w14:paraId="34297A96" w14:textId="77777777" w:rsidTr="00F81BE7">
        <w:tc>
          <w:tcPr>
            <w:tcW w:w="3987" w:type="dxa"/>
            <w:tcBorders>
              <w:right w:val="single" w:sz="8" w:space="0" w:color="auto"/>
            </w:tcBorders>
            <w:shd w:val="clear" w:color="auto" w:fill="E6E6E6"/>
          </w:tcPr>
          <w:p w14:paraId="5D84A477" w14:textId="77777777" w:rsidR="00554FFC" w:rsidRPr="008313E2" w:rsidRDefault="00554FFC" w:rsidP="009E380F">
            <w:pPr>
              <w:spacing w:before="120" w:after="120"/>
              <w:jc w:val="center"/>
              <w:rPr>
                <w:b/>
              </w:rPr>
            </w:pPr>
            <w:r w:rsidRPr="008313E2">
              <w:rPr>
                <w:b/>
              </w:rPr>
              <w:t>Author (Year)</w:t>
            </w:r>
          </w:p>
        </w:tc>
        <w:tc>
          <w:tcPr>
            <w:tcW w:w="1733" w:type="dxa"/>
            <w:tcBorders>
              <w:left w:val="single" w:sz="8" w:space="0" w:color="auto"/>
            </w:tcBorders>
            <w:shd w:val="clear" w:color="auto" w:fill="E6E6E6"/>
          </w:tcPr>
          <w:p w14:paraId="44A64EC2" w14:textId="77777777" w:rsidR="00554FFC" w:rsidRPr="008313E2" w:rsidRDefault="00554FFC" w:rsidP="009E380F">
            <w:pPr>
              <w:spacing w:before="120" w:after="120"/>
              <w:jc w:val="center"/>
              <w:rPr>
                <w:b/>
              </w:rPr>
            </w:pPr>
            <w:r w:rsidRPr="008313E2">
              <w:rPr>
                <w:b/>
              </w:rPr>
              <w:t>Study quality score</w:t>
            </w:r>
          </w:p>
        </w:tc>
        <w:tc>
          <w:tcPr>
            <w:tcW w:w="2042" w:type="dxa"/>
            <w:shd w:val="clear" w:color="auto" w:fill="E6E6E6"/>
          </w:tcPr>
          <w:p w14:paraId="3B284709" w14:textId="77777777" w:rsidR="00554FFC" w:rsidRPr="008313E2" w:rsidRDefault="00554FFC" w:rsidP="009E380F">
            <w:pPr>
              <w:spacing w:before="120" w:after="120"/>
              <w:jc w:val="center"/>
              <w:rPr>
                <w:b/>
              </w:rPr>
            </w:pPr>
            <w:r w:rsidRPr="008313E2">
              <w:rPr>
                <w:b/>
              </w:rPr>
              <w:t>Level of Evidence</w:t>
            </w:r>
          </w:p>
        </w:tc>
        <w:tc>
          <w:tcPr>
            <w:tcW w:w="2659" w:type="dxa"/>
            <w:shd w:val="clear" w:color="auto" w:fill="E6E6E6"/>
          </w:tcPr>
          <w:p w14:paraId="133A06F4" w14:textId="77777777" w:rsidR="00554FFC" w:rsidRPr="008313E2" w:rsidRDefault="00554FFC" w:rsidP="009E380F">
            <w:pPr>
              <w:spacing w:before="120" w:after="120"/>
              <w:jc w:val="center"/>
              <w:rPr>
                <w:b/>
              </w:rPr>
            </w:pPr>
            <w:r w:rsidRPr="008313E2">
              <w:rPr>
                <w:b/>
              </w:rPr>
              <w:t>Study design</w:t>
            </w:r>
          </w:p>
        </w:tc>
      </w:tr>
      <w:tr w:rsidR="00013008" w:rsidRPr="008313E2" w14:paraId="3B102B35" w14:textId="77777777" w:rsidTr="00F81BE7">
        <w:tc>
          <w:tcPr>
            <w:tcW w:w="3987" w:type="dxa"/>
            <w:tcBorders>
              <w:right w:val="single" w:sz="8" w:space="0" w:color="auto"/>
            </w:tcBorders>
            <w:shd w:val="clear" w:color="auto" w:fill="auto"/>
          </w:tcPr>
          <w:p w14:paraId="36508BF5" w14:textId="0A817D2F" w:rsidR="00013008" w:rsidRPr="008313E2" w:rsidRDefault="00013008" w:rsidP="009E380F">
            <w:pPr>
              <w:spacing w:before="120" w:after="120"/>
              <w:rPr>
                <w:b/>
              </w:rPr>
            </w:pPr>
            <w:r w:rsidRPr="008313E2">
              <w:rPr>
                <w:b/>
              </w:rPr>
              <w:t>Gilchrist 2008</w:t>
            </w:r>
            <w:r w:rsidRPr="008313E2">
              <w:rPr>
                <w:b/>
                <w:vertAlign w:val="superscript"/>
              </w:rPr>
              <w:t>1</w:t>
            </w:r>
          </w:p>
        </w:tc>
        <w:tc>
          <w:tcPr>
            <w:tcW w:w="1733" w:type="dxa"/>
            <w:tcBorders>
              <w:left w:val="single" w:sz="8" w:space="0" w:color="auto"/>
            </w:tcBorders>
            <w:shd w:val="clear" w:color="auto" w:fill="auto"/>
          </w:tcPr>
          <w:p w14:paraId="4B160A13" w14:textId="24AC1E09" w:rsidR="00013008" w:rsidRPr="008313E2" w:rsidRDefault="00013008" w:rsidP="009E380F">
            <w:pPr>
              <w:spacing w:before="120" w:after="120"/>
              <w:rPr>
                <w:b/>
              </w:rPr>
            </w:pPr>
            <w:proofErr w:type="spellStart"/>
            <w:r w:rsidRPr="008313E2">
              <w:rPr>
                <w:b/>
              </w:rPr>
              <w:t>PEDro</w:t>
            </w:r>
            <w:proofErr w:type="spellEnd"/>
            <w:r w:rsidRPr="008313E2">
              <w:rPr>
                <w:b/>
              </w:rPr>
              <w:t xml:space="preserve"> score: 4/10</w:t>
            </w:r>
          </w:p>
        </w:tc>
        <w:tc>
          <w:tcPr>
            <w:tcW w:w="2042" w:type="dxa"/>
            <w:shd w:val="clear" w:color="auto" w:fill="auto"/>
          </w:tcPr>
          <w:p w14:paraId="278D4D1A" w14:textId="7A090E51" w:rsidR="00013008" w:rsidRPr="008313E2" w:rsidRDefault="00013008" w:rsidP="009E380F">
            <w:pPr>
              <w:spacing w:before="120" w:after="120"/>
              <w:rPr>
                <w:b/>
              </w:rPr>
            </w:pPr>
            <w:r w:rsidRPr="008313E2">
              <w:rPr>
                <w:b/>
              </w:rPr>
              <w:t>1b</w:t>
            </w:r>
          </w:p>
        </w:tc>
        <w:tc>
          <w:tcPr>
            <w:tcW w:w="2659" w:type="dxa"/>
            <w:shd w:val="clear" w:color="auto" w:fill="auto"/>
          </w:tcPr>
          <w:p w14:paraId="72D39BE2" w14:textId="48772B77" w:rsidR="00013008" w:rsidRPr="008313E2" w:rsidRDefault="00013008" w:rsidP="009E380F">
            <w:pPr>
              <w:spacing w:before="120" w:after="120"/>
              <w:rPr>
                <w:b/>
              </w:rPr>
            </w:pPr>
            <w:r w:rsidRPr="008313E2">
              <w:rPr>
                <w:b/>
              </w:rPr>
              <w:t>Cluster Randomized Control Trial</w:t>
            </w:r>
          </w:p>
        </w:tc>
      </w:tr>
      <w:tr w:rsidR="00013008" w:rsidRPr="008313E2" w14:paraId="7D9D87FB" w14:textId="77777777" w:rsidTr="00F81BE7">
        <w:tc>
          <w:tcPr>
            <w:tcW w:w="3987" w:type="dxa"/>
            <w:tcBorders>
              <w:right w:val="single" w:sz="8" w:space="0" w:color="auto"/>
            </w:tcBorders>
            <w:shd w:val="clear" w:color="auto" w:fill="auto"/>
          </w:tcPr>
          <w:p w14:paraId="76565EB3" w14:textId="1ECB5FC1" w:rsidR="00013008" w:rsidRPr="008313E2" w:rsidRDefault="00013008" w:rsidP="009E380F">
            <w:pPr>
              <w:spacing w:before="120" w:after="120"/>
              <w:rPr>
                <w:b/>
              </w:rPr>
            </w:pPr>
            <w:proofErr w:type="spellStart"/>
            <w:r w:rsidRPr="008313E2">
              <w:rPr>
                <w:b/>
              </w:rPr>
              <w:t>Heidt</w:t>
            </w:r>
            <w:proofErr w:type="spellEnd"/>
            <w:r w:rsidRPr="008313E2">
              <w:rPr>
                <w:b/>
              </w:rPr>
              <w:t xml:space="preserve"> 2000</w:t>
            </w:r>
            <w:r w:rsidRPr="008313E2">
              <w:rPr>
                <w:b/>
                <w:vertAlign w:val="superscript"/>
              </w:rPr>
              <w:t>2</w:t>
            </w:r>
          </w:p>
        </w:tc>
        <w:tc>
          <w:tcPr>
            <w:tcW w:w="1733" w:type="dxa"/>
            <w:tcBorders>
              <w:left w:val="single" w:sz="8" w:space="0" w:color="auto"/>
            </w:tcBorders>
            <w:shd w:val="clear" w:color="auto" w:fill="auto"/>
          </w:tcPr>
          <w:p w14:paraId="6A7C000C" w14:textId="7B253BB0" w:rsidR="00013008" w:rsidRPr="008313E2" w:rsidRDefault="00013008" w:rsidP="009E380F">
            <w:pPr>
              <w:spacing w:before="120" w:after="120"/>
              <w:rPr>
                <w:b/>
              </w:rPr>
            </w:pPr>
            <w:proofErr w:type="spellStart"/>
            <w:r w:rsidRPr="008313E2">
              <w:rPr>
                <w:b/>
              </w:rPr>
              <w:t>PEDro</w:t>
            </w:r>
            <w:proofErr w:type="spellEnd"/>
            <w:r w:rsidRPr="008313E2">
              <w:rPr>
                <w:b/>
              </w:rPr>
              <w:t xml:space="preserve"> score: 4/10</w:t>
            </w:r>
          </w:p>
        </w:tc>
        <w:tc>
          <w:tcPr>
            <w:tcW w:w="2042" w:type="dxa"/>
            <w:shd w:val="clear" w:color="auto" w:fill="auto"/>
          </w:tcPr>
          <w:p w14:paraId="321AB27D" w14:textId="5E6FC134" w:rsidR="00013008" w:rsidRPr="008313E2" w:rsidRDefault="00013008" w:rsidP="009E380F">
            <w:pPr>
              <w:spacing w:before="120" w:after="120"/>
              <w:rPr>
                <w:b/>
              </w:rPr>
            </w:pPr>
            <w:r w:rsidRPr="008313E2">
              <w:rPr>
                <w:b/>
              </w:rPr>
              <w:t>1b</w:t>
            </w:r>
          </w:p>
        </w:tc>
        <w:tc>
          <w:tcPr>
            <w:tcW w:w="2659" w:type="dxa"/>
            <w:shd w:val="clear" w:color="auto" w:fill="auto"/>
          </w:tcPr>
          <w:p w14:paraId="453E2EFD" w14:textId="0053C1E2" w:rsidR="00013008" w:rsidRPr="008313E2" w:rsidRDefault="00013008" w:rsidP="009E380F">
            <w:pPr>
              <w:spacing w:before="120" w:after="120"/>
              <w:rPr>
                <w:b/>
              </w:rPr>
            </w:pPr>
            <w:r w:rsidRPr="008313E2">
              <w:rPr>
                <w:b/>
              </w:rPr>
              <w:t xml:space="preserve">Cluster Randomized Control Trial </w:t>
            </w:r>
          </w:p>
        </w:tc>
      </w:tr>
      <w:tr w:rsidR="004D1BFA" w:rsidRPr="008313E2" w14:paraId="09F453FB" w14:textId="77777777" w:rsidTr="00F81BE7">
        <w:tc>
          <w:tcPr>
            <w:tcW w:w="3987" w:type="dxa"/>
            <w:tcBorders>
              <w:right w:val="single" w:sz="8" w:space="0" w:color="auto"/>
            </w:tcBorders>
            <w:shd w:val="clear" w:color="auto" w:fill="auto"/>
          </w:tcPr>
          <w:p w14:paraId="1F76B3DA" w14:textId="2841B459" w:rsidR="004D1BFA" w:rsidRPr="008313E2" w:rsidRDefault="004D1BFA" w:rsidP="009E380F">
            <w:pPr>
              <w:spacing w:before="120" w:after="120"/>
              <w:rPr>
                <w:b/>
              </w:rPr>
            </w:pPr>
            <w:proofErr w:type="spellStart"/>
            <w:r w:rsidRPr="008313E2">
              <w:rPr>
                <w:b/>
              </w:rPr>
              <w:t>Kiani</w:t>
            </w:r>
            <w:proofErr w:type="spellEnd"/>
            <w:r w:rsidRPr="008313E2">
              <w:rPr>
                <w:b/>
              </w:rPr>
              <w:t xml:space="preserve"> 2010</w:t>
            </w:r>
            <w:r w:rsidRPr="008313E2">
              <w:rPr>
                <w:b/>
                <w:vertAlign w:val="superscript"/>
              </w:rPr>
              <w:t>3</w:t>
            </w:r>
          </w:p>
        </w:tc>
        <w:tc>
          <w:tcPr>
            <w:tcW w:w="1733" w:type="dxa"/>
            <w:tcBorders>
              <w:left w:val="single" w:sz="8" w:space="0" w:color="auto"/>
            </w:tcBorders>
            <w:shd w:val="clear" w:color="auto" w:fill="auto"/>
          </w:tcPr>
          <w:p w14:paraId="27DE7BDA" w14:textId="7695DE8E" w:rsidR="004D1BFA" w:rsidRPr="008313E2" w:rsidRDefault="004D1BFA" w:rsidP="009E380F">
            <w:pPr>
              <w:spacing w:before="120" w:after="120"/>
              <w:rPr>
                <w:b/>
              </w:rPr>
            </w:pPr>
            <w:r>
              <w:rPr>
                <w:b/>
              </w:rPr>
              <w:t>Downs and Black Checklist: 19/29</w:t>
            </w:r>
          </w:p>
        </w:tc>
        <w:tc>
          <w:tcPr>
            <w:tcW w:w="2042" w:type="dxa"/>
            <w:shd w:val="clear" w:color="auto" w:fill="auto"/>
          </w:tcPr>
          <w:p w14:paraId="1D4222E1" w14:textId="3EE3CB0B" w:rsidR="004D1BFA" w:rsidRPr="008313E2" w:rsidRDefault="004D1BFA" w:rsidP="009E380F">
            <w:pPr>
              <w:spacing w:before="120" w:after="120"/>
              <w:rPr>
                <w:b/>
              </w:rPr>
            </w:pPr>
            <w:r w:rsidRPr="008313E2">
              <w:rPr>
                <w:b/>
              </w:rPr>
              <w:t>2b</w:t>
            </w:r>
          </w:p>
        </w:tc>
        <w:tc>
          <w:tcPr>
            <w:tcW w:w="2659" w:type="dxa"/>
            <w:shd w:val="clear" w:color="auto" w:fill="auto"/>
          </w:tcPr>
          <w:p w14:paraId="0D40CC8F" w14:textId="1AE753B1" w:rsidR="004D1BFA" w:rsidRPr="008313E2" w:rsidRDefault="004D1BFA" w:rsidP="009E380F">
            <w:pPr>
              <w:spacing w:before="120" w:after="120"/>
              <w:rPr>
                <w:b/>
              </w:rPr>
            </w:pPr>
            <w:r w:rsidRPr="008313E2">
              <w:rPr>
                <w:b/>
              </w:rPr>
              <w:t>Cluster, cohort, prospective, Non-randomized</w:t>
            </w:r>
          </w:p>
        </w:tc>
      </w:tr>
      <w:tr w:rsidR="00013008" w:rsidRPr="008313E2" w14:paraId="5B745DAF" w14:textId="77777777" w:rsidTr="00F81BE7">
        <w:tc>
          <w:tcPr>
            <w:tcW w:w="3987" w:type="dxa"/>
            <w:tcBorders>
              <w:right w:val="single" w:sz="8" w:space="0" w:color="auto"/>
            </w:tcBorders>
            <w:shd w:val="clear" w:color="auto" w:fill="auto"/>
          </w:tcPr>
          <w:p w14:paraId="7D468957" w14:textId="0BADDD47" w:rsidR="00013008" w:rsidRPr="008313E2" w:rsidRDefault="00013008" w:rsidP="009E380F">
            <w:pPr>
              <w:spacing w:before="120" w:after="120"/>
              <w:rPr>
                <w:b/>
              </w:rPr>
            </w:pPr>
            <w:proofErr w:type="spellStart"/>
            <w:r w:rsidRPr="008313E2">
              <w:rPr>
                <w:b/>
              </w:rPr>
              <w:t>LaBella</w:t>
            </w:r>
            <w:proofErr w:type="spellEnd"/>
            <w:r w:rsidRPr="008313E2">
              <w:rPr>
                <w:b/>
              </w:rPr>
              <w:t xml:space="preserve"> 2011</w:t>
            </w:r>
            <w:r w:rsidRPr="008313E2">
              <w:rPr>
                <w:b/>
                <w:vertAlign w:val="superscript"/>
              </w:rPr>
              <w:t>4</w:t>
            </w:r>
          </w:p>
        </w:tc>
        <w:tc>
          <w:tcPr>
            <w:tcW w:w="1733" w:type="dxa"/>
            <w:tcBorders>
              <w:left w:val="single" w:sz="8" w:space="0" w:color="auto"/>
            </w:tcBorders>
            <w:shd w:val="clear" w:color="auto" w:fill="auto"/>
          </w:tcPr>
          <w:p w14:paraId="160FC18C" w14:textId="7C683167" w:rsidR="00013008" w:rsidRPr="008313E2" w:rsidRDefault="00013008" w:rsidP="009E380F">
            <w:pPr>
              <w:spacing w:before="120" w:after="120"/>
              <w:rPr>
                <w:b/>
              </w:rPr>
            </w:pPr>
            <w:proofErr w:type="spellStart"/>
            <w:r w:rsidRPr="008313E2">
              <w:rPr>
                <w:b/>
              </w:rPr>
              <w:t>PEDro</w:t>
            </w:r>
            <w:proofErr w:type="spellEnd"/>
            <w:r w:rsidRPr="008313E2">
              <w:rPr>
                <w:b/>
              </w:rPr>
              <w:t xml:space="preserve"> score: 7/11</w:t>
            </w:r>
          </w:p>
        </w:tc>
        <w:tc>
          <w:tcPr>
            <w:tcW w:w="2042" w:type="dxa"/>
            <w:shd w:val="clear" w:color="auto" w:fill="auto"/>
          </w:tcPr>
          <w:p w14:paraId="7580E3E9" w14:textId="443C2518" w:rsidR="00013008" w:rsidRPr="008313E2" w:rsidRDefault="00013008" w:rsidP="009E380F">
            <w:pPr>
              <w:spacing w:before="120" w:after="120"/>
              <w:rPr>
                <w:b/>
              </w:rPr>
            </w:pPr>
            <w:r w:rsidRPr="008313E2">
              <w:rPr>
                <w:b/>
              </w:rPr>
              <w:t>1b</w:t>
            </w:r>
          </w:p>
        </w:tc>
        <w:tc>
          <w:tcPr>
            <w:tcW w:w="2659" w:type="dxa"/>
            <w:shd w:val="clear" w:color="auto" w:fill="auto"/>
          </w:tcPr>
          <w:p w14:paraId="6CB4497E" w14:textId="5267DA1E" w:rsidR="00013008" w:rsidRPr="008313E2" w:rsidRDefault="00013008" w:rsidP="009E380F">
            <w:pPr>
              <w:spacing w:before="120" w:after="120"/>
              <w:rPr>
                <w:b/>
              </w:rPr>
            </w:pPr>
            <w:r w:rsidRPr="008313E2">
              <w:rPr>
                <w:b/>
              </w:rPr>
              <w:t>Cluster Randomized Control Trial</w:t>
            </w:r>
          </w:p>
        </w:tc>
      </w:tr>
      <w:tr w:rsidR="004D1BFA" w:rsidRPr="008313E2" w14:paraId="70C3516B" w14:textId="77777777" w:rsidTr="00F81BE7">
        <w:tc>
          <w:tcPr>
            <w:tcW w:w="3987" w:type="dxa"/>
            <w:tcBorders>
              <w:right w:val="single" w:sz="8" w:space="0" w:color="auto"/>
            </w:tcBorders>
            <w:shd w:val="clear" w:color="auto" w:fill="auto"/>
          </w:tcPr>
          <w:p w14:paraId="1A3AE69B" w14:textId="752786EA" w:rsidR="004D1BFA" w:rsidRPr="008313E2" w:rsidRDefault="004D1BFA" w:rsidP="009E380F">
            <w:pPr>
              <w:spacing w:before="120" w:after="120"/>
              <w:rPr>
                <w:b/>
              </w:rPr>
            </w:pPr>
            <w:proofErr w:type="spellStart"/>
            <w:r w:rsidRPr="008313E2">
              <w:rPr>
                <w:b/>
              </w:rPr>
              <w:t>Mandelbaum</w:t>
            </w:r>
            <w:proofErr w:type="spellEnd"/>
            <w:r w:rsidRPr="008313E2">
              <w:rPr>
                <w:b/>
              </w:rPr>
              <w:t xml:space="preserve"> 2005</w:t>
            </w:r>
            <w:r w:rsidRPr="008313E2">
              <w:rPr>
                <w:b/>
                <w:vertAlign w:val="superscript"/>
              </w:rPr>
              <w:t>5</w:t>
            </w:r>
          </w:p>
        </w:tc>
        <w:tc>
          <w:tcPr>
            <w:tcW w:w="1733" w:type="dxa"/>
            <w:tcBorders>
              <w:left w:val="single" w:sz="8" w:space="0" w:color="auto"/>
            </w:tcBorders>
            <w:shd w:val="clear" w:color="auto" w:fill="auto"/>
          </w:tcPr>
          <w:p w14:paraId="60AD8E97" w14:textId="6E87F654" w:rsidR="004D1BFA" w:rsidRPr="008313E2" w:rsidRDefault="004D1BFA" w:rsidP="009E380F">
            <w:pPr>
              <w:spacing w:before="120" w:after="120"/>
              <w:rPr>
                <w:b/>
              </w:rPr>
            </w:pPr>
            <w:r>
              <w:rPr>
                <w:b/>
              </w:rPr>
              <w:t xml:space="preserve">Downs and Black Checklist: 18/29 </w:t>
            </w:r>
          </w:p>
        </w:tc>
        <w:tc>
          <w:tcPr>
            <w:tcW w:w="2042" w:type="dxa"/>
            <w:shd w:val="clear" w:color="auto" w:fill="auto"/>
          </w:tcPr>
          <w:p w14:paraId="7D441F3A" w14:textId="3F49EBEB" w:rsidR="004D1BFA" w:rsidRPr="008313E2" w:rsidRDefault="004D1BFA" w:rsidP="009E380F">
            <w:pPr>
              <w:spacing w:before="120" w:after="120"/>
              <w:rPr>
                <w:b/>
              </w:rPr>
            </w:pPr>
            <w:r w:rsidRPr="008313E2">
              <w:rPr>
                <w:b/>
              </w:rPr>
              <w:t>2b</w:t>
            </w:r>
          </w:p>
        </w:tc>
        <w:tc>
          <w:tcPr>
            <w:tcW w:w="2659" w:type="dxa"/>
            <w:shd w:val="clear" w:color="auto" w:fill="auto"/>
          </w:tcPr>
          <w:p w14:paraId="396EF53F" w14:textId="11EC7ED3" w:rsidR="004D1BFA" w:rsidRPr="008313E2" w:rsidRDefault="004D1BFA" w:rsidP="009E380F">
            <w:pPr>
              <w:spacing w:before="120" w:after="120"/>
              <w:rPr>
                <w:b/>
              </w:rPr>
            </w:pPr>
            <w:r w:rsidRPr="008313E2">
              <w:rPr>
                <w:b/>
              </w:rPr>
              <w:t>Prospective Non-randomized Cohort</w:t>
            </w:r>
          </w:p>
        </w:tc>
      </w:tr>
      <w:tr w:rsidR="00013008" w:rsidRPr="008313E2" w14:paraId="652BE53C" w14:textId="77777777" w:rsidTr="00F81BE7">
        <w:tc>
          <w:tcPr>
            <w:tcW w:w="3987" w:type="dxa"/>
            <w:tcBorders>
              <w:right w:val="single" w:sz="8" w:space="0" w:color="auto"/>
            </w:tcBorders>
            <w:shd w:val="clear" w:color="auto" w:fill="auto"/>
          </w:tcPr>
          <w:p w14:paraId="1017666B" w14:textId="3A1C496F" w:rsidR="00013008" w:rsidRPr="008313E2" w:rsidRDefault="00013008" w:rsidP="009E380F">
            <w:pPr>
              <w:spacing w:before="120" w:after="120"/>
              <w:rPr>
                <w:b/>
              </w:rPr>
            </w:pPr>
            <w:proofErr w:type="spellStart"/>
            <w:r w:rsidRPr="008313E2">
              <w:rPr>
                <w:b/>
              </w:rPr>
              <w:t>Michaelidis</w:t>
            </w:r>
            <w:proofErr w:type="spellEnd"/>
            <w:r w:rsidR="006D5573" w:rsidRPr="008313E2">
              <w:rPr>
                <w:b/>
              </w:rPr>
              <w:t xml:space="preserve"> and </w:t>
            </w:r>
            <w:proofErr w:type="spellStart"/>
            <w:r w:rsidR="006D5573" w:rsidRPr="008313E2">
              <w:rPr>
                <w:rFonts w:cs="Times"/>
                <w:b/>
                <w:lang w:val="en-US"/>
              </w:rPr>
              <w:t>Koumantakis</w:t>
            </w:r>
            <w:proofErr w:type="spellEnd"/>
            <w:r w:rsidRPr="008313E2">
              <w:rPr>
                <w:b/>
              </w:rPr>
              <w:t xml:space="preserve"> 2014</w:t>
            </w:r>
            <w:r w:rsidRPr="008313E2">
              <w:rPr>
                <w:b/>
                <w:vertAlign w:val="superscript"/>
              </w:rPr>
              <w:t>6</w:t>
            </w:r>
          </w:p>
        </w:tc>
        <w:tc>
          <w:tcPr>
            <w:tcW w:w="1733" w:type="dxa"/>
            <w:tcBorders>
              <w:left w:val="single" w:sz="8" w:space="0" w:color="auto"/>
            </w:tcBorders>
            <w:shd w:val="clear" w:color="auto" w:fill="auto"/>
          </w:tcPr>
          <w:p w14:paraId="6CC0C3C0" w14:textId="21C5B1BD" w:rsidR="00013008" w:rsidRPr="008313E2" w:rsidRDefault="00013008" w:rsidP="009E380F">
            <w:pPr>
              <w:spacing w:before="120" w:after="120"/>
              <w:rPr>
                <w:b/>
              </w:rPr>
            </w:pPr>
            <w:r w:rsidRPr="008313E2">
              <w:rPr>
                <w:b/>
              </w:rPr>
              <w:t>AMSTAR score: 8/11</w:t>
            </w:r>
          </w:p>
        </w:tc>
        <w:tc>
          <w:tcPr>
            <w:tcW w:w="2042" w:type="dxa"/>
            <w:shd w:val="clear" w:color="auto" w:fill="auto"/>
          </w:tcPr>
          <w:p w14:paraId="3A229563" w14:textId="384075E7" w:rsidR="00013008" w:rsidRPr="008313E2" w:rsidRDefault="00013008" w:rsidP="009E380F">
            <w:pPr>
              <w:spacing w:before="120" w:after="120"/>
              <w:rPr>
                <w:b/>
              </w:rPr>
            </w:pPr>
            <w:r w:rsidRPr="008313E2">
              <w:rPr>
                <w:b/>
              </w:rPr>
              <w:t>1b</w:t>
            </w:r>
          </w:p>
        </w:tc>
        <w:tc>
          <w:tcPr>
            <w:tcW w:w="2659" w:type="dxa"/>
            <w:shd w:val="clear" w:color="auto" w:fill="auto"/>
          </w:tcPr>
          <w:p w14:paraId="5BC9BB86" w14:textId="1BF7FB62" w:rsidR="00013008" w:rsidRPr="008313E2" w:rsidRDefault="00013008" w:rsidP="009E380F">
            <w:pPr>
              <w:spacing w:before="120" w:after="120"/>
              <w:rPr>
                <w:b/>
              </w:rPr>
            </w:pPr>
            <w:r w:rsidRPr="008313E2">
              <w:rPr>
                <w:b/>
              </w:rPr>
              <w:t>Systematic Review</w:t>
            </w:r>
          </w:p>
        </w:tc>
      </w:tr>
      <w:tr w:rsidR="00013008" w:rsidRPr="008313E2" w14:paraId="3430A07F" w14:textId="77777777" w:rsidTr="00F81BE7">
        <w:tc>
          <w:tcPr>
            <w:tcW w:w="3987" w:type="dxa"/>
            <w:tcBorders>
              <w:right w:val="single" w:sz="8" w:space="0" w:color="auto"/>
            </w:tcBorders>
            <w:shd w:val="clear" w:color="auto" w:fill="auto"/>
          </w:tcPr>
          <w:p w14:paraId="60061BAB" w14:textId="137397A0" w:rsidR="00013008" w:rsidRPr="008313E2" w:rsidRDefault="00013008" w:rsidP="009E380F">
            <w:pPr>
              <w:spacing w:before="120" w:after="120"/>
              <w:rPr>
                <w:b/>
              </w:rPr>
            </w:pPr>
            <w:proofErr w:type="spellStart"/>
            <w:r w:rsidRPr="008313E2">
              <w:rPr>
                <w:b/>
              </w:rPr>
              <w:t>Söderman</w:t>
            </w:r>
            <w:proofErr w:type="spellEnd"/>
            <w:r w:rsidRPr="008313E2">
              <w:rPr>
                <w:b/>
              </w:rPr>
              <w:t xml:space="preserve"> 2000</w:t>
            </w:r>
            <w:r w:rsidRPr="008313E2">
              <w:rPr>
                <w:b/>
                <w:vertAlign w:val="superscript"/>
              </w:rPr>
              <w:t>7</w:t>
            </w:r>
          </w:p>
        </w:tc>
        <w:tc>
          <w:tcPr>
            <w:tcW w:w="1733" w:type="dxa"/>
            <w:tcBorders>
              <w:left w:val="single" w:sz="8" w:space="0" w:color="auto"/>
            </w:tcBorders>
            <w:shd w:val="clear" w:color="auto" w:fill="auto"/>
          </w:tcPr>
          <w:p w14:paraId="65604609" w14:textId="548C915E" w:rsidR="00013008" w:rsidRPr="008313E2" w:rsidRDefault="00013008" w:rsidP="009E380F">
            <w:pPr>
              <w:spacing w:before="120" w:after="120"/>
              <w:rPr>
                <w:b/>
              </w:rPr>
            </w:pPr>
            <w:proofErr w:type="spellStart"/>
            <w:r w:rsidRPr="008313E2">
              <w:rPr>
                <w:b/>
              </w:rPr>
              <w:t>PEDro</w:t>
            </w:r>
            <w:proofErr w:type="spellEnd"/>
            <w:r w:rsidRPr="008313E2">
              <w:rPr>
                <w:b/>
              </w:rPr>
              <w:t xml:space="preserve"> score: 4/10</w:t>
            </w:r>
          </w:p>
        </w:tc>
        <w:tc>
          <w:tcPr>
            <w:tcW w:w="2042" w:type="dxa"/>
            <w:shd w:val="clear" w:color="auto" w:fill="auto"/>
          </w:tcPr>
          <w:p w14:paraId="396BBC15" w14:textId="2FB19E7D" w:rsidR="00013008" w:rsidRPr="008313E2" w:rsidRDefault="00013008" w:rsidP="009E380F">
            <w:pPr>
              <w:spacing w:before="120" w:after="120"/>
              <w:rPr>
                <w:b/>
              </w:rPr>
            </w:pPr>
            <w:r w:rsidRPr="008313E2">
              <w:rPr>
                <w:b/>
              </w:rPr>
              <w:t>1b</w:t>
            </w:r>
          </w:p>
        </w:tc>
        <w:tc>
          <w:tcPr>
            <w:tcW w:w="2659" w:type="dxa"/>
            <w:shd w:val="clear" w:color="auto" w:fill="auto"/>
          </w:tcPr>
          <w:p w14:paraId="751B5249" w14:textId="4C19E4FF" w:rsidR="00013008" w:rsidRPr="008313E2" w:rsidRDefault="00013008" w:rsidP="009E380F">
            <w:pPr>
              <w:spacing w:before="120" w:after="120"/>
              <w:rPr>
                <w:b/>
              </w:rPr>
            </w:pPr>
            <w:r w:rsidRPr="008313E2">
              <w:rPr>
                <w:b/>
              </w:rPr>
              <w:t>Prospective Cluster Randomized Control Trial</w:t>
            </w:r>
          </w:p>
        </w:tc>
      </w:tr>
      <w:tr w:rsidR="00013008" w:rsidRPr="008313E2" w14:paraId="652AEC55" w14:textId="77777777" w:rsidTr="00F81BE7">
        <w:tc>
          <w:tcPr>
            <w:tcW w:w="3987" w:type="dxa"/>
            <w:tcBorders>
              <w:right w:val="single" w:sz="8" w:space="0" w:color="auto"/>
            </w:tcBorders>
            <w:shd w:val="clear" w:color="auto" w:fill="auto"/>
          </w:tcPr>
          <w:p w14:paraId="488A0A38" w14:textId="1872DE56" w:rsidR="00013008" w:rsidRPr="008313E2" w:rsidRDefault="00013008" w:rsidP="009E380F">
            <w:pPr>
              <w:spacing w:before="120" w:after="120"/>
              <w:rPr>
                <w:b/>
              </w:rPr>
            </w:pPr>
            <w:r w:rsidRPr="008313E2">
              <w:rPr>
                <w:b/>
              </w:rPr>
              <w:t>Steffen 2008</w:t>
            </w:r>
            <w:r w:rsidRPr="008313E2">
              <w:rPr>
                <w:b/>
                <w:vertAlign w:val="superscript"/>
              </w:rPr>
              <w:t>8</w:t>
            </w:r>
          </w:p>
        </w:tc>
        <w:tc>
          <w:tcPr>
            <w:tcW w:w="1733" w:type="dxa"/>
            <w:tcBorders>
              <w:left w:val="single" w:sz="8" w:space="0" w:color="auto"/>
            </w:tcBorders>
            <w:shd w:val="clear" w:color="auto" w:fill="auto"/>
          </w:tcPr>
          <w:p w14:paraId="72B6D743" w14:textId="09C8389A" w:rsidR="00013008" w:rsidRPr="008313E2" w:rsidRDefault="00013008" w:rsidP="009E380F">
            <w:pPr>
              <w:spacing w:before="120" w:after="120"/>
              <w:rPr>
                <w:b/>
              </w:rPr>
            </w:pPr>
            <w:proofErr w:type="spellStart"/>
            <w:r w:rsidRPr="008313E2">
              <w:rPr>
                <w:b/>
              </w:rPr>
              <w:t>PEDro</w:t>
            </w:r>
            <w:proofErr w:type="spellEnd"/>
            <w:r w:rsidRPr="008313E2">
              <w:rPr>
                <w:b/>
              </w:rPr>
              <w:t xml:space="preserve"> score: 7/10</w:t>
            </w:r>
          </w:p>
        </w:tc>
        <w:tc>
          <w:tcPr>
            <w:tcW w:w="2042" w:type="dxa"/>
            <w:shd w:val="clear" w:color="auto" w:fill="auto"/>
          </w:tcPr>
          <w:p w14:paraId="6B6D2C22" w14:textId="613017A0" w:rsidR="00013008" w:rsidRPr="008313E2" w:rsidRDefault="00013008" w:rsidP="009E380F">
            <w:pPr>
              <w:spacing w:before="120" w:after="120"/>
              <w:rPr>
                <w:b/>
              </w:rPr>
            </w:pPr>
            <w:r w:rsidRPr="008313E2">
              <w:rPr>
                <w:b/>
              </w:rPr>
              <w:t>1b</w:t>
            </w:r>
          </w:p>
        </w:tc>
        <w:tc>
          <w:tcPr>
            <w:tcW w:w="2659" w:type="dxa"/>
            <w:shd w:val="clear" w:color="auto" w:fill="auto"/>
          </w:tcPr>
          <w:p w14:paraId="56430BDC" w14:textId="0D07515C" w:rsidR="00013008" w:rsidRPr="008313E2" w:rsidRDefault="00013008" w:rsidP="009E380F">
            <w:pPr>
              <w:spacing w:before="120" w:after="120"/>
              <w:rPr>
                <w:b/>
              </w:rPr>
            </w:pPr>
            <w:r w:rsidRPr="008313E2">
              <w:rPr>
                <w:b/>
              </w:rPr>
              <w:t>Cluster randomized Control Trial</w:t>
            </w:r>
          </w:p>
        </w:tc>
      </w:tr>
      <w:tr w:rsidR="00013008" w:rsidRPr="008313E2" w14:paraId="71D89B19" w14:textId="77777777" w:rsidTr="00F81BE7">
        <w:tc>
          <w:tcPr>
            <w:tcW w:w="3987" w:type="dxa"/>
            <w:tcBorders>
              <w:right w:val="single" w:sz="8" w:space="0" w:color="auto"/>
            </w:tcBorders>
            <w:shd w:val="clear" w:color="auto" w:fill="auto"/>
          </w:tcPr>
          <w:p w14:paraId="3AB96AEC" w14:textId="6CC8F00A" w:rsidR="00013008" w:rsidRPr="008313E2" w:rsidRDefault="00013008" w:rsidP="009E380F">
            <w:pPr>
              <w:spacing w:before="120" w:after="120"/>
              <w:rPr>
                <w:b/>
              </w:rPr>
            </w:pPr>
            <w:proofErr w:type="spellStart"/>
            <w:r w:rsidRPr="008313E2">
              <w:rPr>
                <w:b/>
              </w:rPr>
              <w:t>Waldén</w:t>
            </w:r>
            <w:proofErr w:type="spellEnd"/>
            <w:r w:rsidRPr="008313E2">
              <w:rPr>
                <w:b/>
              </w:rPr>
              <w:t xml:space="preserve"> 2012</w:t>
            </w:r>
            <w:r w:rsidRPr="008313E2">
              <w:rPr>
                <w:b/>
                <w:vertAlign w:val="superscript"/>
              </w:rPr>
              <w:t>9</w:t>
            </w:r>
          </w:p>
        </w:tc>
        <w:tc>
          <w:tcPr>
            <w:tcW w:w="1733" w:type="dxa"/>
            <w:tcBorders>
              <w:left w:val="single" w:sz="8" w:space="0" w:color="auto"/>
            </w:tcBorders>
            <w:shd w:val="clear" w:color="auto" w:fill="auto"/>
          </w:tcPr>
          <w:p w14:paraId="7647A4BE" w14:textId="73ADA39E" w:rsidR="00013008" w:rsidRPr="008313E2" w:rsidRDefault="00013008" w:rsidP="009E380F">
            <w:pPr>
              <w:spacing w:before="120" w:after="120"/>
              <w:rPr>
                <w:b/>
              </w:rPr>
            </w:pPr>
            <w:proofErr w:type="spellStart"/>
            <w:r w:rsidRPr="008313E2">
              <w:rPr>
                <w:b/>
              </w:rPr>
              <w:t>PEDro</w:t>
            </w:r>
            <w:proofErr w:type="spellEnd"/>
            <w:r w:rsidRPr="008313E2">
              <w:rPr>
                <w:b/>
              </w:rPr>
              <w:t xml:space="preserve"> score: 7/10</w:t>
            </w:r>
          </w:p>
        </w:tc>
        <w:tc>
          <w:tcPr>
            <w:tcW w:w="2042" w:type="dxa"/>
            <w:shd w:val="clear" w:color="auto" w:fill="auto"/>
          </w:tcPr>
          <w:p w14:paraId="3587F207" w14:textId="676AEB7E" w:rsidR="00013008" w:rsidRPr="008313E2" w:rsidRDefault="00013008" w:rsidP="009E380F">
            <w:pPr>
              <w:spacing w:before="120" w:after="120"/>
              <w:rPr>
                <w:b/>
              </w:rPr>
            </w:pPr>
            <w:r w:rsidRPr="008313E2">
              <w:rPr>
                <w:b/>
              </w:rPr>
              <w:t>1b</w:t>
            </w:r>
          </w:p>
        </w:tc>
        <w:tc>
          <w:tcPr>
            <w:tcW w:w="2659" w:type="dxa"/>
            <w:shd w:val="clear" w:color="auto" w:fill="auto"/>
          </w:tcPr>
          <w:p w14:paraId="3B5CCAB0" w14:textId="0BD92DCC" w:rsidR="00013008" w:rsidRPr="008313E2" w:rsidRDefault="00013008" w:rsidP="009E380F">
            <w:pPr>
              <w:spacing w:before="120" w:after="120"/>
              <w:rPr>
                <w:b/>
              </w:rPr>
            </w:pPr>
            <w:r w:rsidRPr="008313E2">
              <w:rPr>
                <w:b/>
              </w:rPr>
              <w:t>Cluster Randomized Control Trial</w:t>
            </w:r>
          </w:p>
        </w:tc>
      </w:tr>
      <w:tr w:rsidR="00013008" w:rsidRPr="008313E2" w14:paraId="35404648" w14:textId="77777777" w:rsidTr="00F81BE7">
        <w:tc>
          <w:tcPr>
            <w:tcW w:w="3987" w:type="dxa"/>
            <w:tcBorders>
              <w:right w:val="single" w:sz="8" w:space="0" w:color="auto"/>
            </w:tcBorders>
            <w:shd w:val="clear" w:color="auto" w:fill="auto"/>
          </w:tcPr>
          <w:p w14:paraId="1DC31422" w14:textId="25BEA99A" w:rsidR="00013008" w:rsidRPr="008313E2" w:rsidRDefault="00013008" w:rsidP="009E380F">
            <w:pPr>
              <w:spacing w:before="120" w:after="120"/>
              <w:rPr>
                <w:b/>
              </w:rPr>
            </w:pPr>
            <w:proofErr w:type="spellStart"/>
            <w:r w:rsidRPr="008313E2">
              <w:rPr>
                <w:b/>
              </w:rPr>
              <w:t>Yoo</w:t>
            </w:r>
            <w:proofErr w:type="spellEnd"/>
            <w:r w:rsidRPr="008313E2">
              <w:rPr>
                <w:b/>
              </w:rPr>
              <w:t xml:space="preserve"> 2010</w:t>
            </w:r>
            <w:r w:rsidRPr="008313E2">
              <w:rPr>
                <w:b/>
                <w:vertAlign w:val="superscript"/>
              </w:rPr>
              <w:t>10</w:t>
            </w:r>
          </w:p>
        </w:tc>
        <w:tc>
          <w:tcPr>
            <w:tcW w:w="1733" w:type="dxa"/>
            <w:tcBorders>
              <w:left w:val="single" w:sz="8" w:space="0" w:color="auto"/>
            </w:tcBorders>
            <w:shd w:val="clear" w:color="auto" w:fill="auto"/>
          </w:tcPr>
          <w:p w14:paraId="5FE80E2D" w14:textId="1E7D3F28" w:rsidR="00013008" w:rsidRPr="008313E2" w:rsidRDefault="00013008" w:rsidP="009E380F">
            <w:pPr>
              <w:spacing w:before="120" w:after="120"/>
              <w:rPr>
                <w:b/>
              </w:rPr>
            </w:pPr>
            <w:r w:rsidRPr="008313E2">
              <w:rPr>
                <w:b/>
              </w:rPr>
              <w:t>AMSTAR score: 9/11</w:t>
            </w:r>
          </w:p>
        </w:tc>
        <w:tc>
          <w:tcPr>
            <w:tcW w:w="2042" w:type="dxa"/>
            <w:shd w:val="clear" w:color="auto" w:fill="auto"/>
          </w:tcPr>
          <w:p w14:paraId="6474CC88" w14:textId="45EC9C93" w:rsidR="00013008" w:rsidRPr="008313E2" w:rsidRDefault="00013008" w:rsidP="009E380F">
            <w:pPr>
              <w:spacing w:before="120" w:after="120"/>
              <w:rPr>
                <w:b/>
              </w:rPr>
            </w:pPr>
            <w:r w:rsidRPr="008313E2">
              <w:rPr>
                <w:b/>
              </w:rPr>
              <w:t>1b</w:t>
            </w:r>
          </w:p>
        </w:tc>
        <w:tc>
          <w:tcPr>
            <w:tcW w:w="2659" w:type="dxa"/>
            <w:shd w:val="clear" w:color="auto" w:fill="auto"/>
          </w:tcPr>
          <w:p w14:paraId="6FD764BB" w14:textId="213F9257" w:rsidR="00013008" w:rsidRPr="008313E2" w:rsidRDefault="00013008" w:rsidP="009E380F">
            <w:pPr>
              <w:spacing w:before="120" w:after="120"/>
              <w:rPr>
                <w:b/>
              </w:rPr>
            </w:pPr>
            <w:r w:rsidRPr="008313E2">
              <w:rPr>
                <w:b/>
              </w:rPr>
              <w:t>Meta-Analysis</w:t>
            </w:r>
          </w:p>
        </w:tc>
      </w:tr>
    </w:tbl>
    <w:p w14:paraId="70264C11" w14:textId="77777777" w:rsidR="001C5A94" w:rsidRPr="008313E2" w:rsidRDefault="001403EC" w:rsidP="001C5A94">
      <w:pPr>
        <w:spacing w:before="120" w:after="120"/>
        <w:rPr>
          <w:b/>
        </w:rPr>
      </w:pPr>
      <w:r w:rsidRPr="008313E2">
        <w:rPr>
          <w:b/>
        </w:rPr>
        <w:t>BEST EVIDENCE</w:t>
      </w:r>
    </w:p>
    <w:p w14:paraId="0841247C" w14:textId="77777777" w:rsidR="001D4F60" w:rsidRPr="008313E2" w:rsidRDefault="001D4F60" w:rsidP="001D4F60">
      <w:pPr>
        <w:spacing w:before="120" w:after="120"/>
      </w:pPr>
      <w:r w:rsidRPr="008313E2">
        <w:t>The following 3 studies were identified as the ‘best’ evidence and selected for critical appraisal.  Reasons for selecting these studies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5458B8" w:rsidRPr="008313E2" w14:paraId="1405DDE8" w14:textId="77777777" w:rsidTr="002F16E1">
        <w:tc>
          <w:tcPr>
            <w:tcW w:w="10421" w:type="dxa"/>
            <w:shd w:val="clear" w:color="auto" w:fill="auto"/>
          </w:tcPr>
          <w:p w14:paraId="6810A769" w14:textId="5BEBE9A8" w:rsidR="006D5573" w:rsidRPr="008313E2" w:rsidRDefault="006D5573" w:rsidP="00013008">
            <w:pPr>
              <w:numPr>
                <w:ilvl w:val="0"/>
                <w:numId w:val="12"/>
              </w:numPr>
              <w:spacing w:before="120" w:after="120"/>
              <w:rPr>
                <w:b/>
              </w:rPr>
            </w:pPr>
            <w:proofErr w:type="spellStart"/>
            <w:r w:rsidRPr="008313E2">
              <w:rPr>
                <w:rFonts w:eastAsiaTheme="minorHAnsi" w:cs="Verdana"/>
                <w:b/>
                <w:lang w:val="en-US"/>
              </w:rPr>
              <w:t>Michaelidis</w:t>
            </w:r>
            <w:proofErr w:type="spellEnd"/>
            <w:r w:rsidRPr="008313E2">
              <w:rPr>
                <w:rFonts w:eastAsiaTheme="minorHAnsi" w:cs="Verdana"/>
                <w:b/>
                <w:lang w:val="en-US"/>
              </w:rPr>
              <w:t xml:space="preserve"> and </w:t>
            </w:r>
            <w:proofErr w:type="spellStart"/>
            <w:r w:rsidRPr="008313E2">
              <w:rPr>
                <w:rFonts w:cs="Times"/>
                <w:b/>
                <w:lang w:val="en-US"/>
              </w:rPr>
              <w:t>Koumantakis</w:t>
            </w:r>
            <w:proofErr w:type="spellEnd"/>
            <w:r w:rsidRPr="008313E2">
              <w:rPr>
                <w:rFonts w:cs="Times"/>
                <w:lang w:val="en-US"/>
              </w:rPr>
              <w:t xml:space="preserve"> </w:t>
            </w:r>
            <w:r w:rsidRPr="008313E2">
              <w:rPr>
                <w:rFonts w:eastAsiaTheme="minorHAnsi" w:cs="Verdana"/>
                <w:b/>
                <w:lang w:val="en-US"/>
              </w:rPr>
              <w:t xml:space="preserve">2014: </w:t>
            </w:r>
            <w:r w:rsidRPr="008313E2">
              <w:rPr>
                <w:rFonts w:eastAsiaTheme="minorHAnsi" w:cs="Verdana"/>
                <w:lang w:val="en-US"/>
              </w:rPr>
              <w:t xml:space="preserve"> This systematic review was chosen because of its high quality and inclusion of female only prevention program programs. There is a separate section in this review that focuses on soccer prevention programs for my targeted female population. Most of the articles included in this section are RCT’s that I found on my own search.</w:t>
            </w:r>
          </w:p>
          <w:p w14:paraId="38639041" w14:textId="77777777" w:rsidR="00013008" w:rsidRPr="008313E2" w:rsidRDefault="00013008" w:rsidP="00013008">
            <w:pPr>
              <w:numPr>
                <w:ilvl w:val="0"/>
                <w:numId w:val="12"/>
              </w:numPr>
              <w:spacing w:before="120" w:after="120"/>
              <w:rPr>
                <w:b/>
              </w:rPr>
            </w:pPr>
            <w:proofErr w:type="spellStart"/>
            <w:r w:rsidRPr="008313E2">
              <w:rPr>
                <w:b/>
              </w:rPr>
              <w:t>Yoo</w:t>
            </w:r>
            <w:proofErr w:type="spellEnd"/>
            <w:r w:rsidRPr="008313E2">
              <w:rPr>
                <w:b/>
              </w:rPr>
              <w:t xml:space="preserve"> 2010: </w:t>
            </w:r>
            <w:r w:rsidRPr="008313E2">
              <w:t xml:space="preserve">I chose </w:t>
            </w:r>
            <w:proofErr w:type="spellStart"/>
            <w:r w:rsidRPr="008313E2">
              <w:t>Yoo</w:t>
            </w:r>
            <w:proofErr w:type="spellEnd"/>
            <w:r w:rsidRPr="008313E2">
              <w:t xml:space="preserve"> 2010 because it was a high quality Meta-analysis of neuromuscular training to prevent ACL injuries in female athletes for a variety of sports. Although it includes female athletes from other sports, soccer is the sport included in the majority of the articles. </w:t>
            </w:r>
          </w:p>
          <w:p w14:paraId="7DB7ECD7" w14:textId="1BC82C03" w:rsidR="005458B8" w:rsidRPr="008313E2" w:rsidRDefault="00013008" w:rsidP="002F16E1">
            <w:pPr>
              <w:numPr>
                <w:ilvl w:val="0"/>
                <w:numId w:val="12"/>
              </w:numPr>
              <w:spacing w:before="120" w:after="120"/>
              <w:rPr>
                <w:b/>
              </w:rPr>
            </w:pPr>
            <w:r w:rsidRPr="008313E2">
              <w:rPr>
                <w:rFonts w:eastAsiaTheme="minorHAnsi" w:cs="Verdana"/>
                <w:b/>
                <w:lang w:val="en-US"/>
              </w:rPr>
              <w:t xml:space="preserve">Gilchrist 2008: </w:t>
            </w:r>
            <w:r w:rsidRPr="008313E2">
              <w:rPr>
                <w:rFonts w:eastAsiaTheme="minorHAnsi" w:cs="Verdana"/>
                <w:lang w:val="en-US"/>
              </w:rPr>
              <w:t>I chose this RCT because it is exactly what my PICO question is looking to answer. It is a RCT (high level of evidence) to prevent Noncontact ACL injury in female collegiate soccer players. The study investigates the efficacy of a prevention program performed 3 times a week on 61 NCAA Division 1 female soccer teams.</w:t>
            </w:r>
          </w:p>
        </w:tc>
      </w:tr>
    </w:tbl>
    <w:p w14:paraId="401ED30A" w14:textId="77777777" w:rsidR="0011199B" w:rsidRPr="008313E2" w:rsidRDefault="001403EC" w:rsidP="0011199B">
      <w:pPr>
        <w:spacing w:before="120" w:after="120"/>
        <w:rPr>
          <w:b/>
        </w:rPr>
      </w:pPr>
      <w:r w:rsidRPr="008313E2">
        <w:rPr>
          <w:b/>
        </w:rPr>
        <w:lastRenderedPageBreak/>
        <w:t>SUMMARY OF BEST EVIDENCE</w:t>
      </w:r>
    </w:p>
    <w:p w14:paraId="79930497" w14:textId="771B5948" w:rsidR="001403EC" w:rsidRPr="008313E2" w:rsidRDefault="001D4F60" w:rsidP="00CB6ABE">
      <w:pPr>
        <w:widowControl w:val="0"/>
        <w:autoSpaceDE w:val="0"/>
        <w:autoSpaceDN w:val="0"/>
        <w:adjustRightInd w:val="0"/>
        <w:spacing w:after="240"/>
        <w:rPr>
          <w:rFonts w:cs="Times"/>
          <w:b/>
          <w:sz w:val="22"/>
          <w:szCs w:val="22"/>
          <w:lang w:val="en-US"/>
        </w:rPr>
      </w:pPr>
      <w:r w:rsidRPr="008313E2">
        <w:rPr>
          <w:b/>
          <w:sz w:val="22"/>
          <w:szCs w:val="22"/>
        </w:rPr>
        <w:t xml:space="preserve">(1) </w:t>
      </w:r>
      <w:r w:rsidR="001403EC" w:rsidRPr="008313E2">
        <w:rPr>
          <w:b/>
          <w:sz w:val="22"/>
          <w:szCs w:val="22"/>
        </w:rPr>
        <w:t xml:space="preserve">Description and appraisal of </w:t>
      </w:r>
      <w:r w:rsidR="00565648" w:rsidRPr="008313E2">
        <w:rPr>
          <w:b/>
          <w:sz w:val="22"/>
          <w:szCs w:val="22"/>
        </w:rPr>
        <w:t>“</w:t>
      </w:r>
      <w:r w:rsidR="00565648" w:rsidRPr="008313E2">
        <w:rPr>
          <w:rFonts w:cs="Times"/>
          <w:b/>
          <w:sz w:val="22"/>
          <w:szCs w:val="22"/>
          <w:lang w:val="en-US"/>
        </w:rPr>
        <w:t xml:space="preserve">Effects of knee injury primary prevention programs on anterior cruciate ligament injury rates in female athletes in different sports: A systematic review” by </w:t>
      </w:r>
      <w:proofErr w:type="spellStart"/>
      <w:r w:rsidR="00565648" w:rsidRPr="008313E2">
        <w:rPr>
          <w:rFonts w:cs="Times"/>
          <w:b/>
          <w:sz w:val="22"/>
          <w:szCs w:val="22"/>
          <w:lang w:val="en-US"/>
        </w:rPr>
        <w:t>Michaelidis</w:t>
      </w:r>
      <w:proofErr w:type="spellEnd"/>
      <w:r w:rsidR="00565648" w:rsidRPr="008313E2">
        <w:rPr>
          <w:rFonts w:cs="Times"/>
          <w:b/>
          <w:sz w:val="22"/>
          <w:szCs w:val="22"/>
          <w:lang w:val="en-US"/>
        </w:rPr>
        <w:t xml:space="preserve"> and </w:t>
      </w:r>
      <w:proofErr w:type="spellStart"/>
      <w:r w:rsidR="00565648" w:rsidRPr="008313E2">
        <w:rPr>
          <w:rFonts w:cs="Times"/>
          <w:b/>
          <w:sz w:val="22"/>
          <w:szCs w:val="22"/>
          <w:lang w:val="en-US"/>
        </w:rPr>
        <w:t>Koumantakis</w:t>
      </w:r>
      <w:proofErr w:type="spellEnd"/>
      <w:r w:rsidR="00565648" w:rsidRPr="008313E2">
        <w:rPr>
          <w:rFonts w:cs="Times"/>
          <w:b/>
          <w:sz w:val="22"/>
          <w:szCs w:val="22"/>
          <w:lang w:val="en-US"/>
        </w:rPr>
        <w:t xml:space="preserve"> 2014</w:t>
      </w:r>
      <w:r w:rsidR="006D5573" w:rsidRPr="008313E2">
        <w:rPr>
          <w:rFonts w:cs="Times"/>
          <w:b/>
          <w:sz w:val="22"/>
          <w:szCs w:val="22"/>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8313E2" w14:paraId="3A0100F1" w14:textId="77777777" w:rsidTr="001D4F60">
        <w:tc>
          <w:tcPr>
            <w:tcW w:w="10421" w:type="dxa"/>
            <w:shd w:val="clear" w:color="auto" w:fill="E6E6E6"/>
          </w:tcPr>
          <w:p w14:paraId="18240C85" w14:textId="77777777" w:rsidR="001D4F60" w:rsidRPr="008313E2" w:rsidRDefault="001D4F60" w:rsidP="009E380F">
            <w:pPr>
              <w:spacing w:before="120" w:after="120"/>
              <w:rPr>
                <w:b/>
              </w:rPr>
            </w:pPr>
            <w:r w:rsidRPr="008313E2">
              <w:rPr>
                <w:b/>
              </w:rPr>
              <w:t>Aim/Objective of the Study/Systematic Review:</w:t>
            </w:r>
          </w:p>
        </w:tc>
      </w:tr>
      <w:tr w:rsidR="001D4F60" w:rsidRPr="008313E2" w14:paraId="7B4EF114" w14:textId="77777777" w:rsidTr="001D4F60">
        <w:tc>
          <w:tcPr>
            <w:tcW w:w="10421" w:type="dxa"/>
            <w:tcBorders>
              <w:bottom w:val="single" w:sz="4" w:space="0" w:color="auto"/>
            </w:tcBorders>
            <w:shd w:val="clear" w:color="auto" w:fill="auto"/>
          </w:tcPr>
          <w:p w14:paraId="04FD0FAC" w14:textId="7410A8A2" w:rsidR="001D4F60" w:rsidRPr="008313E2" w:rsidRDefault="00365920" w:rsidP="008313E2">
            <w:pPr>
              <w:spacing w:before="120" w:after="120"/>
            </w:pPr>
            <w:r w:rsidRPr="008313E2">
              <w:t>The objective of this study was to use a system</w:t>
            </w:r>
            <w:r w:rsidR="00DD6B0E" w:rsidRPr="008313E2">
              <w:t>at</w:t>
            </w:r>
            <w:r w:rsidRPr="008313E2">
              <w:t xml:space="preserve">ic review approach to assess the effectiveness and success of ACL injury prevention programs on injury rates in female athletes between different sports. The study also aimed to analyse the content and method of delivery of successful programs. </w:t>
            </w:r>
          </w:p>
        </w:tc>
      </w:tr>
      <w:tr w:rsidR="001D4F60" w:rsidRPr="008313E2" w14:paraId="11AF6CB9" w14:textId="77777777" w:rsidTr="001D4F60">
        <w:tc>
          <w:tcPr>
            <w:tcW w:w="10421" w:type="dxa"/>
            <w:shd w:val="clear" w:color="auto" w:fill="E6E6E6"/>
          </w:tcPr>
          <w:p w14:paraId="7402276D" w14:textId="6388040F" w:rsidR="001D4F60" w:rsidRPr="008313E2" w:rsidRDefault="001D4F60" w:rsidP="009E380F">
            <w:pPr>
              <w:spacing w:before="120" w:after="120"/>
              <w:jc w:val="both"/>
              <w:rPr>
                <w:b/>
              </w:rPr>
            </w:pPr>
            <w:r w:rsidRPr="008313E2">
              <w:rPr>
                <w:b/>
              </w:rPr>
              <w:t>Study Desig</w:t>
            </w:r>
            <w:r w:rsidR="008313E2">
              <w:rPr>
                <w:b/>
              </w:rPr>
              <w:t>n</w:t>
            </w:r>
          </w:p>
        </w:tc>
      </w:tr>
      <w:tr w:rsidR="001D4F60" w:rsidRPr="008313E2" w14:paraId="6C0426B5" w14:textId="77777777" w:rsidTr="001D4F60">
        <w:tc>
          <w:tcPr>
            <w:tcW w:w="10421" w:type="dxa"/>
            <w:tcBorders>
              <w:bottom w:val="single" w:sz="4" w:space="0" w:color="auto"/>
            </w:tcBorders>
            <w:shd w:val="clear" w:color="auto" w:fill="auto"/>
          </w:tcPr>
          <w:p w14:paraId="11EAACE2" w14:textId="77777777" w:rsidR="00DD6B0E" w:rsidRPr="008313E2" w:rsidRDefault="00DD6B0E" w:rsidP="00DD6B0E">
            <w:pPr>
              <w:spacing w:before="120" w:after="120"/>
            </w:pPr>
            <w:r w:rsidRPr="008313E2">
              <w:t xml:space="preserve">The study is a systematic review of 13 </w:t>
            </w:r>
            <w:r w:rsidR="00AC4C7D" w:rsidRPr="008313E2">
              <w:t>randomized and non-randomized controlled</w:t>
            </w:r>
            <w:r w:rsidR="00CB702A" w:rsidRPr="008313E2">
              <w:t xml:space="preserve"> </w:t>
            </w:r>
            <w:r w:rsidRPr="008313E2">
              <w:t>studies.</w:t>
            </w:r>
          </w:p>
          <w:p w14:paraId="72F70C00" w14:textId="77777777" w:rsidR="00CB702A" w:rsidRPr="008313E2" w:rsidRDefault="00DD6B0E" w:rsidP="00DD6B0E">
            <w:pPr>
              <w:widowControl w:val="0"/>
              <w:autoSpaceDE w:val="0"/>
              <w:autoSpaceDN w:val="0"/>
              <w:adjustRightInd w:val="0"/>
              <w:spacing w:after="240"/>
            </w:pPr>
            <w:r w:rsidRPr="008313E2">
              <w:rPr>
                <w:b/>
              </w:rPr>
              <w:t xml:space="preserve">Search Strategy: </w:t>
            </w:r>
            <w:r w:rsidR="00CB702A" w:rsidRPr="008313E2">
              <w:t xml:space="preserve">This systematic review was conducted in September 2012 using the following electronic databases: </w:t>
            </w:r>
            <w:proofErr w:type="spellStart"/>
            <w:r w:rsidR="00CB702A" w:rsidRPr="008313E2">
              <w:t>Pubmed</w:t>
            </w:r>
            <w:proofErr w:type="spellEnd"/>
            <w:r w:rsidR="00CB702A" w:rsidRPr="008313E2">
              <w:t xml:space="preserve"> Central, Science Direct, CINAHL, </w:t>
            </w:r>
            <w:proofErr w:type="spellStart"/>
            <w:r w:rsidR="00CB702A" w:rsidRPr="008313E2">
              <w:t>PEDro</w:t>
            </w:r>
            <w:proofErr w:type="spellEnd"/>
            <w:r w:rsidR="00CB702A" w:rsidRPr="008313E2">
              <w:t xml:space="preserve">, Cochrane Library, SCOPUS, and </w:t>
            </w:r>
            <w:proofErr w:type="spellStart"/>
            <w:r w:rsidR="00CB702A" w:rsidRPr="008313E2">
              <w:t>SPORTDiscus</w:t>
            </w:r>
            <w:proofErr w:type="spellEnd"/>
            <w:r w:rsidR="00CB702A" w:rsidRPr="008313E2">
              <w:t xml:space="preserve">. </w:t>
            </w:r>
            <w:r w:rsidR="002A57FD" w:rsidRPr="008313E2">
              <w:t xml:space="preserve">The search was filtered for studies in the English language, from the earliest records available, and for human subjects. Key words were: anterior cruciate ligament, ACL, knee joint, knee injuries, female, athletes, neuromuscular, training, and prevention. In addition, sport injury textbooks were hand searched. </w:t>
            </w:r>
          </w:p>
          <w:p w14:paraId="0A945B28" w14:textId="77777777" w:rsidR="002A57FD" w:rsidRPr="008313E2" w:rsidRDefault="00DD6B0E" w:rsidP="00DD6B0E">
            <w:pPr>
              <w:spacing w:before="120" w:after="120"/>
            </w:pPr>
            <w:r w:rsidRPr="008313E2">
              <w:rPr>
                <w:b/>
              </w:rPr>
              <w:t xml:space="preserve">Selection Criteria: </w:t>
            </w:r>
            <w:r w:rsidR="00B85ACE" w:rsidRPr="008313E2">
              <w:t>Articles had to meet three inclusion criteria: (1) ACL injury prevention training program for female athletes; (2) Athlete-exposure data, expressed in hours</w:t>
            </w:r>
            <w:r w:rsidR="008F408E" w:rsidRPr="008313E2">
              <w:t>;</w:t>
            </w:r>
            <w:r w:rsidR="00B85ACE" w:rsidRPr="008313E2">
              <w:t xml:space="preserve"> and (3)</w:t>
            </w:r>
            <w:r w:rsidR="008F408E" w:rsidRPr="008313E2">
              <w:t xml:space="preserve"> effect of training on incidence rates for female athletes. Studies were excluded if the prevention programs were tested on males only, only used video awareness or cognitive training techniques, or focused on neuromuscular training following ACL reconstruction. </w:t>
            </w:r>
          </w:p>
          <w:p w14:paraId="7879CA72" w14:textId="77777777" w:rsidR="008F408E" w:rsidRPr="008313E2" w:rsidRDefault="008F408E" w:rsidP="00DD6B0E">
            <w:pPr>
              <w:spacing w:before="120" w:after="120"/>
            </w:pPr>
            <w:r w:rsidRPr="008313E2">
              <w:rPr>
                <w:b/>
              </w:rPr>
              <w:t xml:space="preserve">Methodological Quality Evaluation: </w:t>
            </w:r>
            <w:r w:rsidRPr="008313E2">
              <w:t xml:space="preserve">Two reviewers independently evaluated the randomized control trial studies included in this systematic review with the </w:t>
            </w:r>
            <w:proofErr w:type="spellStart"/>
            <w:r w:rsidRPr="008313E2">
              <w:t>PEDro</w:t>
            </w:r>
            <w:proofErr w:type="spellEnd"/>
            <w:r w:rsidRPr="008313E2">
              <w:t xml:space="preserve"> scale. </w:t>
            </w:r>
            <w:r w:rsidR="00A15107" w:rsidRPr="008313E2">
              <w:t xml:space="preserve">Studies rated 8/10 or higher were considered excellent quality, 5-7/10 </w:t>
            </w:r>
            <w:proofErr w:type="gramStart"/>
            <w:r w:rsidR="00A15107" w:rsidRPr="008313E2">
              <w:t>were</w:t>
            </w:r>
            <w:proofErr w:type="gramEnd"/>
            <w:r w:rsidR="00430F5C" w:rsidRPr="008313E2">
              <w:t xml:space="preserve"> considered</w:t>
            </w:r>
            <w:r w:rsidR="00A15107" w:rsidRPr="008313E2">
              <w:t xml:space="preserve"> good quality, and studies rated 4/10 or below were considered poor quality. </w:t>
            </w:r>
            <w:r w:rsidR="00430F5C" w:rsidRPr="008313E2">
              <w:t xml:space="preserve">Seven of the 13 studies were rated on the </w:t>
            </w:r>
            <w:proofErr w:type="spellStart"/>
            <w:r w:rsidR="00430F5C" w:rsidRPr="008313E2">
              <w:t>PEDro</w:t>
            </w:r>
            <w:proofErr w:type="spellEnd"/>
            <w:r w:rsidR="00430F5C" w:rsidRPr="008313E2">
              <w:t xml:space="preserve"> scale resulting in 1 study of excellent quality, 4 studies of good quality, and 2 studies of poor quality. </w:t>
            </w:r>
          </w:p>
          <w:p w14:paraId="73586B1A" w14:textId="77777777" w:rsidR="00430F5C" w:rsidRPr="008313E2" w:rsidRDefault="00DD6B0E" w:rsidP="00DD6B0E">
            <w:pPr>
              <w:spacing w:before="120" w:after="120"/>
            </w:pPr>
            <w:r w:rsidRPr="008313E2">
              <w:rPr>
                <w:b/>
              </w:rPr>
              <w:t xml:space="preserve">Data </w:t>
            </w:r>
            <w:r w:rsidR="00A15107" w:rsidRPr="008313E2">
              <w:rPr>
                <w:b/>
              </w:rPr>
              <w:t>Extraction</w:t>
            </w:r>
            <w:r w:rsidRPr="008313E2">
              <w:t xml:space="preserve">: </w:t>
            </w:r>
            <w:r w:rsidR="00430F5C" w:rsidRPr="008313E2">
              <w:t>Data from the chosen articles were:</w:t>
            </w:r>
          </w:p>
          <w:p w14:paraId="2211AFAB" w14:textId="77777777" w:rsidR="00430F5C" w:rsidRPr="008313E2" w:rsidRDefault="00C36AEB" w:rsidP="00430F5C">
            <w:pPr>
              <w:pStyle w:val="ListParagraph"/>
              <w:numPr>
                <w:ilvl w:val="0"/>
                <w:numId w:val="13"/>
              </w:numPr>
              <w:spacing w:before="120" w:after="120"/>
            </w:pPr>
            <w:r w:rsidRPr="008313E2">
              <w:t>Sport, age, level and number of athletes tested</w:t>
            </w:r>
          </w:p>
          <w:p w14:paraId="1B8D0A44" w14:textId="77777777" w:rsidR="00C36AEB" w:rsidRPr="008313E2" w:rsidRDefault="00C36AEB" w:rsidP="00430F5C">
            <w:pPr>
              <w:pStyle w:val="ListParagraph"/>
              <w:numPr>
                <w:ilvl w:val="0"/>
                <w:numId w:val="13"/>
              </w:numPr>
              <w:spacing w:before="120" w:after="120"/>
            </w:pPr>
            <w:r w:rsidRPr="008313E2">
              <w:t>Number of ACL injuries; categorized as non-contact or contact</w:t>
            </w:r>
          </w:p>
          <w:p w14:paraId="0CCF8FB3" w14:textId="77777777" w:rsidR="00C36AEB" w:rsidRPr="008313E2" w:rsidRDefault="00C36AEB" w:rsidP="00430F5C">
            <w:pPr>
              <w:pStyle w:val="ListParagraph"/>
              <w:numPr>
                <w:ilvl w:val="0"/>
                <w:numId w:val="13"/>
              </w:numPr>
              <w:spacing w:before="120" w:after="120"/>
            </w:pPr>
            <w:r w:rsidRPr="008313E2">
              <w:t>The program training components (</w:t>
            </w:r>
            <w:proofErr w:type="spellStart"/>
            <w:r w:rsidRPr="008313E2">
              <w:t>plyometrics</w:t>
            </w:r>
            <w:proofErr w:type="spellEnd"/>
            <w:r w:rsidRPr="008313E2">
              <w:t xml:space="preserve">, strength, balance, </w:t>
            </w:r>
            <w:proofErr w:type="spellStart"/>
            <w:r w:rsidRPr="008313E2">
              <w:t>etc</w:t>
            </w:r>
            <w:proofErr w:type="spellEnd"/>
            <w:r w:rsidRPr="008313E2">
              <w:t>…) and duration</w:t>
            </w:r>
          </w:p>
          <w:p w14:paraId="11C873F6" w14:textId="77777777" w:rsidR="00C36AEB" w:rsidRPr="008313E2" w:rsidRDefault="00C36AEB" w:rsidP="00430F5C">
            <w:pPr>
              <w:pStyle w:val="ListParagraph"/>
              <w:numPr>
                <w:ilvl w:val="0"/>
                <w:numId w:val="13"/>
              </w:numPr>
              <w:spacing w:before="120" w:after="120"/>
            </w:pPr>
            <w:r w:rsidRPr="008313E2">
              <w:t>ACL injury incidence rates in terms of athlete exposures</w:t>
            </w:r>
          </w:p>
          <w:p w14:paraId="5215651B" w14:textId="77777777" w:rsidR="00C36AEB" w:rsidRPr="008313E2" w:rsidRDefault="00C36AEB" w:rsidP="00430F5C">
            <w:pPr>
              <w:pStyle w:val="ListParagraph"/>
              <w:numPr>
                <w:ilvl w:val="0"/>
                <w:numId w:val="13"/>
              </w:numPr>
              <w:spacing w:before="120" w:after="120"/>
            </w:pPr>
            <w:r w:rsidRPr="008313E2">
              <w:t>Compliance level</w:t>
            </w:r>
          </w:p>
          <w:p w14:paraId="19D49441" w14:textId="77777777" w:rsidR="00C36AEB" w:rsidRPr="008313E2" w:rsidRDefault="00DD6B0E" w:rsidP="00DD6B0E">
            <w:pPr>
              <w:spacing w:before="120" w:after="120"/>
            </w:pPr>
            <w:r w:rsidRPr="008313E2">
              <w:rPr>
                <w:b/>
              </w:rPr>
              <w:t xml:space="preserve">Meta-analysis: </w:t>
            </w:r>
            <w:r w:rsidR="00C36AEB" w:rsidRPr="008313E2">
              <w:t>ACL injuries per 1000 hours of exposure were calculated for each study. The authors calculated the between-group injury rate significance in the studies that had multiple sport populations. The Chi-square test</w:t>
            </w:r>
            <w:r w:rsidR="000C3F58" w:rsidRPr="008313E2">
              <w:t xml:space="preserve"> was utilized through the IBM SPSS Statistics program (version 19)</w:t>
            </w:r>
            <w:r w:rsidR="00C36AEB" w:rsidRPr="008313E2">
              <w:t xml:space="preserve"> </w:t>
            </w:r>
            <w:r w:rsidR="000C3F58" w:rsidRPr="008313E2">
              <w:t xml:space="preserve">to obtain the number of non-contact ACL injuries and the athlete-exposure for each sport separately. </w:t>
            </w:r>
          </w:p>
          <w:p w14:paraId="0B48341E" w14:textId="77777777" w:rsidR="001D4F60" w:rsidRPr="008313E2" w:rsidRDefault="001D4F60" w:rsidP="009E380F">
            <w:pPr>
              <w:spacing w:before="120" w:after="120"/>
              <w:jc w:val="right"/>
            </w:pPr>
          </w:p>
        </w:tc>
      </w:tr>
      <w:tr w:rsidR="001D4F60" w:rsidRPr="008313E2" w14:paraId="63D8F7C0" w14:textId="77777777" w:rsidTr="001D4F60">
        <w:tc>
          <w:tcPr>
            <w:tcW w:w="10421" w:type="dxa"/>
            <w:shd w:val="clear" w:color="auto" w:fill="E6E6E6"/>
          </w:tcPr>
          <w:p w14:paraId="23252A6A" w14:textId="0F46D85B" w:rsidR="001D4F60" w:rsidRPr="008313E2" w:rsidRDefault="001D4F60" w:rsidP="00546DAC">
            <w:pPr>
              <w:spacing w:before="120" w:after="120"/>
              <w:rPr>
                <w:b/>
              </w:rPr>
            </w:pPr>
            <w:r w:rsidRPr="008313E2">
              <w:rPr>
                <w:b/>
              </w:rPr>
              <w:t>Setting</w:t>
            </w:r>
          </w:p>
        </w:tc>
      </w:tr>
      <w:tr w:rsidR="001D4F60" w:rsidRPr="008313E2" w14:paraId="3E5FC9B5" w14:textId="77777777" w:rsidTr="001D4F60">
        <w:tc>
          <w:tcPr>
            <w:tcW w:w="10421" w:type="dxa"/>
            <w:tcBorders>
              <w:bottom w:val="single" w:sz="4" w:space="0" w:color="auto"/>
            </w:tcBorders>
            <w:shd w:val="clear" w:color="auto" w:fill="auto"/>
          </w:tcPr>
          <w:p w14:paraId="042AEA1A" w14:textId="77777777" w:rsidR="00000E98" w:rsidRPr="008313E2" w:rsidRDefault="00000E98" w:rsidP="00000E98">
            <w:pPr>
              <w:pStyle w:val="ListParagraph"/>
              <w:numPr>
                <w:ilvl w:val="0"/>
                <w:numId w:val="14"/>
              </w:numPr>
              <w:spacing w:before="120" w:after="120"/>
            </w:pPr>
            <w:r w:rsidRPr="008313E2">
              <w:t xml:space="preserve">Female sport programs in a variety of different cities </w:t>
            </w:r>
          </w:p>
          <w:p w14:paraId="70130EB9" w14:textId="68DFE62F" w:rsidR="00000E98" w:rsidRPr="008313E2" w:rsidRDefault="00000E98" w:rsidP="00000E98">
            <w:pPr>
              <w:pStyle w:val="ListParagraph"/>
              <w:numPr>
                <w:ilvl w:val="0"/>
                <w:numId w:val="14"/>
              </w:numPr>
              <w:spacing w:before="120" w:after="120"/>
            </w:pPr>
            <w:r w:rsidRPr="008313E2">
              <w:t xml:space="preserve">Sport settings included: soccer, </w:t>
            </w:r>
            <w:proofErr w:type="spellStart"/>
            <w:r w:rsidRPr="008313E2">
              <w:t>floorball</w:t>
            </w:r>
            <w:proofErr w:type="spellEnd"/>
            <w:r w:rsidRPr="008313E2">
              <w:t xml:space="preserve">, basketball, </w:t>
            </w:r>
            <w:r w:rsidR="00C77C12" w:rsidRPr="008313E2">
              <w:t xml:space="preserve">handball, </w:t>
            </w:r>
            <w:r w:rsidRPr="008313E2">
              <w:t>and volleyball</w:t>
            </w:r>
          </w:p>
          <w:p w14:paraId="7B27BBE2" w14:textId="2B03BBB7" w:rsidR="001D4F60" w:rsidRPr="008313E2" w:rsidRDefault="00000E98" w:rsidP="00B71323">
            <w:pPr>
              <w:pStyle w:val="ListParagraph"/>
              <w:numPr>
                <w:ilvl w:val="0"/>
                <w:numId w:val="14"/>
              </w:numPr>
              <w:spacing w:before="120" w:after="120"/>
            </w:pPr>
            <w:r w:rsidRPr="008313E2">
              <w:t>Level of sport included co</w:t>
            </w:r>
            <w:r w:rsidR="00FC48CB" w:rsidRPr="008313E2">
              <w:t xml:space="preserve">mpetitive organized </w:t>
            </w:r>
            <w:r w:rsidR="002576D3" w:rsidRPr="008313E2">
              <w:t>high school, collegiate and other levels</w:t>
            </w:r>
            <w:r w:rsidR="00B71323" w:rsidRPr="008313E2">
              <w:t>.</w:t>
            </w:r>
          </w:p>
        </w:tc>
      </w:tr>
      <w:tr w:rsidR="001D4F60" w:rsidRPr="008313E2" w14:paraId="7E0EFB9B" w14:textId="77777777" w:rsidTr="001D4F60">
        <w:tc>
          <w:tcPr>
            <w:tcW w:w="10421" w:type="dxa"/>
            <w:shd w:val="clear" w:color="auto" w:fill="E6E6E6"/>
          </w:tcPr>
          <w:p w14:paraId="15B28E6F" w14:textId="27C10A1D" w:rsidR="001D4F60" w:rsidRPr="008313E2" w:rsidRDefault="001D4F60" w:rsidP="009E380F">
            <w:pPr>
              <w:spacing w:before="120" w:after="120"/>
              <w:rPr>
                <w:b/>
              </w:rPr>
            </w:pPr>
            <w:r w:rsidRPr="008313E2">
              <w:rPr>
                <w:b/>
              </w:rPr>
              <w:t>Participants</w:t>
            </w:r>
          </w:p>
        </w:tc>
      </w:tr>
      <w:tr w:rsidR="00C77C12" w:rsidRPr="008313E2" w14:paraId="711AD739" w14:textId="77777777" w:rsidTr="001D4F60">
        <w:tc>
          <w:tcPr>
            <w:tcW w:w="10421" w:type="dxa"/>
            <w:tcBorders>
              <w:bottom w:val="single" w:sz="4" w:space="0" w:color="auto"/>
            </w:tcBorders>
            <w:shd w:val="clear" w:color="auto" w:fill="auto"/>
          </w:tcPr>
          <w:p w14:paraId="08424341" w14:textId="2BE6D1AF" w:rsidR="00C77C12" w:rsidRPr="008313E2" w:rsidRDefault="00C215D2" w:rsidP="00C77C12">
            <w:pPr>
              <w:spacing w:before="120" w:after="120"/>
            </w:pPr>
            <w:r w:rsidRPr="008313E2">
              <w:t xml:space="preserve">This meta-analysis of 13 studies yielded a total sample size of 22,052 female athletes, with 9,9897 in the trained group (received an ACL prevention program) and 12,155 in the untrained group (did not participate in a prevention program). The sports </w:t>
            </w:r>
            <w:r w:rsidR="00267D6D" w:rsidRPr="008313E2">
              <w:t xml:space="preserve">(number of articles) </w:t>
            </w:r>
            <w:r w:rsidRPr="008313E2">
              <w:t>included in this analysis were soccer</w:t>
            </w:r>
            <w:r w:rsidR="00C30A9A" w:rsidRPr="008313E2">
              <w:t xml:space="preserve"> (9</w:t>
            </w:r>
            <w:r w:rsidR="00267D6D" w:rsidRPr="008313E2">
              <w:t>)</w:t>
            </w:r>
            <w:r w:rsidRPr="008313E2">
              <w:t xml:space="preserve">, </w:t>
            </w:r>
            <w:proofErr w:type="spellStart"/>
            <w:r w:rsidRPr="008313E2">
              <w:t>floorball</w:t>
            </w:r>
            <w:proofErr w:type="spellEnd"/>
            <w:r w:rsidR="00267D6D" w:rsidRPr="008313E2">
              <w:t xml:space="preserve"> (1)</w:t>
            </w:r>
            <w:r w:rsidRPr="008313E2">
              <w:t>, basketball</w:t>
            </w:r>
            <w:r w:rsidR="00B71323" w:rsidRPr="008313E2">
              <w:t xml:space="preserve"> (2)</w:t>
            </w:r>
            <w:r w:rsidRPr="008313E2">
              <w:t>, handball</w:t>
            </w:r>
            <w:r w:rsidR="00B71323" w:rsidRPr="008313E2">
              <w:t xml:space="preserve"> (3)</w:t>
            </w:r>
            <w:r w:rsidRPr="008313E2">
              <w:t>, and volleyball</w:t>
            </w:r>
            <w:r w:rsidR="00B71323" w:rsidRPr="008313E2">
              <w:t xml:space="preserve"> (2)</w:t>
            </w:r>
            <w:r w:rsidRPr="008313E2">
              <w:t xml:space="preserve">. </w:t>
            </w:r>
            <w:r w:rsidR="00C30A9A" w:rsidRPr="008313E2">
              <w:t>A couple of the studies used a mixed population.</w:t>
            </w:r>
            <w:r w:rsidR="00546DAC" w:rsidRPr="008313E2">
              <w:t xml:space="preserve"> For these studies sport specific data was separated.</w:t>
            </w:r>
            <w:r w:rsidR="00C30A9A" w:rsidRPr="008313E2">
              <w:t xml:space="preserve"> Overall, f</w:t>
            </w:r>
            <w:r w:rsidRPr="008313E2">
              <w:t>emale soccer players represented the majority of athlete</w:t>
            </w:r>
            <w:r w:rsidR="00C30A9A" w:rsidRPr="008313E2">
              <w:t>s involved in this study, with 9</w:t>
            </w:r>
            <w:r w:rsidRPr="008313E2">
              <w:t xml:space="preserve"> out of the 13 articles focused on soccer player</w:t>
            </w:r>
            <w:r w:rsidR="00C30A9A" w:rsidRPr="008313E2">
              <w:t>s</w:t>
            </w:r>
            <w:r w:rsidRPr="008313E2">
              <w:t>. The majority of</w:t>
            </w:r>
            <w:r w:rsidR="00A1546F" w:rsidRPr="008313E2">
              <w:t xml:space="preserve"> athletes’ age ranged from 14 – 26 years of old</w:t>
            </w:r>
            <w:r w:rsidR="00B71323" w:rsidRPr="008313E2">
              <w:t xml:space="preserve"> and </w:t>
            </w:r>
            <w:r w:rsidR="00B71323" w:rsidRPr="008313E2">
              <w:lastRenderedPageBreak/>
              <w:t xml:space="preserve">athletes were described as elite or non-elite. </w:t>
            </w:r>
          </w:p>
        </w:tc>
      </w:tr>
      <w:tr w:rsidR="00C77C12" w:rsidRPr="008313E2" w14:paraId="11316503" w14:textId="77777777" w:rsidTr="001D4F60">
        <w:tc>
          <w:tcPr>
            <w:tcW w:w="10421" w:type="dxa"/>
            <w:shd w:val="clear" w:color="auto" w:fill="E6E6E6"/>
          </w:tcPr>
          <w:p w14:paraId="294D2FD9" w14:textId="2C54F418" w:rsidR="00C77C12" w:rsidRPr="008313E2" w:rsidRDefault="00C77C12" w:rsidP="009E380F">
            <w:pPr>
              <w:spacing w:before="120" w:after="120"/>
              <w:rPr>
                <w:b/>
              </w:rPr>
            </w:pPr>
            <w:r w:rsidRPr="008313E2">
              <w:rPr>
                <w:b/>
              </w:rPr>
              <w:lastRenderedPageBreak/>
              <w:t>Intervention Investigated</w:t>
            </w:r>
          </w:p>
        </w:tc>
      </w:tr>
      <w:tr w:rsidR="00C77C12" w:rsidRPr="008313E2" w14:paraId="356AE166" w14:textId="77777777" w:rsidTr="001D4F60">
        <w:tc>
          <w:tcPr>
            <w:tcW w:w="10421" w:type="dxa"/>
            <w:shd w:val="clear" w:color="auto" w:fill="auto"/>
          </w:tcPr>
          <w:p w14:paraId="2EFCDB03" w14:textId="77777777" w:rsidR="00C77C12" w:rsidRPr="008313E2" w:rsidRDefault="00C77C12" w:rsidP="009E380F">
            <w:pPr>
              <w:spacing w:before="120" w:after="120"/>
              <w:rPr>
                <w:i/>
              </w:rPr>
            </w:pPr>
            <w:r w:rsidRPr="008313E2">
              <w:rPr>
                <w:i/>
              </w:rPr>
              <w:t>Control</w:t>
            </w:r>
          </w:p>
        </w:tc>
      </w:tr>
      <w:tr w:rsidR="00A1546F" w:rsidRPr="008313E2" w14:paraId="3984ADC4" w14:textId="77777777" w:rsidTr="001D4F60">
        <w:tc>
          <w:tcPr>
            <w:tcW w:w="10421" w:type="dxa"/>
            <w:shd w:val="clear" w:color="auto" w:fill="auto"/>
          </w:tcPr>
          <w:p w14:paraId="59B96C82" w14:textId="41099A60" w:rsidR="00A1546F" w:rsidRPr="008313E2" w:rsidRDefault="00A1546F" w:rsidP="009E380F">
            <w:pPr>
              <w:spacing w:before="120" w:after="120"/>
            </w:pPr>
            <w:r w:rsidRPr="008313E2">
              <w:t xml:space="preserve">Female athletes who did not participate in an ACL prevention program at any point during the pre-season or season. </w:t>
            </w:r>
          </w:p>
        </w:tc>
      </w:tr>
      <w:tr w:rsidR="00A1546F" w:rsidRPr="008313E2" w14:paraId="6A0B6C58" w14:textId="77777777" w:rsidTr="001D4F60">
        <w:tc>
          <w:tcPr>
            <w:tcW w:w="10421" w:type="dxa"/>
            <w:shd w:val="clear" w:color="auto" w:fill="auto"/>
          </w:tcPr>
          <w:p w14:paraId="320AF951" w14:textId="77777777" w:rsidR="00A1546F" w:rsidRPr="008313E2" w:rsidRDefault="00A1546F" w:rsidP="009E380F">
            <w:pPr>
              <w:spacing w:before="120" w:after="120"/>
              <w:rPr>
                <w:i/>
              </w:rPr>
            </w:pPr>
            <w:r w:rsidRPr="008313E2">
              <w:rPr>
                <w:i/>
              </w:rPr>
              <w:t>Experimental</w:t>
            </w:r>
          </w:p>
        </w:tc>
      </w:tr>
      <w:tr w:rsidR="00A1546F" w:rsidRPr="008313E2" w14:paraId="65B524AF" w14:textId="77777777" w:rsidTr="001D4F60">
        <w:tc>
          <w:tcPr>
            <w:tcW w:w="10421" w:type="dxa"/>
            <w:tcBorders>
              <w:bottom w:val="single" w:sz="4" w:space="0" w:color="auto"/>
            </w:tcBorders>
            <w:shd w:val="clear" w:color="auto" w:fill="auto"/>
          </w:tcPr>
          <w:p w14:paraId="0888085A" w14:textId="7102F633" w:rsidR="00A1546F" w:rsidRPr="008313E2" w:rsidRDefault="00A1546F" w:rsidP="00A1546F">
            <w:pPr>
              <w:spacing w:before="120" w:after="120"/>
            </w:pPr>
            <w:r w:rsidRPr="008313E2">
              <w:t xml:space="preserve">Female athletes who performed an ACL-prevention program during the pre-season, in-season, or combination of both. Prevention program components varied between studies and included training in </w:t>
            </w:r>
            <w:proofErr w:type="spellStart"/>
            <w:r w:rsidRPr="008313E2">
              <w:t>plyometrics</w:t>
            </w:r>
            <w:proofErr w:type="spellEnd"/>
            <w:r w:rsidRPr="008313E2">
              <w:t xml:space="preserve">, strengthening, agility, and/or balance. </w:t>
            </w:r>
          </w:p>
        </w:tc>
      </w:tr>
      <w:tr w:rsidR="00A1546F" w:rsidRPr="008313E2" w14:paraId="70A56652" w14:textId="77777777" w:rsidTr="001D4F60">
        <w:tc>
          <w:tcPr>
            <w:tcW w:w="10421" w:type="dxa"/>
            <w:shd w:val="clear" w:color="auto" w:fill="E6E6E6"/>
          </w:tcPr>
          <w:p w14:paraId="38A0172A" w14:textId="731EA648" w:rsidR="00A1546F" w:rsidRPr="008313E2" w:rsidRDefault="00A1546F" w:rsidP="009E380F">
            <w:pPr>
              <w:spacing w:before="120" w:after="120"/>
            </w:pPr>
            <w:r w:rsidRPr="008313E2">
              <w:rPr>
                <w:b/>
              </w:rPr>
              <w:t>Outcome Measures</w:t>
            </w:r>
            <w:r w:rsidRPr="008313E2">
              <w:t xml:space="preserve"> (Primary and Secondary)</w:t>
            </w:r>
          </w:p>
        </w:tc>
      </w:tr>
      <w:tr w:rsidR="00A1546F" w:rsidRPr="008313E2" w14:paraId="466D544B" w14:textId="77777777" w:rsidTr="001D4F60">
        <w:tc>
          <w:tcPr>
            <w:tcW w:w="10421" w:type="dxa"/>
            <w:tcBorders>
              <w:bottom w:val="single" w:sz="4" w:space="0" w:color="auto"/>
            </w:tcBorders>
            <w:shd w:val="clear" w:color="auto" w:fill="auto"/>
          </w:tcPr>
          <w:p w14:paraId="2EF8AA74" w14:textId="05AD8D7D" w:rsidR="00EF0D40" w:rsidRPr="008313E2" w:rsidRDefault="00EF0D40" w:rsidP="009E380F">
            <w:pPr>
              <w:spacing w:before="120" w:after="120"/>
              <w:rPr>
                <w:b/>
              </w:rPr>
            </w:pPr>
            <w:r w:rsidRPr="008313E2">
              <w:rPr>
                <w:b/>
              </w:rPr>
              <w:t>Primary Outcome Measure:</w:t>
            </w:r>
          </w:p>
          <w:p w14:paraId="14533D3F" w14:textId="03A6BC33" w:rsidR="00A1546F" w:rsidRPr="008313E2" w:rsidRDefault="00EF0D40" w:rsidP="00EF0D40">
            <w:pPr>
              <w:pStyle w:val="ListParagraph"/>
              <w:numPr>
                <w:ilvl w:val="0"/>
                <w:numId w:val="15"/>
              </w:numPr>
              <w:spacing w:before="120" w:after="120"/>
            </w:pPr>
            <w:r w:rsidRPr="008313E2">
              <w:rPr>
                <w:b/>
              </w:rPr>
              <w:t>Injury</w:t>
            </w:r>
            <w:r w:rsidRPr="008313E2">
              <w:t xml:space="preserve"> </w:t>
            </w:r>
            <w:r w:rsidRPr="008313E2">
              <w:rPr>
                <w:b/>
              </w:rPr>
              <w:t>Rate</w:t>
            </w:r>
            <w:r w:rsidRPr="008313E2">
              <w:t xml:space="preserve">: </w:t>
            </w:r>
            <w:r w:rsidR="00AB77BC" w:rsidRPr="008313E2">
              <w:t xml:space="preserve">The main outcome measure in this study was the ACL injury rate described as “ACL knee Injuries per 1000 hours of exposure”. </w:t>
            </w:r>
            <w:r w:rsidR="002760F9" w:rsidRPr="008313E2">
              <w:t>One athlete-exposure was</w:t>
            </w:r>
            <w:r w:rsidRPr="008313E2">
              <w:t xml:space="preserve"> equivalent to 1 practice or game. </w:t>
            </w:r>
            <w:r w:rsidR="00AB77BC" w:rsidRPr="008313E2">
              <w:t>Injury rates from the control groups and experimental groups were compared and a “between-group significance” was calculated</w:t>
            </w:r>
            <w:r w:rsidRPr="008313E2">
              <w:t>.</w:t>
            </w:r>
            <w:r w:rsidR="002760F9" w:rsidRPr="008313E2">
              <w:t xml:space="preserve"> </w:t>
            </w:r>
          </w:p>
          <w:p w14:paraId="3B5C7E23" w14:textId="77777777" w:rsidR="00EF0D40" w:rsidRPr="008313E2" w:rsidRDefault="00EF0D40" w:rsidP="009E380F">
            <w:pPr>
              <w:spacing w:before="120" w:after="120"/>
              <w:rPr>
                <w:b/>
              </w:rPr>
            </w:pPr>
            <w:r w:rsidRPr="008313E2">
              <w:rPr>
                <w:b/>
              </w:rPr>
              <w:t>Secondary Outcome Measure:</w:t>
            </w:r>
          </w:p>
          <w:p w14:paraId="57D2A0BD" w14:textId="3AD7095D" w:rsidR="00A1546F" w:rsidRPr="008313E2" w:rsidRDefault="002760F9" w:rsidP="002760F9">
            <w:pPr>
              <w:pStyle w:val="ListParagraph"/>
              <w:numPr>
                <w:ilvl w:val="0"/>
                <w:numId w:val="15"/>
              </w:numPr>
              <w:spacing w:before="120" w:after="120"/>
              <w:rPr>
                <w:b/>
              </w:rPr>
            </w:pPr>
            <w:r w:rsidRPr="008313E2">
              <w:rPr>
                <w:b/>
              </w:rPr>
              <w:t xml:space="preserve">Program Components: </w:t>
            </w:r>
            <w:r w:rsidRPr="008313E2">
              <w:t xml:space="preserve">Successful Prevention Programs were further analysed to identify training components, volume, sport-specific drills, training environment, and feedback on performance. </w:t>
            </w:r>
          </w:p>
        </w:tc>
      </w:tr>
      <w:tr w:rsidR="00A1546F" w:rsidRPr="008313E2" w14:paraId="7E944F42" w14:textId="77777777" w:rsidTr="001D4F60">
        <w:tc>
          <w:tcPr>
            <w:tcW w:w="10421" w:type="dxa"/>
            <w:tcBorders>
              <w:bottom w:val="single" w:sz="4" w:space="0" w:color="auto"/>
            </w:tcBorders>
            <w:shd w:val="clear" w:color="auto" w:fill="E6E6E6"/>
          </w:tcPr>
          <w:p w14:paraId="333B2201" w14:textId="61FCA489" w:rsidR="00A1546F" w:rsidRPr="008313E2" w:rsidRDefault="00A1546F" w:rsidP="00546DAC">
            <w:pPr>
              <w:spacing w:before="120" w:after="120"/>
              <w:rPr>
                <w:b/>
              </w:rPr>
            </w:pPr>
            <w:r w:rsidRPr="008313E2">
              <w:rPr>
                <w:b/>
              </w:rPr>
              <w:t>Main Findings</w:t>
            </w:r>
          </w:p>
        </w:tc>
      </w:tr>
      <w:tr w:rsidR="00A1546F" w:rsidRPr="008313E2" w14:paraId="788C50A4" w14:textId="77777777" w:rsidTr="001D4F60">
        <w:tc>
          <w:tcPr>
            <w:tcW w:w="10421" w:type="dxa"/>
            <w:tcBorders>
              <w:bottom w:val="single" w:sz="4" w:space="0" w:color="auto"/>
            </w:tcBorders>
            <w:shd w:val="clear" w:color="auto" w:fill="auto"/>
          </w:tcPr>
          <w:p w14:paraId="02936C5D" w14:textId="25FCC892" w:rsidR="00267D6D" w:rsidRPr="008313E2" w:rsidRDefault="00267D6D" w:rsidP="00893F19">
            <w:pPr>
              <w:pStyle w:val="ListParagraph"/>
              <w:numPr>
                <w:ilvl w:val="0"/>
                <w:numId w:val="15"/>
              </w:numPr>
              <w:spacing w:before="120" w:after="120"/>
            </w:pPr>
            <w:r w:rsidRPr="008313E2">
              <w:t>This s</w:t>
            </w:r>
            <w:r w:rsidR="004F5C9D" w:rsidRPr="008313E2">
              <w:t xml:space="preserve">ystematic review provided </w:t>
            </w:r>
            <w:r w:rsidR="00B8291A" w:rsidRPr="008313E2">
              <w:t xml:space="preserve">the following </w:t>
            </w:r>
            <w:r w:rsidR="004F5C9D" w:rsidRPr="008313E2">
              <w:t>sport specific res</w:t>
            </w:r>
            <w:r w:rsidR="00B8291A" w:rsidRPr="008313E2">
              <w:t>ults on ACL Prevention Programs</w:t>
            </w:r>
            <w:r w:rsidR="004F5C9D" w:rsidRPr="008313E2">
              <w:t xml:space="preserve"> </w:t>
            </w:r>
          </w:p>
          <w:p w14:paraId="23B6826B" w14:textId="7D5F3378" w:rsidR="00CB4E52" w:rsidRPr="008313E2" w:rsidRDefault="00CB4E52" w:rsidP="00267D6D">
            <w:pPr>
              <w:pStyle w:val="ListParagraph"/>
              <w:numPr>
                <w:ilvl w:val="0"/>
                <w:numId w:val="15"/>
              </w:numPr>
              <w:spacing w:before="120" w:after="120"/>
            </w:pPr>
            <w:r w:rsidRPr="008313E2">
              <w:t>Statistical significance between injury rates of experimental and control groups was defined as a p-value &lt; 0.05</w:t>
            </w:r>
          </w:p>
          <w:p w14:paraId="1982245A" w14:textId="77777777" w:rsidR="00940EDD" w:rsidRPr="008313E2" w:rsidRDefault="00267D6D" w:rsidP="009E380F">
            <w:pPr>
              <w:spacing w:before="120" w:after="120"/>
            </w:pPr>
            <w:r w:rsidRPr="008313E2">
              <w:rPr>
                <w:i/>
              </w:rPr>
              <w:t>Soccer</w:t>
            </w:r>
            <w:r w:rsidRPr="008313E2">
              <w:t>:</w:t>
            </w:r>
            <w:r w:rsidR="00B8291A" w:rsidRPr="008313E2">
              <w:t xml:space="preserve"> </w:t>
            </w:r>
          </w:p>
          <w:p w14:paraId="181A70FF" w14:textId="0193DAD5" w:rsidR="00983BD5" w:rsidRPr="008313E2" w:rsidRDefault="00B8291A" w:rsidP="002E4C88">
            <w:pPr>
              <w:pStyle w:val="ListParagraph"/>
              <w:numPr>
                <w:ilvl w:val="0"/>
                <w:numId w:val="15"/>
              </w:numPr>
              <w:spacing w:before="120" w:after="120"/>
            </w:pPr>
            <w:r w:rsidRPr="008313E2">
              <w:t>3 successful programs with statistically significant less ACL injuries</w:t>
            </w:r>
            <w:r w:rsidR="00C06D0F" w:rsidRPr="008313E2">
              <w:t xml:space="preserve"> between groups</w:t>
            </w:r>
            <w:r w:rsidR="00940EDD" w:rsidRPr="008313E2">
              <w:t>:</w:t>
            </w:r>
          </w:p>
          <w:tbl>
            <w:tblPr>
              <w:tblStyle w:val="TableGrid"/>
              <w:tblW w:w="7960" w:type="dxa"/>
              <w:jc w:val="center"/>
              <w:tblInd w:w="288" w:type="dxa"/>
              <w:tblLook w:val="04A0" w:firstRow="1" w:lastRow="0" w:firstColumn="1" w:lastColumn="0" w:noHBand="0" w:noVBand="1"/>
            </w:tblPr>
            <w:tblGrid>
              <w:gridCol w:w="2478"/>
              <w:gridCol w:w="1974"/>
              <w:gridCol w:w="2160"/>
              <w:gridCol w:w="1348"/>
            </w:tblGrid>
            <w:tr w:rsidR="00D14779" w:rsidRPr="008313E2" w14:paraId="35EEF0E7" w14:textId="77777777" w:rsidTr="00D14779">
              <w:trPr>
                <w:trHeight w:val="20"/>
                <w:jc w:val="center"/>
              </w:trPr>
              <w:tc>
                <w:tcPr>
                  <w:tcW w:w="2478" w:type="dxa"/>
                </w:tcPr>
                <w:p w14:paraId="0604AF48" w14:textId="77777777" w:rsidR="001B52C3" w:rsidRPr="008313E2" w:rsidRDefault="001B52C3" w:rsidP="001B52C3">
                  <w:pPr>
                    <w:spacing w:before="120" w:after="120"/>
                    <w:jc w:val="center"/>
                  </w:pPr>
                  <w:r w:rsidRPr="008313E2">
                    <w:t>Authors</w:t>
                  </w:r>
                </w:p>
              </w:tc>
              <w:tc>
                <w:tcPr>
                  <w:tcW w:w="1974" w:type="dxa"/>
                </w:tcPr>
                <w:p w14:paraId="7CC51D4B" w14:textId="77777777" w:rsidR="001B52C3" w:rsidRPr="008313E2" w:rsidRDefault="001B52C3" w:rsidP="001B52C3">
                  <w:pPr>
                    <w:spacing w:before="120" w:after="120"/>
                    <w:jc w:val="center"/>
                  </w:pPr>
                  <w:r w:rsidRPr="008313E2">
                    <w:t>Injury Rate: Experimental</w:t>
                  </w:r>
                </w:p>
              </w:tc>
              <w:tc>
                <w:tcPr>
                  <w:tcW w:w="2160" w:type="dxa"/>
                </w:tcPr>
                <w:p w14:paraId="3101B2AB" w14:textId="77777777" w:rsidR="001B52C3" w:rsidRPr="008313E2" w:rsidRDefault="001B52C3" w:rsidP="001B52C3">
                  <w:pPr>
                    <w:spacing w:before="120" w:after="120"/>
                    <w:jc w:val="center"/>
                  </w:pPr>
                  <w:r w:rsidRPr="008313E2">
                    <w:t>Injury Rate Control</w:t>
                  </w:r>
                </w:p>
              </w:tc>
              <w:tc>
                <w:tcPr>
                  <w:tcW w:w="1348" w:type="dxa"/>
                </w:tcPr>
                <w:p w14:paraId="29301DAB" w14:textId="77777777" w:rsidR="001B52C3" w:rsidRPr="008313E2" w:rsidRDefault="001B52C3" w:rsidP="001B52C3">
                  <w:pPr>
                    <w:spacing w:before="120" w:after="120"/>
                    <w:jc w:val="center"/>
                  </w:pPr>
                  <w:r w:rsidRPr="008313E2">
                    <w:t>P-value</w:t>
                  </w:r>
                </w:p>
              </w:tc>
            </w:tr>
            <w:tr w:rsidR="00D14779" w:rsidRPr="008313E2" w14:paraId="1C433EC6" w14:textId="77777777" w:rsidTr="00D14779">
              <w:trPr>
                <w:trHeight w:val="20"/>
                <w:jc w:val="center"/>
              </w:trPr>
              <w:tc>
                <w:tcPr>
                  <w:tcW w:w="2478" w:type="dxa"/>
                </w:tcPr>
                <w:p w14:paraId="1642AC8F" w14:textId="16E2AD16" w:rsidR="001B52C3" w:rsidRPr="008313E2" w:rsidRDefault="001B52C3" w:rsidP="002E4C88">
                  <w:pPr>
                    <w:tabs>
                      <w:tab w:val="left" w:pos="1900"/>
                    </w:tabs>
                  </w:pPr>
                  <w:proofErr w:type="spellStart"/>
                  <w:r w:rsidRPr="008313E2">
                    <w:t>Mandelbaum</w:t>
                  </w:r>
                  <w:proofErr w:type="spellEnd"/>
                  <w:r w:rsidRPr="008313E2">
                    <w:t xml:space="preserve"> et al. 2005</w:t>
                  </w:r>
                </w:p>
              </w:tc>
              <w:tc>
                <w:tcPr>
                  <w:tcW w:w="1974" w:type="dxa"/>
                </w:tcPr>
                <w:p w14:paraId="7C12F989" w14:textId="52E94873" w:rsidR="001B52C3" w:rsidRPr="008313E2" w:rsidRDefault="001B52C3" w:rsidP="001B52C3">
                  <w:pPr>
                    <w:spacing w:before="120" w:after="120"/>
                    <w:jc w:val="center"/>
                  </w:pPr>
                  <w:r w:rsidRPr="008313E2">
                    <w:t>0.04</w:t>
                  </w:r>
                </w:p>
              </w:tc>
              <w:tc>
                <w:tcPr>
                  <w:tcW w:w="2160" w:type="dxa"/>
                </w:tcPr>
                <w:p w14:paraId="7EFBF39A" w14:textId="77777777" w:rsidR="001B52C3" w:rsidRPr="008313E2" w:rsidRDefault="001B52C3" w:rsidP="001B52C3">
                  <w:pPr>
                    <w:spacing w:before="120" w:after="120"/>
                    <w:jc w:val="center"/>
                  </w:pPr>
                  <w:r w:rsidRPr="008313E2">
                    <w:t>0.67</w:t>
                  </w:r>
                </w:p>
              </w:tc>
              <w:tc>
                <w:tcPr>
                  <w:tcW w:w="1348" w:type="dxa"/>
                </w:tcPr>
                <w:p w14:paraId="55DD0CDC" w14:textId="14C4C7D5" w:rsidR="001B52C3" w:rsidRPr="008313E2" w:rsidRDefault="00D14779" w:rsidP="005542B5">
                  <w:pPr>
                    <w:spacing w:before="120" w:after="120"/>
                    <w:jc w:val="center"/>
                  </w:pPr>
                  <w:r w:rsidRPr="008313E2">
                    <w:t>P</w:t>
                  </w:r>
                  <w:r w:rsidR="001B52C3" w:rsidRPr="008313E2">
                    <w:t xml:space="preserve"> &lt; 0.0001</w:t>
                  </w:r>
                </w:p>
              </w:tc>
            </w:tr>
            <w:tr w:rsidR="00D14779" w:rsidRPr="008313E2" w14:paraId="2D5FDA4C" w14:textId="77777777" w:rsidTr="00D14779">
              <w:trPr>
                <w:trHeight w:val="20"/>
                <w:jc w:val="center"/>
              </w:trPr>
              <w:tc>
                <w:tcPr>
                  <w:tcW w:w="2478" w:type="dxa"/>
                </w:tcPr>
                <w:p w14:paraId="5ACBE627" w14:textId="77777777" w:rsidR="001B52C3" w:rsidRPr="008313E2" w:rsidRDefault="001B52C3" w:rsidP="001B52C3">
                  <w:pPr>
                    <w:spacing w:before="120" w:after="120"/>
                  </w:pPr>
                  <w:proofErr w:type="spellStart"/>
                  <w:r w:rsidRPr="008313E2">
                    <w:t>Kiani</w:t>
                  </w:r>
                  <w:proofErr w:type="spellEnd"/>
                  <w:r w:rsidRPr="008313E2">
                    <w:t xml:space="preserve"> et al. 2010</w:t>
                  </w:r>
                </w:p>
              </w:tc>
              <w:tc>
                <w:tcPr>
                  <w:tcW w:w="1974" w:type="dxa"/>
                </w:tcPr>
                <w:p w14:paraId="5B495729" w14:textId="77777777" w:rsidR="001B52C3" w:rsidRPr="008313E2" w:rsidRDefault="001B52C3" w:rsidP="001B52C3">
                  <w:pPr>
                    <w:spacing w:before="120" w:after="120"/>
                    <w:jc w:val="center"/>
                  </w:pPr>
                  <w:r w:rsidRPr="008313E2">
                    <w:t>0.0</w:t>
                  </w:r>
                </w:p>
              </w:tc>
              <w:tc>
                <w:tcPr>
                  <w:tcW w:w="2160" w:type="dxa"/>
                </w:tcPr>
                <w:p w14:paraId="27A19670" w14:textId="77777777" w:rsidR="001B52C3" w:rsidRPr="008313E2" w:rsidRDefault="001B52C3" w:rsidP="001B52C3">
                  <w:pPr>
                    <w:spacing w:before="120" w:after="120"/>
                    <w:jc w:val="center"/>
                  </w:pPr>
                  <w:r w:rsidRPr="008313E2">
                    <w:t>0.08</w:t>
                  </w:r>
                </w:p>
              </w:tc>
              <w:tc>
                <w:tcPr>
                  <w:tcW w:w="1348" w:type="dxa"/>
                </w:tcPr>
                <w:p w14:paraId="7D1518A8" w14:textId="77777777" w:rsidR="001B52C3" w:rsidRPr="008313E2" w:rsidRDefault="001B52C3" w:rsidP="001B52C3">
                  <w:pPr>
                    <w:spacing w:before="120" w:after="120"/>
                    <w:jc w:val="center"/>
                  </w:pPr>
                  <w:r w:rsidRPr="008313E2">
                    <w:t>P = 0.025</w:t>
                  </w:r>
                </w:p>
              </w:tc>
            </w:tr>
            <w:tr w:rsidR="00D14779" w:rsidRPr="008313E2" w14:paraId="1291ECBC" w14:textId="77777777" w:rsidTr="00D14779">
              <w:trPr>
                <w:trHeight w:val="20"/>
                <w:jc w:val="center"/>
              </w:trPr>
              <w:tc>
                <w:tcPr>
                  <w:tcW w:w="2478" w:type="dxa"/>
                </w:tcPr>
                <w:p w14:paraId="5146536D" w14:textId="77777777" w:rsidR="001B52C3" w:rsidRPr="008313E2" w:rsidRDefault="001B52C3" w:rsidP="001B52C3">
                  <w:pPr>
                    <w:spacing w:before="120" w:after="120"/>
                  </w:pPr>
                  <w:proofErr w:type="spellStart"/>
                  <w:r w:rsidRPr="008313E2">
                    <w:t>Waldén</w:t>
                  </w:r>
                  <w:proofErr w:type="spellEnd"/>
                  <w:r w:rsidRPr="008313E2">
                    <w:t xml:space="preserve"> et al. 2012</w:t>
                  </w:r>
                </w:p>
              </w:tc>
              <w:tc>
                <w:tcPr>
                  <w:tcW w:w="1974" w:type="dxa"/>
                </w:tcPr>
                <w:p w14:paraId="11FB50D2" w14:textId="77777777" w:rsidR="001B52C3" w:rsidRPr="008313E2" w:rsidRDefault="001B52C3" w:rsidP="001B52C3">
                  <w:pPr>
                    <w:spacing w:before="120" w:after="120"/>
                    <w:jc w:val="center"/>
                  </w:pPr>
                  <w:r w:rsidRPr="008313E2">
                    <w:t>0.05</w:t>
                  </w:r>
                </w:p>
              </w:tc>
              <w:tc>
                <w:tcPr>
                  <w:tcW w:w="2160" w:type="dxa"/>
                </w:tcPr>
                <w:p w14:paraId="7158420E" w14:textId="77777777" w:rsidR="001B52C3" w:rsidRPr="008313E2" w:rsidRDefault="001B52C3" w:rsidP="001B52C3">
                  <w:pPr>
                    <w:spacing w:before="120" w:after="120"/>
                    <w:jc w:val="center"/>
                  </w:pPr>
                  <w:r w:rsidRPr="008313E2">
                    <w:t>0.11</w:t>
                  </w:r>
                </w:p>
              </w:tc>
              <w:tc>
                <w:tcPr>
                  <w:tcW w:w="1348" w:type="dxa"/>
                </w:tcPr>
                <w:p w14:paraId="61EB1503" w14:textId="77777777" w:rsidR="001B52C3" w:rsidRPr="008313E2" w:rsidRDefault="001B52C3" w:rsidP="001B52C3">
                  <w:pPr>
                    <w:spacing w:before="120" w:after="120"/>
                    <w:jc w:val="center"/>
                  </w:pPr>
                  <w:r w:rsidRPr="008313E2">
                    <w:t>P = 0.02</w:t>
                  </w:r>
                </w:p>
              </w:tc>
            </w:tr>
          </w:tbl>
          <w:p w14:paraId="1597FDF0" w14:textId="77777777" w:rsidR="00983BD5" w:rsidRPr="008313E2" w:rsidRDefault="00983BD5" w:rsidP="00983BD5">
            <w:pPr>
              <w:spacing w:before="120" w:after="120"/>
            </w:pPr>
          </w:p>
          <w:p w14:paraId="13AE1C58" w14:textId="3722617F" w:rsidR="00940EDD" w:rsidRPr="008313E2" w:rsidRDefault="00983BD5" w:rsidP="00940EDD">
            <w:pPr>
              <w:pStyle w:val="ListParagraph"/>
              <w:numPr>
                <w:ilvl w:val="0"/>
                <w:numId w:val="17"/>
              </w:numPr>
              <w:spacing w:before="120" w:after="120"/>
            </w:pPr>
            <w:r w:rsidRPr="008313E2">
              <w:t>6</w:t>
            </w:r>
            <w:r w:rsidR="00940EDD" w:rsidRPr="008313E2">
              <w:t xml:space="preserve"> studies did no</w:t>
            </w:r>
            <w:r w:rsidR="00320CD4" w:rsidRPr="008313E2">
              <w:t>t</w:t>
            </w:r>
            <w:r w:rsidR="00940EDD" w:rsidRPr="008313E2">
              <w:t xml:space="preserve"> produce statistically</w:t>
            </w:r>
            <w:r w:rsidR="00C06D0F" w:rsidRPr="008313E2">
              <w:t xml:space="preserve"> significant less ACL injuries between groups:</w:t>
            </w:r>
          </w:p>
          <w:p w14:paraId="1E6B0AFA" w14:textId="77777777" w:rsidR="00DB13DC" w:rsidRPr="008313E2" w:rsidRDefault="00DB13DC" w:rsidP="00DB13DC">
            <w:pPr>
              <w:spacing w:before="120" w:after="120"/>
            </w:pPr>
          </w:p>
          <w:tbl>
            <w:tblPr>
              <w:tblStyle w:val="TableGrid"/>
              <w:tblW w:w="7821" w:type="dxa"/>
              <w:jc w:val="center"/>
              <w:tblLook w:val="04A0" w:firstRow="1" w:lastRow="0" w:firstColumn="1" w:lastColumn="0" w:noHBand="0" w:noVBand="1"/>
            </w:tblPr>
            <w:tblGrid>
              <w:gridCol w:w="2371"/>
              <w:gridCol w:w="2078"/>
              <w:gridCol w:w="2070"/>
              <w:gridCol w:w="1302"/>
            </w:tblGrid>
            <w:tr w:rsidR="00FC664C" w:rsidRPr="008313E2" w14:paraId="01A845D1" w14:textId="77777777" w:rsidTr="00D14779">
              <w:trPr>
                <w:jc w:val="center"/>
              </w:trPr>
              <w:tc>
                <w:tcPr>
                  <w:tcW w:w="2371" w:type="dxa"/>
                </w:tcPr>
                <w:p w14:paraId="07590399" w14:textId="77777777" w:rsidR="00FC664C" w:rsidRPr="008313E2" w:rsidRDefault="00FC664C" w:rsidP="00FC664C">
                  <w:pPr>
                    <w:spacing w:before="120" w:after="120"/>
                    <w:jc w:val="center"/>
                  </w:pPr>
                  <w:r w:rsidRPr="008313E2">
                    <w:t>Authors</w:t>
                  </w:r>
                </w:p>
              </w:tc>
              <w:tc>
                <w:tcPr>
                  <w:tcW w:w="2078" w:type="dxa"/>
                </w:tcPr>
                <w:p w14:paraId="7CEBC791" w14:textId="77777777" w:rsidR="00FC664C" w:rsidRPr="008313E2" w:rsidRDefault="00FC664C" w:rsidP="00FC664C">
                  <w:pPr>
                    <w:spacing w:before="120" w:after="120"/>
                    <w:jc w:val="center"/>
                  </w:pPr>
                  <w:r w:rsidRPr="008313E2">
                    <w:t>Injury Rate: Experimental</w:t>
                  </w:r>
                </w:p>
              </w:tc>
              <w:tc>
                <w:tcPr>
                  <w:tcW w:w="2070" w:type="dxa"/>
                </w:tcPr>
                <w:p w14:paraId="7C53EE59" w14:textId="77777777" w:rsidR="00FC664C" w:rsidRPr="008313E2" w:rsidRDefault="00FC664C" w:rsidP="00FC664C">
                  <w:pPr>
                    <w:spacing w:before="120" w:after="120"/>
                    <w:jc w:val="center"/>
                  </w:pPr>
                  <w:r w:rsidRPr="008313E2">
                    <w:t>Injury Rate Control</w:t>
                  </w:r>
                </w:p>
              </w:tc>
              <w:tc>
                <w:tcPr>
                  <w:tcW w:w="1302" w:type="dxa"/>
                </w:tcPr>
                <w:p w14:paraId="3AEBC318" w14:textId="77777777" w:rsidR="00FC664C" w:rsidRPr="008313E2" w:rsidRDefault="00FC664C" w:rsidP="00FC664C">
                  <w:pPr>
                    <w:spacing w:before="120" w:after="120"/>
                    <w:jc w:val="center"/>
                  </w:pPr>
                  <w:r w:rsidRPr="008313E2">
                    <w:t>P-value</w:t>
                  </w:r>
                </w:p>
              </w:tc>
            </w:tr>
            <w:tr w:rsidR="00FC664C" w:rsidRPr="008313E2" w14:paraId="6A51442F" w14:textId="77777777" w:rsidTr="00D14779">
              <w:trPr>
                <w:jc w:val="center"/>
              </w:trPr>
              <w:tc>
                <w:tcPr>
                  <w:tcW w:w="2371" w:type="dxa"/>
                </w:tcPr>
                <w:p w14:paraId="2F8B0B17" w14:textId="16EABB6C" w:rsidR="00FC664C" w:rsidRPr="008313E2" w:rsidRDefault="00FC664C" w:rsidP="005542B5">
                  <w:pPr>
                    <w:spacing w:before="120" w:after="120"/>
                  </w:pPr>
                  <w:r w:rsidRPr="008313E2">
                    <w:t>Steffen et al. 2008</w:t>
                  </w:r>
                </w:p>
              </w:tc>
              <w:tc>
                <w:tcPr>
                  <w:tcW w:w="2078" w:type="dxa"/>
                </w:tcPr>
                <w:p w14:paraId="07E3C4C3" w14:textId="203EE157" w:rsidR="00FC664C" w:rsidRPr="008313E2" w:rsidRDefault="00FC664C" w:rsidP="002E4C88">
                  <w:pPr>
                    <w:spacing w:before="120" w:after="120"/>
                    <w:jc w:val="center"/>
                  </w:pPr>
                  <w:r w:rsidRPr="008313E2">
                    <w:t>0.06</w:t>
                  </w:r>
                </w:p>
              </w:tc>
              <w:tc>
                <w:tcPr>
                  <w:tcW w:w="2070" w:type="dxa"/>
                </w:tcPr>
                <w:p w14:paraId="48001124" w14:textId="4FA4014E" w:rsidR="00FC664C" w:rsidRPr="008313E2" w:rsidRDefault="00013008" w:rsidP="002E4C88">
                  <w:pPr>
                    <w:spacing w:before="120" w:after="120"/>
                    <w:jc w:val="center"/>
                  </w:pPr>
                  <w:r w:rsidRPr="008313E2">
                    <w:t>0.0</w:t>
                  </w:r>
                  <w:r w:rsidR="00FC664C" w:rsidRPr="008313E2">
                    <w:t>8</w:t>
                  </w:r>
                </w:p>
              </w:tc>
              <w:tc>
                <w:tcPr>
                  <w:tcW w:w="1302" w:type="dxa"/>
                </w:tcPr>
                <w:p w14:paraId="6C85F693" w14:textId="2B562665" w:rsidR="00FC664C" w:rsidRPr="008313E2" w:rsidRDefault="00D14779" w:rsidP="005542B5">
                  <w:pPr>
                    <w:spacing w:before="120" w:after="120"/>
                    <w:jc w:val="center"/>
                  </w:pPr>
                  <w:r w:rsidRPr="008313E2">
                    <w:t>P</w:t>
                  </w:r>
                  <w:r w:rsidR="00FC664C" w:rsidRPr="008313E2">
                    <w:t xml:space="preserve"> = 0.73</w:t>
                  </w:r>
                </w:p>
              </w:tc>
            </w:tr>
            <w:tr w:rsidR="00FC664C" w:rsidRPr="008313E2" w14:paraId="60272098" w14:textId="77777777" w:rsidTr="00D14779">
              <w:trPr>
                <w:jc w:val="center"/>
              </w:trPr>
              <w:tc>
                <w:tcPr>
                  <w:tcW w:w="2371" w:type="dxa"/>
                </w:tcPr>
                <w:p w14:paraId="4AB1B6BC" w14:textId="2D9D01B4" w:rsidR="00FC664C" w:rsidRPr="008313E2" w:rsidRDefault="00FC664C" w:rsidP="00FC664C">
                  <w:pPr>
                    <w:spacing w:before="120" w:after="120"/>
                  </w:pPr>
                  <w:r w:rsidRPr="008313E2">
                    <w:t>Pfeiffer et al. 2006</w:t>
                  </w:r>
                </w:p>
              </w:tc>
              <w:tc>
                <w:tcPr>
                  <w:tcW w:w="2078" w:type="dxa"/>
                </w:tcPr>
                <w:p w14:paraId="1EBC2736" w14:textId="77777777" w:rsidR="00FC664C" w:rsidRPr="008313E2" w:rsidRDefault="00FC664C" w:rsidP="002E4C88">
                  <w:pPr>
                    <w:spacing w:before="120" w:after="120"/>
                    <w:jc w:val="center"/>
                  </w:pPr>
                  <w:r w:rsidRPr="008313E2">
                    <w:t>0.0</w:t>
                  </w:r>
                </w:p>
              </w:tc>
              <w:tc>
                <w:tcPr>
                  <w:tcW w:w="2070" w:type="dxa"/>
                </w:tcPr>
                <w:p w14:paraId="3338FF16" w14:textId="08DF5826" w:rsidR="00FC664C" w:rsidRPr="008313E2" w:rsidRDefault="00FC664C" w:rsidP="002E4C88">
                  <w:pPr>
                    <w:spacing w:before="120" w:after="120"/>
                    <w:jc w:val="center"/>
                  </w:pPr>
                  <w:r w:rsidRPr="008313E2">
                    <w:t>0.05</w:t>
                  </w:r>
                </w:p>
              </w:tc>
              <w:tc>
                <w:tcPr>
                  <w:tcW w:w="1302" w:type="dxa"/>
                </w:tcPr>
                <w:p w14:paraId="2C9EB8DF" w14:textId="66B089E9" w:rsidR="00FC664C" w:rsidRPr="008313E2" w:rsidRDefault="00FC664C" w:rsidP="002E4C88">
                  <w:pPr>
                    <w:spacing w:before="120" w:after="120"/>
                    <w:jc w:val="center"/>
                  </w:pPr>
                  <w:r w:rsidRPr="008313E2">
                    <w:t>P = 0.43</w:t>
                  </w:r>
                </w:p>
              </w:tc>
            </w:tr>
            <w:tr w:rsidR="00FC664C" w:rsidRPr="008313E2" w14:paraId="34E6D426" w14:textId="77777777" w:rsidTr="00D14779">
              <w:trPr>
                <w:jc w:val="center"/>
              </w:trPr>
              <w:tc>
                <w:tcPr>
                  <w:tcW w:w="2371" w:type="dxa"/>
                </w:tcPr>
                <w:p w14:paraId="581A6266" w14:textId="2B71DFB1" w:rsidR="00FC664C" w:rsidRPr="008313E2" w:rsidRDefault="00FC664C" w:rsidP="00FC664C">
                  <w:pPr>
                    <w:spacing w:before="120" w:after="120"/>
                  </w:pPr>
                  <w:proofErr w:type="spellStart"/>
                  <w:r w:rsidRPr="008313E2">
                    <w:t>Heidt</w:t>
                  </w:r>
                  <w:proofErr w:type="spellEnd"/>
                  <w:r w:rsidRPr="008313E2">
                    <w:t xml:space="preserve"> et al. 2000</w:t>
                  </w:r>
                </w:p>
              </w:tc>
              <w:tc>
                <w:tcPr>
                  <w:tcW w:w="2078" w:type="dxa"/>
                </w:tcPr>
                <w:p w14:paraId="073DD493" w14:textId="5983D000" w:rsidR="00FC664C" w:rsidRPr="008313E2" w:rsidRDefault="00FC664C" w:rsidP="002E4C88">
                  <w:pPr>
                    <w:spacing w:before="120" w:after="120"/>
                    <w:jc w:val="center"/>
                  </w:pPr>
                  <w:r w:rsidRPr="008313E2">
                    <w:t>0.13</w:t>
                  </w:r>
                </w:p>
              </w:tc>
              <w:tc>
                <w:tcPr>
                  <w:tcW w:w="2070" w:type="dxa"/>
                </w:tcPr>
                <w:p w14:paraId="6A10C5FE" w14:textId="1FA37436" w:rsidR="00FC664C" w:rsidRPr="008313E2" w:rsidRDefault="00FC664C" w:rsidP="002E4C88">
                  <w:pPr>
                    <w:spacing w:before="120" w:after="120"/>
                    <w:jc w:val="center"/>
                  </w:pPr>
                  <w:r w:rsidRPr="008313E2">
                    <w:t>0.16</w:t>
                  </w:r>
                </w:p>
              </w:tc>
              <w:tc>
                <w:tcPr>
                  <w:tcW w:w="1302" w:type="dxa"/>
                </w:tcPr>
                <w:p w14:paraId="2088A320" w14:textId="1AACFB0B" w:rsidR="00FC664C" w:rsidRPr="008313E2" w:rsidRDefault="00FC664C" w:rsidP="002E4C88">
                  <w:pPr>
                    <w:spacing w:before="120" w:after="120"/>
                    <w:jc w:val="center"/>
                  </w:pPr>
                  <w:r w:rsidRPr="008313E2">
                    <w:t>P &gt; 0.05</w:t>
                  </w:r>
                </w:p>
              </w:tc>
            </w:tr>
            <w:tr w:rsidR="00FC664C" w:rsidRPr="008313E2" w14:paraId="6E1E855B" w14:textId="77777777" w:rsidTr="00D14779">
              <w:trPr>
                <w:jc w:val="center"/>
              </w:trPr>
              <w:tc>
                <w:tcPr>
                  <w:tcW w:w="2371" w:type="dxa"/>
                </w:tcPr>
                <w:p w14:paraId="0BA6FFA6" w14:textId="4CD32311" w:rsidR="00FC664C" w:rsidRPr="008313E2" w:rsidRDefault="00FC664C" w:rsidP="00FC664C">
                  <w:pPr>
                    <w:spacing w:before="120" w:after="120"/>
                  </w:pPr>
                  <w:proofErr w:type="spellStart"/>
                  <w:r w:rsidRPr="008313E2">
                    <w:lastRenderedPageBreak/>
                    <w:t>Söderman</w:t>
                  </w:r>
                  <w:proofErr w:type="spellEnd"/>
                  <w:r w:rsidRPr="008313E2">
                    <w:t xml:space="preserve"> et al. 2000</w:t>
                  </w:r>
                </w:p>
              </w:tc>
              <w:tc>
                <w:tcPr>
                  <w:tcW w:w="2078" w:type="dxa"/>
                </w:tcPr>
                <w:p w14:paraId="20AA27F2" w14:textId="668AD645" w:rsidR="00FC664C" w:rsidRPr="008313E2" w:rsidRDefault="00FC664C" w:rsidP="002E4C88">
                  <w:pPr>
                    <w:spacing w:before="120" w:after="120"/>
                    <w:jc w:val="center"/>
                  </w:pPr>
                  <w:r w:rsidRPr="008313E2">
                    <w:t>0.49</w:t>
                  </w:r>
                </w:p>
              </w:tc>
              <w:tc>
                <w:tcPr>
                  <w:tcW w:w="2070" w:type="dxa"/>
                </w:tcPr>
                <w:p w14:paraId="3ACB41EF" w14:textId="774B0921" w:rsidR="00FC664C" w:rsidRPr="008313E2" w:rsidRDefault="00FC664C" w:rsidP="002E4C88">
                  <w:pPr>
                    <w:spacing w:before="120" w:after="120"/>
                    <w:jc w:val="center"/>
                  </w:pPr>
                  <w:r w:rsidRPr="008313E2">
                    <w:t>0.11</w:t>
                  </w:r>
                </w:p>
              </w:tc>
              <w:tc>
                <w:tcPr>
                  <w:tcW w:w="1302" w:type="dxa"/>
                </w:tcPr>
                <w:p w14:paraId="22AD518E" w14:textId="4B872541" w:rsidR="00FC664C" w:rsidRPr="008313E2" w:rsidRDefault="00FC664C" w:rsidP="002E4C88">
                  <w:pPr>
                    <w:spacing w:before="120" w:after="120"/>
                    <w:jc w:val="center"/>
                  </w:pPr>
                  <w:r w:rsidRPr="008313E2">
                    <w:t>P &gt; 0.05</w:t>
                  </w:r>
                </w:p>
              </w:tc>
            </w:tr>
            <w:tr w:rsidR="00FC664C" w:rsidRPr="008313E2" w14:paraId="22648032" w14:textId="77777777" w:rsidTr="00D14779">
              <w:trPr>
                <w:jc w:val="center"/>
              </w:trPr>
              <w:tc>
                <w:tcPr>
                  <w:tcW w:w="2371" w:type="dxa"/>
                </w:tcPr>
                <w:p w14:paraId="152D009A" w14:textId="0496C32D" w:rsidR="00FC664C" w:rsidRPr="008313E2" w:rsidRDefault="00FC664C" w:rsidP="00FC664C">
                  <w:pPr>
                    <w:spacing w:before="120" w:after="120"/>
                  </w:pPr>
                  <w:r w:rsidRPr="008313E2">
                    <w:t>Gilchrist et al. 2008</w:t>
                  </w:r>
                </w:p>
              </w:tc>
              <w:tc>
                <w:tcPr>
                  <w:tcW w:w="2078" w:type="dxa"/>
                </w:tcPr>
                <w:p w14:paraId="7A7CCD30" w14:textId="79279E6C" w:rsidR="00FC664C" w:rsidRPr="008313E2" w:rsidRDefault="00FC664C" w:rsidP="002E4C88">
                  <w:pPr>
                    <w:spacing w:before="120" w:after="120"/>
                    <w:jc w:val="center"/>
                  </w:pPr>
                  <w:r w:rsidRPr="008313E2">
                    <w:t>0.20</w:t>
                  </w:r>
                </w:p>
              </w:tc>
              <w:tc>
                <w:tcPr>
                  <w:tcW w:w="2070" w:type="dxa"/>
                </w:tcPr>
                <w:p w14:paraId="20D8A1F3" w14:textId="7FF595BC" w:rsidR="00FC664C" w:rsidRPr="008313E2" w:rsidRDefault="00FC664C" w:rsidP="002E4C88">
                  <w:pPr>
                    <w:spacing w:before="120" w:after="120"/>
                    <w:jc w:val="center"/>
                  </w:pPr>
                  <w:r w:rsidRPr="008313E2">
                    <w:t>0.34</w:t>
                  </w:r>
                </w:p>
              </w:tc>
              <w:tc>
                <w:tcPr>
                  <w:tcW w:w="1302" w:type="dxa"/>
                </w:tcPr>
                <w:p w14:paraId="31C9B654" w14:textId="590976B4" w:rsidR="00FC664C" w:rsidRPr="008313E2" w:rsidRDefault="00FC664C" w:rsidP="002E4C88">
                  <w:pPr>
                    <w:spacing w:before="120" w:after="120"/>
                    <w:jc w:val="center"/>
                  </w:pPr>
                  <w:r w:rsidRPr="008313E2">
                    <w:t>P = 0.198</w:t>
                  </w:r>
                </w:p>
              </w:tc>
            </w:tr>
            <w:tr w:rsidR="00FC664C" w:rsidRPr="008313E2" w14:paraId="444AB45B" w14:textId="77777777" w:rsidTr="00D14779">
              <w:trPr>
                <w:jc w:val="center"/>
              </w:trPr>
              <w:tc>
                <w:tcPr>
                  <w:tcW w:w="2371" w:type="dxa"/>
                </w:tcPr>
                <w:p w14:paraId="0D215914" w14:textId="00F5F2A9" w:rsidR="00FC664C" w:rsidRPr="008313E2" w:rsidRDefault="00FC664C" w:rsidP="00FC664C">
                  <w:pPr>
                    <w:spacing w:before="120" w:after="120"/>
                  </w:pPr>
                  <w:r w:rsidRPr="008313E2">
                    <w:t>Hewett et al. 1999</w:t>
                  </w:r>
                </w:p>
              </w:tc>
              <w:tc>
                <w:tcPr>
                  <w:tcW w:w="2078" w:type="dxa"/>
                </w:tcPr>
                <w:p w14:paraId="53630E69" w14:textId="39ECB659" w:rsidR="00FC664C" w:rsidRPr="008313E2" w:rsidRDefault="001B52C3" w:rsidP="002E4C88">
                  <w:pPr>
                    <w:spacing w:before="120" w:after="120"/>
                    <w:jc w:val="center"/>
                  </w:pPr>
                  <w:r w:rsidRPr="008313E2">
                    <w:t>0.0</w:t>
                  </w:r>
                </w:p>
              </w:tc>
              <w:tc>
                <w:tcPr>
                  <w:tcW w:w="2070" w:type="dxa"/>
                </w:tcPr>
                <w:p w14:paraId="1A2CAA30" w14:textId="491C4421" w:rsidR="00FC664C" w:rsidRPr="008313E2" w:rsidRDefault="001B52C3" w:rsidP="002E4C88">
                  <w:pPr>
                    <w:spacing w:before="120" w:after="120"/>
                    <w:jc w:val="center"/>
                  </w:pPr>
                  <w:r w:rsidRPr="008313E2">
                    <w:t>0.11</w:t>
                  </w:r>
                </w:p>
              </w:tc>
              <w:tc>
                <w:tcPr>
                  <w:tcW w:w="1302" w:type="dxa"/>
                </w:tcPr>
                <w:p w14:paraId="3E89B753" w14:textId="3733192D" w:rsidR="00FC664C" w:rsidRPr="008313E2" w:rsidRDefault="001B52C3" w:rsidP="002E4C88">
                  <w:pPr>
                    <w:spacing w:before="120" w:after="120"/>
                    <w:jc w:val="center"/>
                  </w:pPr>
                  <w:r w:rsidRPr="008313E2">
                    <w:t>P = 0.32</w:t>
                  </w:r>
                </w:p>
              </w:tc>
            </w:tr>
          </w:tbl>
          <w:p w14:paraId="60B02D96" w14:textId="77777777" w:rsidR="005542B5" w:rsidRPr="008313E2" w:rsidRDefault="005542B5" w:rsidP="009E380F">
            <w:pPr>
              <w:spacing w:before="120" w:after="120"/>
            </w:pPr>
          </w:p>
          <w:p w14:paraId="68104762" w14:textId="77777777" w:rsidR="00267D6D" w:rsidRPr="008313E2" w:rsidRDefault="00267D6D" w:rsidP="009E380F">
            <w:pPr>
              <w:spacing w:before="120" w:after="120"/>
            </w:pPr>
            <w:r w:rsidRPr="008313E2">
              <w:rPr>
                <w:i/>
              </w:rPr>
              <w:t>Handball</w:t>
            </w:r>
            <w:r w:rsidRPr="008313E2">
              <w:t>:</w:t>
            </w:r>
          </w:p>
          <w:p w14:paraId="7E8B4F62" w14:textId="77777777" w:rsidR="00893F19" w:rsidRPr="008313E2" w:rsidRDefault="00023B20" w:rsidP="00023B20">
            <w:pPr>
              <w:pStyle w:val="ListParagraph"/>
              <w:numPr>
                <w:ilvl w:val="0"/>
                <w:numId w:val="22"/>
              </w:numPr>
              <w:spacing w:before="120" w:after="120"/>
            </w:pPr>
            <w:r w:rsidRPr="008313E2">
              <w:t xml:space="preserve">Only one study, </w:t>
            </w:r>
            <w:proofErr w:type="spellStart"/>
            <w:r w:rsidRPr="008313E2">
              <w:t>Myklebust</w:t>
            </w:r>
            <w:proofErr w:type="spellEnd"/>
            <w:r w:rsidRPr="008313E2">
              <w:t xml:space="preserve"> et al. 2003, of three</w:t>
            </w:r>
            <w:r w:rsidR="00893F19" w:rsidRPr="008313E2">
              <w:t xml:space="preserve"> studies on handball athletes</w:t>
            </w:r>
            <w:r w:rsidRPr="008313E2">
              <w:t xml:space="preserve"> provided st</w:t>
            </w:r>
            <w:r w:rsidR="00893F19" w:rsidRPr="008313E2">
              <w:t>atistically significant results.</w:t>
            </w:r>
            <w:r w:rsidRPr="008313E2">
              <w:t xml:space="preserve"> </w:t>
            </w:r>
          </w:p>
          <w:p w14:paraId="538F61DA" w14:textId="5EC932BF" w:rsidR="00267D6D" w:rsidRPr="008313E2" w:rsidRDefault="00893F19" w:rsidP="00023B20">
            <w:pPr>
              <w:pStyle w:val="ListParagraph"/>
              <w:numPr>
                <w:ilvl w:val="0"/>
                <w:numId w:val="22"/>
              </w:numPr>
              <w:spacing w:before="120" w:after="120"/>
            </w:pPr>
            <w:r w:rsidRPr="008313E2">
              <w:t>S</w:t>
            </w:r>
            <w:r w:rsidR="00023B20" w:rsidRPr="008313E2">
              <w:t>pecifically</w:t>
            </w:r>
            <w:r w:rsidRPr="008313E2">
              <w:t>,</w:t>
            </w:r>
            <w:r w:rsidR="00023B20" w:rsidRPr="008313E2">
              <w:t xml:space="preserve"> only for compliant athletes from an elite division. </w:t>
            </w:r>
          </w:p>
          <w:p w14:paraId="13405107" w14:textId="77777777" w:rsidR="00267D6D" w:rsidRPr="008313E2" w:rsidRDefault="00267D6D" w:rsidP="009E380F">
            <w:pPr>
              <w:spacing w:before="120" w:after="120"/>
            </w:pPr>
            <w:proofErr w:type="spellStart"/>
            <w:r w:rsidRPr="008313E2">
              <w:rPr>
                <w:i/>
              </w:rPr>
              <w:t>Floorball</w:t>
            </w:r>
            <w:proofErr w:type="spellEnd"/>
            <w:r w:rsidRPr="008313E2">
              <w:t>:</w:t>
            </w:r>
          </w:p>
          <w:p w14:paraId="63843AD7" w14:textId="727D99FF" w:rsidR="00F14D43" w:rsidRPr="008313E2" w:rsidRDefault="00F14D43" w:rsidP="00F14D43">
            <w:pPr>
              <w:pStyle w:val="ListParagraph"/>
              <w:numPr>
                <w:ilvl w:val="0"/>
                <w:numId w:val="22"/>
              </w:numPr>
              <w:spacing w:before="120" w:after="120"/>
            </w:pPr>
            <w:r w:rsidRPr="008313E2">
              <w:t xml:space="preserve">The only study that focused on </w:t>
            </w:r>
            <w:proofErr w:type="spellStart"/>
            <w:r w:rsidRPr="008313E2">
              <w:t>floorball</w:t>
            </w:r>
            <w:proofErr w:type="spellEnd"/>
            <w:r w:rsidRPr="008313E2">
              <w:t xml:space="preserve"> did not produce significant results and was not effective in reducing the injury rate of ACL injuries. </w:t>
            </w:r>
          </w:p>
          <w:p w14:paraId="305EE5DF" w14:textId="36C5D243" w:rsidR="00267D6D" w:rsidRPr="008313E2" w:rsidRDefault="00267D6D" w:rsidP="009E380F">
            <w:pPr>
              <w:spacing w:before="120" w:after="120"/>
            </w:pPr>
            <w:r w:rsidRPr="008313E2">
              <w:rPr>
                <w:i/>
              </w:rPr>
              <w:t>Basketball</w:t>
            </w:r>
            <w:r w:rsidRPr="008313E2">
              <w:t>:</w:t>
            </w:r>
          </w:p>
          <w:p w14:paraId="5E20214A" w14:textId="05CA676F" w:rsidR="005C6F60" w:rsidRPr="008313E2" w:rsidRDefault="005C6F60" w:rsidP="005C6F60">
            <w:pPr>
              <w:pStyle w:val="ListParagraph"/>
              <w:numPr>
                <w:ilvl w:val="0"/>
                <w:numId w:val="22"/>
              </w:numPr>
              <w:spacing w:before="120" w:after="120"/>
            </w:pPr>
            <w:r w:rsidRPr="008313E2">
              <w:t>Both programs that focused on basketball athletes were unsuccessful in significantly reducing ACL injuries</w:t>
            </w:r>
          </w:p>
          <w:p w14:paraId="40EEB99B" w14:textId="77777777" w:rsidR="005C6F60" w:rsidRPr="008313E2" w:rsidRDefault="005C6F60" w:rsidP="005C6F60">
            <w:pPr>
              <w:spacing w:before="120" w:after="120"/>
            </w:pPr>
            <w:r w:rsidRPr="008313E2">
              <w:rPr>
                <w:i/>
              </w:rPr>
              <w:t>Volleyball</w:t>
            </w:r>
            <w:r w:rsidRPr="008313E2">
              <w:t>:</w:t>
            </w:r>
          </w:p>
          <w:p w14:paraId="5E835D96" w14:textId="67ACB67B" w:rsidR="005C6F60" w:rsidRPr="008313E2" w:rsidRDefault="005C6F60" w:rsidP="005C6F60">
            <w:pPr>
              <w:pStyle w:val="ListParagraph"/>
              <w:numPr>
                <w:ilvl w:val="0"/>
                <w:numId w:val="22"/>
              </w:numPr>
              <w:spacing w:before="120" w:after="120"/>
            </w:pPr>
            <w:r w:rsidRPr="008313E2">
              <w:t>There were no reported ACL injuries in the two prevention studies on volleyball athletes</w:t>
            </w:r>
            <w:r w:rsidR="00893F19" w:rsidRPr="008313E2">
              <w:t xml:space="preserve"> in either the experimental or control group</w:t>
            </w:r>
            <w:r w:rsidRPr="008313E2">
              <w:t xml:space="preserve">. </w:t>
            </w:r>
          </w:p>
          <w:p w14:paraId="5257816F" w14:textId="77777777" w:rsidR="00893F19" w:rsidRPr="008313E2" w:rsidRDefault="00893F19" w:rsidP="00893F19">
            <w:pPr>
              <w:spacing w:before="120" w:after="120"/>
              <w:rPr>
                <w:b/>
              </w:rPr>
            </w:pPr>
            <w:r w:rsidRPr="008313E2">
              <w:rPr>
                <w:b/>
              </w:rPr>
              <w:t>Program components:</w:t>
            </w:r>
          </w:p>
          <w:p w14:paraId="67E17881" w14:textId="13C74A98" w:rsidR="00893F19" w:rsidRPr="008313E2" w:rsidRDefault="00893F19" w:rsidP="00893F19">
            <w:pPr>
              <w:pStyle w:val="ListParagraph"/>
              <w:numPr>
                <w:ilvl w:val="0"/>
                <w:numId w:val="22"/>
              </w:numPr>
              <w:spacing w:before="120" w:after="120"/>
            </w:pPr>
            <w:r w:rsidRPr="008313E2">
              <w:t xml:space="preserve">The Prevent Injury and Enhance Performance (PEP), the </w:t>
            </w:r>
            <w:proofErr w:type="spellStart"/>
            <w:r w:rsidRPr="008313E2">
              <w:t>Harmoknee</w:t>
            </w:r>
            <w:proofErr w:type="spellEnd"/>
            <w:r w:rsidRPr="008313E2">
              <w:t xml:space="preserve"> Preventive Training program (HPT) and the WALDEN training program were found to be successful in soccer athletes. </w:t>
            </w:r>
          </w:p>
          <w:p w14:paraId="5F856C47" w14:textId="5BAEA05A" w:rsidR="00893F19" w:rsidRPr="008313E2" w:rsidRDefault="00893F19" w:rsidP="00893F19">
            <w:pPr>
              <w:pStyle w:val="ListParagraph"/>
              <w:numPr>
                <w:ilvl w:val="0"/>
                <w:numId w:val="22"/>
              </w:numPr>
              <w:spacing w:before="120" w:after="120"/>
            </w:pPr>
            <w:r w:rsidRPr="008313E2">
              <w:t xml:space="preserve">All three programs were multicomponent oriented to include: strengthening, stretching, </w:t>
            </w:r>
            <w:proofErr w:type="spellStart"/>
            <w:r w:rsidRPr="008313E2">
              <w:t>plyometrics</w:t>
            </w:r>
            <w:proofErr w:type="spellEnd"/>
            <w:r w:rsidRPr="008313E2">
              <w:t xml:space="preserve">, agility training, </w:t>
            </w:r>
            <w:r w:rsidR="00DF38FD" w:rsidRPr="008313E2">
              <w:t xml:space="preserve">dynamic stabilization, education, </w:t>
            </w:r>
            <w:r w:rsidRPr="008313E2">
              <w:t>and sport-specific drill in a field environment.</w:t>
            </w:r>
          </w:p>
          <w:p w14:paraId="1715BD18" w14:textId="32AC698A" w:rsidR="00893F19" w:rsidRPr="008313E2" w:rsidRDefault="00DF38FD" w:rsidP="00893F19">
            <w:pPr>
              <w:pStyle w:val="ListParagraph"/>
              <w:numPr>
                <w:ilvl w:val="0"/>
                <w:numId w:val="22"/>
              </w:numPr>
              <w:spacing w:before="120" w:after="120"/>
            </w:pPr>
            <w:r w:rsidRPr="008313E2">
              <w:t xml:space="preserve">The HPT and the WALDEN incorporated core stability and balance training as well. </w:t>
            </w:r>
          </w:p>
          <w:p w14:paraId="1B5999B8" w14:textId="77777777" w:rsidR="00DF38FD" w:rsidRPr="008313E2" w:rsidRDefault="00DF38FD" w:rsidP="00893F19">
            <w:pPr>
              <w:pStyle w:val="ListParagraph"/>
              <w:numPr>
                <w:ilvl w:val="0"/>
                <w:numId w:val="22"/>
              </w:numPr>
              <w:spacing w:before="120" w:after="120"/>
            </w:pPr>
            <w:r w:rsidRPr="008313E2">
              <w:t>Strength training utilized body weight exercises focused on trunk, upper, and lower body muscles.</w:t>
            </w:r>
          </w:p>
          <w:p w14:paraId="554A7F26" w14:textId="6DA754DD" w:rsidR="00DF38FD" w:rsidRPr="008313E2" w:rsidRDefault="00DF38FD" w:rsidP="00893F19">
            <w:pPr>
              <w:pStyle w:val="ListParagraph"/>
              <w:numPr>
                <w:ilvl w:val="0"/>
                <w:numId w:val="22"/>
              </w:numPr>
              <w:spacing w:before="120" w:after="120"/>
            </w:pPr>
            <w:r w:rsidRPr="008313E2">
              <w:t>Education included feedback on correct technique</w:t>
            </w:r>
          </w:p>
          <w:p w14:paraId="0EB4F29D" w14:textId="1BCA61B3" w:rsidR="00DF38FD" w:rsidRPr="008313E2" w:rsidRDefault="00DF38FD" w:rsidP="00893F19">
            <w:pPr>
              <w:pStyle w:val="ListParagraph"/>
              <w:numPr>
                <w:ilvl w:val="0"/>
                <w:numId w:val="22"/>
              </w:numPr>
              <w:spacing w:before="120" w:after="120"/>
            </w:pPr>
            <w:r w:rsidRPr="008313E2">
              <w:t>All three successful programs were 20-25 minutes long per session</w:t>
            </w:r>
          </w:p>
          <w:p w14:paraId="230100E7" w14:textId="5C45CC1D" w:rsidR="00A1546F" w:rsidRPr="008313E2" w:rsidRDefault="00DF38FD" w:rsidP="00493963">
            <w:pPr>
              <w:pStyle w:val="ListParagraph"/>
              <w:numPr>
                <w:ilvl w:val="0"/>
                <w:numId w:val="22"/>
              </w:numPr>
              <w:spacing w:before="120" w:after="120"/>
            </w:pPr>
            <w:r w:rsidRPr="008313E2">
              <w:t xml:space="preserve">It is recommended to begin an ACL prevention program in the pre-season (at east 6 weeks) and continue throughout the season (1-2 times per week). </w:t>
            </w:r>
          </w:p>
        </w:tc>
      </w:tr>
      <w:tr w:rsidR="00A1546F" w:rsidRPr="008313E2" w14:paraId="01C5988D" w14:textId="77777777" w:rsidTr="001D4F60">
        <w:tc>
          <w:tcPr>
            <w:tcW w:w="10421" w:type="dxa"/>
            <w:shd w:val="clear" w:color="auto" w:fill="E6E6E6"/>
          </w:tcPr>
          <w:p w14:paraId="78B2E344" w14:textId="3E822C29" w:rsidR="00A1546F" w:rsidRPr="008313E2" w:rsidRDefault="00A1546F" w:rsidP="009E380F">
            <w:pPr>
              <w:spacing w:before="120" w:after="120"/>
              <w:rPr>
                <w:b/>
              </w:rPr>
            </w:pPr>
            <w:r w:rsidRPr="008313E2">
              <w:rPr>
                <w:b/>
              </w:rPr>
              <w:lastRenderedPageBreak/>
              <w:t>Original Authors’ Conclusions</w:t>
            </w:r>
          </w:p>
        </w:tc>
      </w:tr>
      <w:tr w:rsidR="00D14779" w:rsidRPr="008313E2" w14:paraId="2F0AC5E6" w14:textId="77777777" w:rsidTr="001D4F60">
        <w:tc>
          <w:tcPr>
            <w:tcW w:w="10421" w:type="dxa"/>
            <w:tcBorders>
              <w:bottom w:val="single" w:sz="4" w:space="0" w:color="auto"/>
            </w:tcBorders>
            <w:shd w:val="clear" w:color="auto" w:fill="auto"/>
          </w:tcPr>
          <w:p w14:paraId="6775D8CB" w14:textId="0441A273" w:rsidR="00D14779" w:rsidRPr="008313E2" w:rsidRDefault="00D14779" w:rsidP="00A0275A">
            <w:pPr>
              <w:spacing w:before="120" w:after="120"/>
            </w:pPr>
            <w:r w:rsidRPr="008313E2">
              <w:t>This systematic review concluded t</w:t>
            </w:r>
            <w:r w:rsidR="00A0275A" w:rsidRPr="008313E2">
              <w:t>hat in order for an ACL injury prevention p</w:t>
            </w:r>
            <w:r w:rsidRPr="008313E2">
              <w:t xml:space="preserve">rogram </w:t>
            </w:r>
            <w:r w:rsidR="00A0275A" w:rsidRPr="008313E2">
              <w:t xml:space="preserve">to be successful it should start in the preseason (about 6 weeks before the season) and continue in-season with a frequency of about 1 – 2 days a week. Training components should focus on strengthening, </w:t>
            </w:r>
            <w:proofErr w:type="spellStart"/>
            <w:r w:rsidR="00A0275A" w:rsidRPr="008313E2">
              <w:t>plyometrics</w:t>
            </w:r>
            <w:proofErr w:type="spellEnd"/>
            <w:r w:rsidR="00A0275A" w:rsidRPr="008313E2">
              <w:t xml:space="preserve">, balance, proprioception, and the athletes should be provided with feedback on correct technique. Soccer and handball athletes should emphasize sport-specific agility drills. It is recommended that jumping sports, such as basketball, should include high intensity </w:t>
            </w:r>
            <w:proofErr w:type="spellStart"/>
            <w:r w:rsidR="00A0275A" w:rsidRPr="008313E2">
              <w:t>plyometrics</w:t>
            </w:r>
            <w:proofErr w:type="spellEnd"/>
            <w:r w:rsidR="00A0275A" w:rsidRPr="008313E2">
              <w:t xml:space="preserve"> with appropriate feedback for sport-specific biomechanics.</w:t>
            </w:r>
            <w:r w:rsidRPr="008313E2">
              <w:t xml:space="preserve"> </w:t>
            </w:r>
          </w:p>
        </w:tc>
      </w:tr>
      <w:tr w:rsidR="00D14779" w:rsidRPr="008313E2" w14:paraId="5DC81EEA" w14:textId="77777777" w:rsidTr="001D4F60">
        <w:tc>
          <w:tcPr>
            <w:tcW w:w="10421" w:type="dxa"/>
            <w:shd w:val="clear" w:color="auto" w:fill="E6E6E6"/>
          </w:tcPr>
          <w:p w14:paraId="4B56D8CD" w14:textId="77777777" w:rsidR="00D14779" w:rsidRPr="008313E2" w:rsidRDefault="00D14779" w:rsidP="009E380F">
            <w:pPr>
              <w:spacing w:before="120" w:after="120"/>
              <w:rPr>
                <w:b/>
              </w:rPr>
            </w:pPr>
            <w:r w:rsidRPr="008313E2">
              <w:rPr>
                <w:b/>
              </w:rPr>
              <w:t>Critical Appraisal</w:t>
            </w:r>
          </w:p>
        </w:tc>
      </w:tr>
      <w:tr w:rsidR="00D14779" w:rsidRPr="008313E2" w14:paraId="3E0E16ED" w14:textId="77777777" w:rsidTr="001D4F60">
        <w:tc>
          <w:tcPr>
            <w:tcW w:w="10421" w:type="dxa"/>
            <w:shd w:val="clear" w:color="auto" w:fill="auto"/>
          </w:tcPr>
          <w:p w14:paraId="5ED5759E" w14:textId="423AD516" w:rsidR="00D14779" w:rsidRPr="008313E2" w:rsidRDefault="00D14779" w:rsidP="009E380F">
            <w:pPr>
              <w:spacing w:before="120" w:after="120"/>
              <w:rPr>
                <w:b/>
              </w:rPr>
            </w:pPr>
            <w:r w:rsidRPr="008313E2">
              <w:rPr>
                <w:b/>
              </w:rPr>
              <w:t>Validity</w:t>
            </w:r>
          </w:p>
        </w:tc>
      </w:tr>
      <w:tr w:rsidR="00D14779" w:rsidRPr="008313E2" w14:paraId="43A7FD5A" w14:textId="77777777" w:rsidTr="001D4F60">
        <w:tc>
          <w:tcPr>
            <w:tcW w:w="10421" w:type="dxa"/>
            <w:shd w:val="clear" w:color="auto" w:fill="auto"/>
          </w:tcPr>
          <w:p w14:paraId="24BEB810" w14:textId="7BB60389" w:rsidR="00D14779" w:rsidRPr="008313E2" w:rsidRDefault="00993673" w:rsidP="009B252F">
            <w:pPr>
              <w:spacing w:before="120" w:after="120"/>
            </w:pPr>
            <w:r w:rsidRPr="008313E2">
              <w:t>I calculated an AMSTAR score of 8/11</w:t>
            </w:r>
            <w:r w:rsidR="00983447" w:rsidRPr="008313E2">
              <w:t xml:space="preserve"> for this systematic review, which indi</w:t>
            </w:r>
            <w:r w:rsidR="00BF7C8D" w:rsidRPr="008313E2">
              <w:t>cates good methodological strength and quality</w:t>
            </w:r>
            <w:r w:rsidR="00983447" w:rsidRPr="008313E2">
              <w:t xml:space="preserve">. A strength of </w:t>
            </w:r>
            <w:r w:rsidR="00BF7C8D" w:rsidRPr="008313E2">
              <w:t xml:space="preserve">this review was that more than half (7/13) were randomized control trials (RCT). Each RCT was scored for methodological quality with the </w:t>
            </w:r>
            <w:proofErr w:type="spellStart"/>
            <w:r w:rsidR="00BF7C8D" w:rsidRPr="008313E2">
              <w:t>PEDro</w:t>
            </w:r>
            <w:proofErr w:type="spellEnd"/>
            <w:r w:rsidR="00BF7C8D" w:rsidRPr="008313E2">
              <w:t xml:space="preserve"> scale</w:t>
            </w:r>
            <w:r w:rsidR="00B027D9" w:rsidRPr="008313E2">
              <w:t xml:space="preserve"> (a valid and reliable scale)</w:t>
            </w:r>
            <w:r w:rsidR="00BF7C8D" w:rsidRPr="008313E2">
              <w:t xml:space="preserve"> yielding 1 study of excellent quality, 4 studies of good quality, and 2 studies of poor quality. </w:t>
            </w:r>
            <w:r w:rsidR="008D07DF" w:rsidRPr="008313E2">
              <w:t>Rating the RCTs and providing the score of the eligible studies is a strength to this review however, there was only one good quality RCT that was found to be effective while the other successful studies were non-RCT’s. Having t</w:t>
            </w:r>
            <w:r w:rsidR="00BF7C8D" w:rsidRPr="008313E2">
              <w:t>wo different authors inde</w:t>
            </w:r>
            <w:r w:rsidR="009B252F" w:rsidRPr="008313E2">
              <w:t xml:space="preserve">pendently and separately </w:t>
            </w:r>
            <w:r w:rsidR="009B252F" w:rsidRPr="008313E2">
              <w:lastRenderedPageBreak/>
              <w:t>review, rate</w:t>
            </w:r>
            <w:r w:rsidR="00BF7C8D" w:rsidRPr="008313E2">
              <w:t>, and</w:t>
            </w:r>
            <w:r w:rsidR="009B252F" w:rsidRPr="008313E2">
              <w:t xml:space="preserve"> perform</w:t>
            </w:r>
            <w:r w:rsidR="00B027D9" w:rsidRPr="008313E2">
              <w:t xml:space="preserve"> necessary calculation</w:t>
            </w:r>
            <w:r w:rsidR="009B252F" w:rsidRPr="008313E2">
              <w:t>s is a strength, as opposed to a single reviewer</w:t>
            </w:r>
            <w:r w:rsidR="00BF7C8D" w:rsidRPr="008313E2">
              <w:t>. Another strength of this study was that the authors performed a thorough</w:t>
            </w:r>
            <w:r w:rsidR="00B027D9" w:rsidRPr="008313E2">
              <w:t xml:space="preserve"> systematic literature search of electronic databases including: </w:t>
            </w:r>
            <w:proofErr w:type="spellStart"/>
            <w:r w:rsidR="00B027D9" w:rsidRPr="008313E2">
              <w:t>Pubmed</w:t>
            </w:r>
            <w:proofErr w:type="spellEnd"/>
            <w:r w:rsidR="00B027D9" w:rsidRPr="008313E2">
              <w:t xml:space="preserve"> Central, Science Direct, CINAHL, </w:t>
            </w:r>
            <w:proofErr w:type="spellStart"/>
            <w:r w:rsidR="00B027D9" w:rsidRPr="008313E2">
              <w:t>PEDro</w:t>
            </w:r>
            <w:proofErr w:type="spellEnd"/>
            <w:r w:rsidR="00B027D9" w:rsidRPr="008313E2">
              <w:t xml:space="preserve">, Cochrane Library, SCOPUS, and </w:t>
            </w:r>
            <w:proofErr w:type="spellStart"/>
            <w:r w:rsidR="00B027D9" w:rsidRPr="008313E2">
              <w:t>SPORTSDiscus.An</w:t>
            </w:r>
            <w:proofErr w:type="spellEnd"/>
            <w:r w:rsidR="00B027D9" w:rsidRPr="008313E2">
              <w:t xml:space="preserve"> additional source of sport injury textbooks was also performed. The search strategy was conducted and reported </w:t>
            </w:r>
            <w:r w:rsidR="006127B1" w:rsidRPr="008313E2">
              <w:t xml:space="preserve">in a </w:t>
            </w:r>
            <w:r w:rsidR="00B027D9" w:rsidRPr="008313E2">
              <w:t>manner</w:t>
            </w:r>
            <w:r w:rsidR="006127B1" w:rsidRPr="008313E2">
              <w:t xml:space="preserve"> to allow </w:t>
            </w:r>
            <w:r w:rsidR="00C06B91" w:rsidRPr="008313E2">
              <w:t>the reader</w:t>
            </w:r>
            <w:r w:rsidR="006127B1" w:rsidRPr="008313E2">
              <w:t xml:space="preserve"> to r</w:t>
            </w:r>
            <w:r w:rsidR="00C06B91" w:rsidRPr="008313E2">
              <w:t>eplicate the review.</w:t>
            </w:r>
            <w:r w:rsidR="008D07DF" w:rsidRPr="008313E2">
              <w:t xml:space="preserve"> Specific articles that were excluded from the review were noted and explained as to why they were excluded from this study.</w:t>
            </w:r>
            <w:r w:rsidR="00C06B91" w:rsidRPr="008313E2">
              <w:t xml:space="preserve"> The authors provided good discussion with identifying bias among the included studies. For example, the authors mention possible biased results in the successful </w:t>
            </w:r>
            <w:proofErr w:type="spellStart"/>
            <w:r w:rsidR="00C06B91" w:rsidRPr="008313E2">
              <w:t>Mandelbaum</w:t>
            </w:r>
            <w:proofErr w:type="spellEnd"/>
            <w:r w:rsidR="00C06B91" w:rsidRPr="008313E2">
              <w:t xml:space="preserve"> et al 2005 study because the subjects were not randomized (selection bias) and that the participants voluntarily enrolled into the intervention program (motivation bias). </w:t>
            </w:r>
            <w:r w:rsidR="008D07DF" w:rsidRPr="008313E2">
              <w:t xml:space="preserve">The authors also discuss every article </w:t>
            </w:r>
            <w:r w:rsidR="00C06B91" w:rsidRPr="008313E2">
              <w:t>in d</w:t>
            </w:r>
            <w:r w:rsidR="008D07DF" w:rsidRPr="008313E2">
              <w:t xml:space="preserve">etail with relevant findings for its respected sport of interest. A limitation of this review is the exclusion of articles based on the outcome measure (ACL injuries per 1000 hours of exposures) used to assess the effects of the training program. </w:t>
            </w:r>
            <w:r w:rsidR="009B252F" w:rsidRPr="008313E2">
              <w:t xml:space="preserve">The authors identified low compliance rates that negatively influence the results among the selected studies. It is recommended that higher methodological quality randomized control trials be conducted on a variety of female sporting populations to further validate the effectiveness of an ACL prevention program. </w:t>
            </w:r>
          </w:p>
        </w:tc>
      </w:tr>
      <w:tr w:rsidR="00D14779" w:rsidRPr="008313E2" w14:paraId="47F332B1" w14:textId="77777777" w:rsidTr="001D4F60">
        <w:tc>
          <w:tcPr>
            <w:tcW w:w="10421" w:type="dxa"/>
            <w:shd w:val="clear" w:color="auto" w:fill="auto"/>
          </w:tcPr>
          <w:p w14:paraId="44533A5F" w14:textId="2EEF1714" w:rsidR="00D14779" w:rsidRPr="008313E2" w:rsidRDefault="00D14779" w:rsidP="009E380F">
            <w:pPr>
              <w:spacing w:before="120" w:after="120"/>
              <w:jc w:val="both"/>
              <w:rPr>
                <w:b/>
              </w:rPr>
            </w:pPr>
            <w:r w:rsidRPr="008313E2">
              <w:rPr>
                <w:b/>
              </w:rPr>
              <w:lastRenderedPageBreak/>
              <w:t>Interpretation of Results</w:t>
            </w:r>
          </w:p>
        </w:tc>
      </w:tr>
      <w:tr w:rsidR="00D14779" w:rsidRPr="008313E2" w14:paraId="7C980F33" w14:textId="77777777" w:rsidTr="001D4F60">
        <w:tc>
          <w:tcPr>
            <w:tcW w:w="10421" w:type="dxa"/>
            <w:tcBorders>
              <w:bottom w:val="single" w:sz="4" w:space="0" w:color="auto"/>
            </w:tcBorders>
            <w:shd w:val="clear" w:color="auto" w:fill="auto"/>
          </w:tcPr>
          <w:p w14:paraId="6AD15ADF" w14:textId="66A62638" w:rsidR="00D14779" w:rsidRPr="008313E2" w:rsidRDefault="006879A5" w:rsidP="006879A5">
            <w:pPr>
              <w:spacing w:before="120" w:after="120"/>
            </w:pPr>
            <w:r w:rsidRPr="008313E2">
              <w:t xml:space="preserve">This systematic review identified scientific support of successful ACL prevention programs for female soccer athletes. It also broke down the components of training to guide the development of future prevention programs. Although not all of the studies that focused on soccer athletes provided statistically significant differences between injury rates, most studies did see a reduction in ACL injuries in those who completed a prevention program. When designing an ACL prevention program for female soccer players it is important to focus on core, upper and lower extremity strengthening, plyometric exercises, dynamic stabilization, and soccer-specific drills. There should also be adequate feedback provided for proper technique. Prevention programs should begin early enough before the season to allow neuromuscular changes/improvement. For best results, it is suggested to begin 6 weeks before the season and to continue the program exercises 1-2 days a week during the season.   </w:t>
            </w:r>
          </w:p>
        </w:tc>
      </w:tr>
    </w:tbl>
    <w:p w14:paraId="3E22525A" w14:textId="77777777" w:rsidR="008313E2" w:rsidRDefault="008313E2" w:rsidP="00CB6ABE">
      <w:pPr>
        <w:widowControl w:val="0"/>
        <w:autoSpaceDE w:val="0"/>
        <w:autoSpaceDN w:val="0"/>
        <w:adjustRightInd w:val="0"/>
        <w:spacing w:after="240"/>
        <w:rPr>
          <w:b/>
        </w:rPr>
      </w:pPr>
    </w:p>
    <w:p w14:paraId="486EBE94" w14:textId="0C6DCDEF" w:rsidR="001D4F60" w:rsidRPr="008313E2" w:rsidRDefault="001D4F60" w:rsidP="00CB6ABE">
      <w:pPr>
        <w:widowControl w:val="0"/>
        <w:autoSpaceDE w:val="0"/>
        <w:autoSpaceDN w:val="0"/>
        <w:adjustRightInd w:val="0"/>
        <w:spacing w:after="240"/>
        <w:rPr>
          <w:rFonts w:eastAsiaTheme="minorHAnsi" w:cs="Times"/>
          <w:b/>
          <w:sz w:val="22"/>
          <w:szCs w:val="22"/>
          <w:lang w:val="en-US"/>
        </w:rPr>
      </w:pPr>
      <w:r w:rsidRPr="008313E2">
        <w:rPr>
          <w:b/>
          <w:sz w:val="22"/>
          <w:szCs w:val="22"/>
        </w:rPr>
        <w:t xml:space="preserve">(2) </w:t>
      </w:r>
      <w:r w:rsidR="00565648" w:rsidRPr="008313E2">
        <w:rPr>
          <w:b/>
          <w:sz w:val="22"/>
          <w:szCs w:val="22"/>
        </w:rPr>
        <w:t>Description and appraisal of “</w:t>
      </w:r>
      <w:r w:rsidR="00565648" w:rsidRPr="008313E2">
        <w:rPr>
          <w:rFonts w:eastAsiaTheme="minorHAnsi" w:cs="Times"/>
          <w:b/>
          <w:sz w:val="22"/>
          <w:szCs w:val="22"/>
          <w:lang w:val="en-US"/>
        </w:rPr>
        <w:t xml:space="preserve">A meta-analysis of the effect of neuromuscular training on the prevention of the anterior cruciate ligament injury in female athletes” </w:t>
      </w:r>
      <w:r w:rsidR="00565648" w:rsidRPr="008313E2">
        <w:rPr>
          <w:b/>
          <w:sz w:val="22"/>
          <w:szCs w:val="22"/>
        </w:rPr>
        <w:t xml:space="preserve">by Jae </w:t>
      </w:r>
      <w:proofErr w:type="spellStart"/>
      <w:r w:rsidR="00565648" w:rsidRPr="008313E2">
        <w:rPr>
          <w:b/>
          <w:sz w:val="22"/>
          <w:szCs w:val="22"/>
        </w:rPr>
        <w:t>Ho</w:t>
      </w:r>
      <w:proofErr w:type="spellEnd"/>
      <w:r w:rsidR="00565648" w:rsidRPr="008313E2">
        <w:rPr>
          <w:b/>
          <w:sz w:val="22"/>
          <w:szCs w:val="22"/>
        </w:rPr>
        <w:t xml:space="preserve"> </w:t>
      </w:r>
      <w:proofErr w:type="spellStart"/>
      <w:r w:rsidR="00565648" w:rsidRPr="008313E2">
        <w:rPr>
          <w:b/>
          <w:sz w:val="22"/>
          <w:szCs w:val="22"/>
        </w:rPr>
        <w:t>Yoo</w:t>
      </w:r>
      <w:proofErr w:type="spellEnd"/>
      <w:r w:rsidR="00565648" w:rsidRPr="008313E2">
        <w:rPr>
          <w:b/>
          <w:sz w:val="22"/>
          <w:szCs w:val="22"/>
        </w:rPr>
        <w:t xml:space="preserve"> et al. 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8313E2" w14:paraId="0D71415D" w14:textId="77777777" w:rsidTr="009E380F">
        <w:tc>
          <w:tcPr>
            <w:tcW w:w="10421" w:type="dxa"/>
            <w:shd w:val="clear" w:color="auto" w:fill="E6E6E6"/>
          </w:tcPr>
          <w:p w14:paraId="5B920FB4" w14:textId="77777777" w:rsidR="001D4F60" w:rsidRPr="008313E2" w:rsidRDefault="001D4F60" w:rsidP="009E380F">
            <w:pPr>
              <w:spacing w:before="120" w:after="120"/>
              <w:rPr>
                <w:b/>
              </w:rPr>
            </w:pPr>
            <w:r w:rsidRPr="008313E2">
              <w:rPr>
                <w:b/>
              </w:rPr>
              <w:t>Aim/Objective of the Study/Systematic Review:</w:t>
            </w:r>
          </w:p>
        </w:tc>
      </w:tr>
      <w:tr w:rsidR="00CB6ABE" w:rsidRPr="008313E2" w14:paraId="53F050B5" w14:textId="77777777" w:rsidTr="009E380F">
        <w:tc>
          <w:tcPr>
            <w:tcW w:w="10421" w:type="dxa"/>
            <w:tcBorders>
              <w:bottom w:val="single" w:sz="4" w:space="0" w:color="auto"/>
            </w:tcBorders>
            <w:shd w:val="clear" w:color="auto" w:fill="auto"/>
          </w:tcPr>
          <w:p w14:paraId="6B19B2E1" w14:textId="654A618A" w:rsidR="00CB6ABE" w:rsidRPr="008313E2" w:rsidRDefault="00CB6ABE" w:rsidP="00CB6ABE">
            <w:pPr>
              <w:spacing w:before="120" w:after="120"/>
            </w:pPr>
            <w:r w:rsidRPr="008313E2">
              <w:t>The objective of this study was to use a meta-analysis approach to evaluate the effectiveness of ACL prevention programs for female athletes. The study also aimed to identify the essential components of the different prevention training (plyometric, strength, agility, or balance). The data was further analysed according to age, sport, and period of training (preseason, in season, or combination).</w:t>
            </w:r>
          </w:p>
        </w:tc>
      </w:tr>
      <w:tr w:rsidR="00CB6ABE" w:rsidRPr="008313E2" w14:paraId="3C670CC9" w14:textId="77777777" w:rsidTr="009E380F">
        <w:tc>
          <w:tcPr>
            <w:tcW w:w="10421" w:type="dxa"/>
            <w:shd w:val="clear" w:color="auto" w:fill="E6E6E6"/>
          </w:tcPr>
          <w:p w14:paraId="43BCC890" w14:textId="002E5489" w:rsidR="00CB6ABE" w:rsidRPr="008313E2" w:rsidRDefault="00CB6ABE" w:rsidP="009E380F">
            <w:pPr>
              <w:spacing w:before="120" w:after="120"/>
              <w:jc w:val="both"/>
              <w:rPr>
                <w:b/>
              </w:rPr>
            </w:pPr>
            <w:r w:rsidRPr="008313E2">
              <w:rPr>
                <w:b/>
              </w:rPr>
              <w:t>Study Design</w:t>
            </w:r>
          </w:p>
        </w:tc>
      </w:tr>
      <w:tr w:rsidR="00CB6ABE" w:rsidRPr="008313E2" w14:paraId="4A139838" w14:textId="77777777" w:rsidTr="009E380F">
        <w:tc>
          <w:tcPr>
            <w:tcW w:w="10421" w:type="dxa"/>
            <w:tcBorders>
              <w:bottom w:val="single" w:sz="4" w:space="0" w:color="auto"/>
            </w:tcBorders>
            <w:shd w:val="clear" w:color="auto" w:fill="auto"/>
          </w:tcPr>
          <w:p w14:paraId="4676157D" w14:textId="77777777" w:rsidR="00CB6ABE" w:rsidRPr="008313E2" w:rsidRDefault="00CB6ABE" w:rsidP="00CB6ABE">
            <w:pPr>
              <w:spacing w:before="120" w:after="120"/>
            </w:pPr>
            <w:r w:rsidRPr="008313E2">
              <w:t>The study is a meta-analysis of 7 randomized controlled trials (RCT) or prospective cohort studies.</w:t>
            </w:r>
          </w:p>
          <w:p w14:paraId="3B233A5F" w14:textId="77777777" w:rsidR="00CB6ABE" w:rsidRPr="008313E2" w:rsidRDefault="00CB6ABE" w:rsidP="00CB6ABE">
            <w:pPr>
              <w:widowControl w:val="0"/>
              <w:autoSpaceDE w:val="0"/>
              <w:autoSpaceDN w:val="0"/>
              <w:adjustRightInd w:val="0"/>
              <w:spacing w:after="240"/>
              <w:rPr>
                <w:rFonts w:eastAsiaTheme="minorHAnsi" w:cs="Times"/>
                <w:lang w:val="en-US"/>
              </w:rPr>
            </w:pPr>
            <w:r w:rsidRPr="008313E2">
              <w:rPr>
                <w:b/>
              </w:rPr>
              <w:t xml:space="preserve">Search Strategy: </w:t>
            </w:r>
            <w:r w:rsidRPr="008313E2">
              <w:t xml:space="preserve">A Medline literature search was conducted of relevant articles before June 2007. Key words were: </w:t>
            </w:r>
            <w:r w:rsidRPr="008313E2">
              <w:rPr>
                <w:rFonts w:eastAsiaTheme="minorHAnsi" w:cs="Times"/>
                <w:lang w:val="en-US"/>
              </w:rPr>
              <w:t xml:space="preserve">knee injury, ACL injury, gender difference, injury prevention, neuromuscular training, </w:t>
            </w:r>
            <w:proofErr w:type="spellStart"/>
            <w:r w:rsidRPr="008313E2">
              <w:rPr>
                <w:rFonts w:eastAsiaTheme="minorHAnsi" w:cs="Times"/>
                <w:lang w:val="en-US"/>
              </w:rPr>
              <w:t>plyometrics</w:t>
            </w:r>
            <w:proofErr w:type="spellEnd"/>
            <w:r w:rsidRPr="008313E2">
              <w:rPr>
                <w:rFonts w:eastAsiaTheme="minorHAnsi" w:cs="Times"/>
                <w:lang w:val="en-US"/>
              </w:rPr>
              <w:t xml:space="preserve">, strengthening training, and balance training. The Cochrane Database, additional web-based searches, proceedings from the American Academy of </w:t>
            </w:r>
            <w:proofErr w:type="spellStart"/>
            <w:r w:rsidRPr="008313E2">
              <w:rPr>
                <w:rFonts w:eastAsiaTheme="minorHAnsi" w:cs="Times"/>
                <w:lang w:val="en-US"/>
              </w:rPr>
              <w:t>Orthopaedic</w:t>
            </w:r>
            <w:proofErr w:type="spellEnd"/>
            <w:r w:rsidRPr="008313E2">
              <w:rPr>
                <w:rFonts w:eastAsiaTheme="minorHAnsi" w:cs="Times"/>
                <w:lang w:val="en-US"/>
              </w:rPr>
              <w:t xml:space="preserve"> Surgeons and textbooks, and manual searches of Journals. Also, experts in ACL injury prevention training were contacted for any additional articles missed in the search.</w:t>
            </w:r>
          </w:p>
          <w:p w14:paraId="51831FCF" w14:textId="77777777" w:rsidR="00CB6ABE" w:rsidRPr="008313E2" w:rsidRDefault="00CB6ABE" w:rsidP="00CB6ABE">
            <w:pPr>
              <w:spacing w:before="120" w:after="120"/>
            </w:pPr>
            <w:r w:rsidRPr="008313E2">
              <w:rPr>
                <w:b/>
              </w:rPr>
              <w:t xml:space="preserve">Selection Criteria: </w:t>
            </w:r>
            <w:r w:rsidRPr="008313E2">
              <w:t xml:space="preserve">An evaluation committee of three orthopaedic surgeons and one biomechanical researcher, all with experience with ACL care, conducted the search and selected the eligible articles. Only RCTs and prospective cohort studies were included in the meta-analysis. </w:t>
            </w:r>
          </w:p>
          <w:p w14:paraId="2E68251D" w14:textId="77777777" w:rsidR="00CB6ABE" w:rsidRPr="008313E2" w:rsidRDefault="00CB6ABE" w:rsidP="00CB6ABE">
            <w:pPr>
              <w:spacing w:before="120" w:after="120"/>
            </w:pPr>
            <w:r w:rsidRPr="008313E2">
              <w:rPr>
                <w:b/>
              </w:rPr>
              <w:t>Data Collection</w:t>
            </w:r>
            <w:r w:rsidRPr="008313E2">
              <w:t xml:space="preserve">: Studies chosen were required to be intention to treat analysis. Data from the chosen articles were distinguished as one of two groups: female athletes trained in </w:t>
            </w:r>
            <w:proofErr w:type="gramStart"/>
            <w:r w:rsidRPr="008313E2">
              <w:t>an ACL</w:t>
            </w:r>
            <w:proofErr w:type="gramEnd"/>
            <w:r w:rsidRPr="008313E2">
              <w:t xml:space="preserve"> prevention program and female athletes who were untrained. Subgroups of age, sport, training time, and program components were formed and analysed from all the studies. Age was divided into two groups: females less than 18 years of age and females 18 years of age or older. Soccer and </w:t>
            </w:r>
            <w:r w:rsidRPr="008313E2">
              <w:lastRenderedPageBreak/>
              <w:t xml:space="preserve">handball were the two sports included in the analysis. Training times were separated as pre-season, in-season, or a combination of both. Biomechanical components of the preventive program were </w:t>
            </w:r>
            <w:proofErr w:type="spellStart"/>
            <w:r w:rsidRPr="008313E2">
              <w:t>plyometrics</w:t>
            </w:r>
            <w:proofErr w:type="spellEnd"/>
            <w:r w:rsidRPr="008313E2">
              <w:t xml:space="preserve">, strengthening, and balancing exercises. </w:t>
            </w:r>
          </w:p>
          <w:p w14:paraId="51050EBF" w14:textId="00A7A20E" w:rsidR="00CB6ABE" w:rsidRPr="008313E2" w:rsidRDefault="00CB6ABE" w:rsidP="00CB6ABE">
            <w:pPr>
              <w:spacing w:before="120" w:after="120"/>
            </w:pPr>
            <w:r w:rsidRPr="008313E2">
              <w:rPr>
                <w:b/>
              </w:rPr>
              <w:t xml:space="preserve">Meta-analysis: </w:t>
            </w:r>
            <w:r w:rsidRPr="008313E2">
              <w:t>Odds ratios (OR) and 95% confidence intervals (CI) were calculated for each study and analysed by the Mantel-</w:t>
            </w:r>
            <w:proofErr w:type="spellStart"/>
            <w:r w:rsidRPr="008313E2">
              <w:t>Haenszel</w:t>
            </w:r>
            <w:proofErr w:type="spellEnd"/>
            <w:r w:rsidRPr="008313E2">
              <w:t xml:space="preserve"> common OR estimate. Subgroup analysis was also performed in the same manner using ORs and 95% CI. The authors used the chi-square test to determine heterogeneity between the studies. Lastly, publication bias was assessed with the Egger regression asymmetry test and the </w:t>
            </w:r>
            <w:proofErr w:type="spellStart"/>
            <w:r w:rsidRPr="008313E2">
              <w:t>Begg</w:t>
            </w:r>
            <w:proofErr w:type="spellEnd"/>
            <w:r w:rsidRPr="008313E2">
              <w:t xml:space="preserve"> and </w:t>
            </w:r>
            <w:proofErr w:type="spellStart"/>
            <w:r w:rsidRPr="008313E2">
              <w:t>Mazumdar</w:t>
            </w:r>
            <w:proofErr w:type="spellEnd"/>
            <w:r w:rsidRPr="008313E2">
              <w:t xml:space="preserve"> adjusted rank correlation test.  </w:t>
            </w:r>
          </w:p>
        </w:tc>
      </w:tr>
      <w:tr w:rsidR="00CB6ABE" w:rsidRPr="008313E2" w14:paraId="6107F023" w14:textId="77777777" w:rsidTr="009E380F">
        <w:tc>
          <w:tcPr>
            <w:tcW w:w="10421" w:type="dxa"/>
            <w:shd w:val="clear" w:color="auto" w:fill="E6E6E6"/>
          </w:tcPr>
          <w:p w14:paraId="1F35764B" w14:textId="180D3385" w:rsidR="00CB6ABE" w:rsidRPr="008313E2" w:rsidRDefault="00CB6ABE" w:rsidP="00CB6ABE">
            <w:pPr>
              <w:spacing w:before="120" w:after="120"/>
              <w:rPr>
                <w:b/>
              </w:rPr>
            </w:pPr>
            <w:r w:rsidRPr="008313E2">
              <w:rPr>
                <w:b/>
              </w:rPr>
              <w:lastRenderedPageBreak/>
              <w:t>Setting</w:t>
            </w:r>
          </w:p>
        </w:tc>
      </w:tr>
      <w:tr w:rsidR="00CB6ABE" w:rsidRPr="008313E2" w14:paraId="0A4CC28D" w14:textId="77777777" w:rsidTr="009E380F">
        <w:tc>
          <w:tcPr>
            <w:tcW w:w="10421" w:type="dxa"/>
            <w:tcBorders>
              <w:bottom w:val="single" w:sz="4" w:space="0" w:color="auto"/>
            </w:tcBorders>
            <w:shd w:val="clear" w:color="auto" w:fill="auto"/>
          </w:tcPr>
          <w:p w14:paraId="24FCF99A" w14:textId="77777777" w:rsidR="00CB6ABE" w:rsidRPr="008313E2" w:rsidRDefault="00CB6ABE" w:rsidP="00CB6ABE">
            <w:pPr>
              <w:pStyle w:val="ListParagraph"/>
              <w:numPr>
                <w:ilvl w:val="0"/>
                <w:numId w:val="14"/>
              </w:numPr>
              <w:spacing w:before="120" w:after="120"/>
            </w:pPr>
            <w:r w:rsidRPr="008313E2">
              <w:t xml:space="preserve">Female sport programs in a variety of different cities </w:t>
            </w:r>
          </w:p>
          <w:p w14:paraId="13B7B94F" w14:textId="2A8DE704" w:rsidR="00CB6ABE" w:rsidRPr="008313E2" w:rsidRDefault="00CB6ABE" w:rsidP="00CB6ABE">
            <w:pPr>
              <w:pStyle w:val="ListParagraph"/>
              <w:numPr>
                <w:ilvl w:val="0"/>
                <w:numId w:val="14"/>
              </w:numPr>
              <w:spacing w:before="120" w:after="120"/>
            </w:pPr>
            <w:r w:rsidRPr="008313E2">
              <w:t>Level of sport included competitive organized high school and college athletics.</w:t>
            </w:r>
          </w:p>
        </w:tc>
      </w:tr>
      <w:tr w:rsidR="00CB6ABE" w:rsidRPr="008313E2" w14:paraId="484D591E" w14:textId="77777777" w:rsidTr="009E380F">
        <w:tc>
          <w:tcPr>
            <w:tcW w:w="10421" w:type="dxa"/>
            <w:shd w:val="clear" w:color="auto" w:fill="E6E6E6"/>
          </w:tcPr>
          <w:p w14:paraId="4189389B" w14:textId="36537AB0" w:rsidR="00CB6ABE" w:rsidRPr="008313E2" w:rsidRDefault="00CB6ABE" w:rsidP="009E380F">
            <w:pPr>
              <w:spacing w:before="120" w:after="120"/>
              <w:rPr>
                <w:b/>
              </w:rPr>
            </w:pPr>
            <w:r w:rsidRPr="008313E2">
              <w:rPr>
                <w:b/>
              </w:rPr>
              <w:t>Participants</w:t>
            </w:r>
          </w:p>
        </w:tc>
      </w:tr>
      <w:tr w:rsidR="00CB6ABE" w:rsidRPr="008313E2" w14:paraId="7C68D0B9" w14:textId="77777777" w:rsidTr="009E380F">
        <w:tc>
          <w:tcPr>
            <w:tcW w:w="10421" w:type="dxa"/>
            <w:tcBorders>
              <w:bottom w:val="single" w:sz="4" w:space="0" w:color="auto"/>
            </w:tcBorders>
            <w:shd w:val="clear" w:color="auto" w:fill="auto"/>
          </w:tcPr>
          <w:p w14:paraId="7AD299F2" w14:textId="12E5AA69" w:rsidR="00CB6ABE" w:rsidRPr="008313E2" w:rsidRDefault="00CB6ABE" w:rsidP="00CB6ABE">
            <w:pPr>
              <w:spacing w:before="120" w:after="120"/>
            </w:pPr>
            <w:r w:rsidRPr="008313E2">
              <w:t xml:space="preserve">This meta-analysis of 7 studies yielded a total sample size of 10,618 female athletes, with 4,033 in the trained group (received an ACL prevention program) and 6,585 in the untrained group (did not participate in a prevention program). The sports included in this analysis were soccer, volleyball, basketball, and handball. Female soccer players represented the majority of athletes involved in this study, with 5 out of the 7 articles specific to soccer. The majority of athletes’ age ranged from 14 – 26 years of old. The two handball studies had age ranges of 16 – adult (~35). </w:t>
            </w:r>
          </w:p>
        </w:tc>
      </w:tr>
      <w:tr w:rsidR="00CB6ABE" w:rsidRPr="008313E2" w14:paraId="06791C3E" w14:textId="77777777" w:rsidTr="009E380F">
        <w:tc>
          <w:tcPr>
            <w:tcW w:w="10421" w:type="dxa"/>
            <w:shd w:val="clear" w:color="auto" w:fill="E6E6E6"/>
          </w:tcPr>
          <w:p w14:paraId="4108B79F" w14:textId="08DA12C9" w:rsidR="00CB6ABE" w:rsidRPr="008313E2" w:rsidRDefault="00CB6ABE" w:rsidP="009E380F">
            <w:pPr>
              <w:spacing w:before="120" w:after="120"/>
              <w:rPr>
                <w:b/>
              </w:rPr>
            </w:pPr>
            <w:r w:rsidRPr="008313E2">
              <w:rPr>
                <w:b/>
              </w:rPr>
              <w:t>Intervention Investigated</w:t>
            </w:r>
          </w:p>
        </w:tc>
      </w:tr>
      <w:tr w:rsidR="00CB6ABE" w:rsidRPr="008313E2" w14:paraId="1772DFD5" w14:textId="77777777" w:rsidTr="009E380F">
        <w:tc>
          <w:tcPr>
            <w:tcW w:w="10421" w:type="dxa"/>
            <w:shd w:val="clear" w:color="auto" w:fill="auto"/>
          </w:tcPr>
          <w:p w14:paraId="6F3D22F4" w14:textId="77777777" w:rsidR="00CB6ABE" w:rsidRPr="008313E2" w:rsidRDefault="00CB6ABE" w:rsidP="009E380F">
            <w:pPr>
              <w:spacing w:before="120" w:after="120"/>
              <w:rPr>
                <w:i/>
              </w:rPr>
            </w:pPr>
            <w:r w:rsidRPr="008313E2">
              <w:rPr>
                <w:i/>
              </w:rPr>
              <w:t>Control</w:t>
            </w:r>
          </w:p>
        </w:tc>
      </w:tr>
      <w:tr w:rsidR="00CB6ABE" w:rsidRPr="008313E2" w14:paraId="4A2920A2" w14:textId="77777777" w:rsidTr="009E380F">
        <w:tc>
          <w:tcPr>
            <w:tcW w:w="10421" w:type="dxa"/>
            <w:shd w:val="clear" w:color="auto" w:fill="auto"/>
          </w:tcPr>
          <w:p w14:paraId="5B4D93BA" w14:textId="2B4B614E" w:rsidR="00CB6ABE" w:rsidRPr="008313E2" w:rsidRDefault="00CB6ABE" w:rsidP="009E380F">
            <w:pPr>
              <w:spacing w:before="120" w:after="120"/>
            </w:pPr>
            <w:r w:rsidRPr="008313E2">
              <w:t xml:space="preserve">Female athletes described as “untrained”. These athletes did not participate in an ACL prevention program at any point during the pre-season or season. </w:t>
            </w:r>
          </w:p>
        </w:tc>
      </w:tr>
      <w:tr w:rsidR="00CB6ABE" w:rsidRPr="008313E2" w14:paraId="7336C1FC" w14:textId="77777777" w:rsidTr="009E380F">
        <w:tc>
          <w:tcPr>
            <w:tcW w:w="10421" w:type="dxa"/>
            <w:shd w:val="clear" w:color="auto" w:fill="auto"/>
          </w:tcPr>
          <w:p w14:paraId="26D5CD6E" w14:textId="77777777" w:rsidR="00CB6ABE" w:rsidRPr="008313E2" w:rsidRDefault="00CB6ABE" w:rsidP="009E380F">
            <w:pPr>
              <w:spacing w:before="120" w:after="120"/>
              <w:rPr>
                <w:i/>
              </w:rPr>
            </w:pPr>
            <w:r w:rsidRPr="008313E2">
              <w:rPr>
                <w:i/>
              </w:rPr>
              <w:t>Experimental</w:t>
            </w:r>
          </w:p>
        </w:tc>
      </w:tr>
      <w:tr w:rsidR="00CB6ABE" w:rsidRPr="008313E2" w14:paraId="1079473A" w14:textId="77777777" w:rsidTr="009E380F">
        <w:tc>
          <w:tcPr>
            <w:tcW w:w="10421" w:type="dxa"/>
            <w:tcBorders>
              <w:bottom w:val="single" w:sz="4" w:space="0" w:color="auto"/>
            </w:tcBorders>
            <w:shd w:val="clear" w:color="auto" w:fill="auto"/>
          </w:tcPr>
          <w:p w14:paraId="0A4B93FF" w14:textId="42A81B70" w:rsidR="00CB6ABE" w:rsidRPr="008313E2" w:rsidRDefault="00CB6ABE" w:rsidP="00CB6ABE">
            <w:pPr>
              <w:spacing w:before="120" w:after="120"/>
            </w:pPr>
            <w:r w:rsidRPr="008313E2">
              <w:t xml:space="preserve">Female athletes described as “trained”. These athletes performed an ACL-prevention program during the pre-season, in-season, or combination of both. Prevention program components varied between studies and included training in </w:t>
            </w:r>
            <w:proofErr w:type="spellStart"/>
            <w:r w:rsidRPr="008313E2">
              <w:t>plyometrics</w:t>
            </w:r>
            <w:proofErr w:type="spellEnd"/>
            <w:r w:rsidRPr="008313E2">
              <w:t xml:space="preserve">, strengthening, agility, and/or balance. </w:t>
            </w:r>
          </w:p>
        </w:tc>
      </w:tr>
      <w:tr w:rsidR="00CB6ABE" w:rsidRPr="008313E2" w14:paraId="73781E66" w14:textId="77777777" w:rsidTr="009E380F">
        <w:tc>
          <w:tcPr>
            <w:tcW w:w="10421" w:type="dxa"/>
            <w:shd w:val="clear" w:color="auto" w:fill="E6E6E6"/>
          </w:tcPr>
          <w:p w14:paraId="0F4C0C14" w14:textId="1C5656F7" w:rsidR="00CB6ABE" w:rsidRPr="008313E2" w:rsidRDefault="00CB6ABE" w:rsidP="009E380F">
            <w:pPr>
              <w:spacing w:before="120" w:after="120"/>
            </w:pPr>
            <w:r w:rsidRPr="008313E2">
              <w:rPr>
                <w:b/>
              </w:rPr>
              <w:t>Outcome Measures</w:t>
            </w:r>
            <w:r w:rsidRPr="008313E2">
              <w:t xml:space="preserve"> (Primary and Secondary)</w:t>
            </w:r>
          </w:p>
        </w:tc>
      </w:tr>
      <w:tr w:rsidR="00CB6ABE" w:rsidRPr="008313E2" w14:paraId="11CE9074" w14:textId="77777777" w:rsidTr="009E380F">
        <w:tc>
          <w:tcPr>
            <w:tcW w:w="10421" w:type="dxa"/>
            <w:tcBorders>
              <w:bottom w:val="single" w:sz="4" w:space="0" w:color="auto"/>
            </w:tcBorders>
            <w:shd w:val="clear" w:color="auto" w:fill="auto"/>
          </w:tcPr>
          <w:p w14:paraId="647BABF2" w14:textId="77777777" w:rsidR="00CB6ABE" w:rsidRPr="008313E2" w:rsidRDefault="00CB6ABE" w:rsidP="00CB6ABE">
            <w:pPr>
              <w:spacing w:before="120" w:after="120"/>
              <w:rPr>
                <w:b/>
              </w:rPr>
            </w:pPr>
            <w:r w:rsidRPr="008313E2">
              <w:rPr>
                <w:b/>
              </w:rPr>
              <w:t xml:space="preserve">Primary Outcome: </w:t>
            </w:r>
          </w:p>
          <w:p w14:paraId="77806237" w14:textId="77777777" w:rsidR="00CB6ABE" w:rsidRPr="008313E2" w:rsidRDefault="00CB6ABE" w:rsidP="00CB6ABE">
            <w:pPr>
              <w:pStyle w:val="ListParagraph"/>
              <w:numPr>
                <w:ilvl w:val="0"/>
                <w:numId w:val="24"/>
              </w:numPr>
              <w:spacing w:before="120" w:after="120"/>
              <w:rPr>
                <w:b/>
              </w:rPr>
            </w:pPr>
            <w:r w:rsidRPr="008313E2">
              <w:rPr>
                <w:b/>
              </w:rPr>
              <w:t xml:space="preserve">Odds Ratio (OR): </w:t>
            </w:r>
            <w:r w:rsidRPr="008313E2">
              <w:t xml:space="preserve">Describes the proportion of ACL injuries among trained athletes divided by the proportion of ACL injuries among untrained athletes. An OR less than one is indicative of favourable results for the trained athletes. In other words, trained athletes would have a lower risk of being injured. An OR closer to 1 means there is no effect of the prevention program. Odds Ratio greater than 1 would indicate the trained athletes </w:t>
            </w:r>
            <w:proofErr w:type="gramStart"/>
            <w:r w:rsidRPr="008313E2">
              <w:t>are</w:t>
            </w:r>
            <w:proofErr w:type="gramEnd"/>
            <w:r w:rsidRPr="008313E2">
              <w:t xml:space="preserve"> at higher risk for ACL injury.</w:t>
            </w:r>
          </w:p>
          <w:p w14:paraId="1344C920" w14:textId="77777777" w:rsidR="00CB6ABE" w:rsidRPr="008313E2" w:rsidRDefault="00CB6ABE" w:rsidP="00CB6ABE">
            <w:pPr>
              <w:spacing w:before="120" w:after="120"/>
              <w:rPr>
                <w:b/>
              </w:rPr>
            </w:pPr>
            <w:r w:rsidRPr="008313E2">
              <w:rPr>
                <w:b/>
              </w:rPr>
              <w:t>Secondary Outcome:</w:t>
            </w:r>
          </w:p>
          <w:p w14:paraId="5042128D" w14:textId="30F73771" w:rsidR="00CB6ABE" w:rsidRPr="008313E2" w:rsidRDefault="00CB6ABE" w:rsidP="00CB6ABE">
            <w:pPr>
              <w:pStyle w:val="ListParagraph"/>
              <w:numPr>
                <w:ilvl w:val="0"/>
                <w:numId w:val="24"/>
              </w:numPr>
              <w:spacing w:before="120" w:after="120"/>
            </w:pPr>
            <w:r w:rsidRPr="008313E2">
              <w:rPr>
                <w:b/>
              </w:rPr>
              <w:t xml:space="preserve">Number of Injured or Uninjured Athletes: </w:t>
            </w:r>
            <w:r w:rsidRPr="008313E2">
              <w:t>This measurement was analysed for both the trained and untrained groups, among the data in whole, and for the different subgroups.</w:t>
            </w:r>
          </w:p>
        </w:tc>
      </w:tr>
      <w:tr w:rsidR="00CB6ABE" w:rsidRPr="008313E2" w14:paraId="68A9F3BB" w14:textId="77777777" w:rsidTr="009E380F">
        <w:tc>
          <w:tcPr>
            <w:tcW w:w="10421" w:type="dxa"/>
            <w:tcBorders>
              <w:bottom w:val="single" w:sz="4" w:space="0" w:color="auto"/>
            </w:tcBorders>
            <w:shd w:val="clear" w:color="auto" w:fill="E6E6E6"/>
          </w:tcPr>
          <w:p w14:paraId="59F6B5D1" w14:textId="11ED6E7F" w:rsidR="00CB6ABE" w:rsidRPr="008313E2" w:rsidRDefault="00CB6ABE" w:rsidP="009E380F">
            <w:pPr>
              <w:spacing w:before="120" w:after="120"/>
              <w:rPr>
                <w:b/>
              </w:rPr>
            </w:pPr>
            <w:r w:rsidRPr="008313E2">
              <w:rPr>
                <w:b/>
              </w:rPr>
              <w:t>Main Findings</w:t>
            </w:r>
          </w:p>
        </w:tc>
      </w:tr>
      <w:tr w:rsidR="00CB6ABE" w:rsidRPr="008313E2" w14:paraId="40D39E0D" w14:textId="77777777" w:rsidTr="009E380F">
        <w:tc>
          <w:tcPr>
            <w:tcW w:w="10421" w:type="dxa"/>
            <w:tcBorders>
              <w:bottom w:val="single" w:sz="4" w:space="0" w:color="auto"/>
            </w:tcBorders>
            <w:shd w:val="clear" w:color="auto" w:fill="auto"/>
          </w:tcPr>
          <w:p w14:paraId="47787465" w14:textId="77777777" w:rsidR="00CB6ABE" w:rsidRPr="008313E2" w:rsidRDefault="00CB6ABE" w:rsidP="00CB6ABE">
            <w:pPr>
              <w:widowControl w:val="0"/>
              <w:numPr>
                <w:ilvl w:val="0"/>
                <w:numId w:val="25"/>
              </w:numPr>
              <w:tabs>
                <w:tab w:val="left" w:pos="220"/>
                <w:tab w:val="left" w:pos="720"/>
              </w:tabs>
              <w:autoSpaceDE w:val="0"/>
              <w:autoSpaceDN w:val="0"/>
              <w:adjustRightInd w:val="0"/>
              <w:spacing w:after="240"/>
              <w:ind w:hanging="720"/>
              <w:rPr>
                <w:rFonts w:eastAsiaTheme="minorHAnsi" w:cs="Times"/>
                <w:lang w:val="en-US"/>
              </w:rPr>
            </w:pPr>
            <w:r w:rsidRPr="008313E2">
              <w:rPr>
                <w:rFonts w:eastAsiaTheme="minorHAnsi" w:cs="Verdana"/>
                <w:b/>
                <w:bCs/>
                <w:lang w:val="en-US"/>
              </w:rPr>
              <w:t xml:space="preserve">Pooled Data: </w:t>
            </w:r>
          </w:p>
          <w:p w14:paraId="7316112B" w14:textId="77777777" w:rsidR="00CB6ABE" w:rsidRPr="008313E2" w:rsidRDefault="00CB6ABE" w:rsidP="00CB6ABE">
            <w:pPr>
              <w:widowControl w:val="0"/>
              <w:numPr>
                <w:ilvl w:val="0"/>
                <w:numId w:val="28"/>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bCs/>
                <w:lang w:val="en-US"/>
              </w:rPr>
              <w:t xml:space="preserve">This meta-analysis calculated an overall odds ratio of .40 and a 95% CI of </w:t>
            </w:r>
            <w:r w:rsidRPr="008313E2">
              <w:rPr>
                <w:rFonts w:eastAsiaTheme="minorHAnsi" w:cs="Verdana"/>
                <w:lang w:val="en-US"/>
              </w:rPr>
              <w:t xml:space="preserve">[0.27, 0.60] in the fixed model indicating the effectiveness of an ACL preventing program. </w:t>
            </w:r>
          </w:p>
          <w:p w14:paraId="309D8D97" w14:textId="77777777" w:rsidR="00CB6ABE" w:rsidRPr="008313E2" w:rsidRDefault="00CB6ABE" w:rsidP="00CB6ABE">
            <w:pPr>
              <w:widowControl w:val="0"/>
              <w:numPr>
                <w:ilvl w:val="0"/>
                <w:numId w:val="25"/>
              </w:numPr>
              <w:tabs>
                <w:tab w:val="left" w:pos="220"/>
                <w:tab w:val="left" w:pos="720"/>
              </w:tabs>
              <w:autoSpaceDE w:val="0"/>
              <w:autoSpaceDN w:val="0"/>
              <w:adjustRightInd w:val="0"/>
              <w:spacing w:after="240"/>
              <w:ind w:hanging="720"/>
              <w:rPr>
                <w:rFonts w:eastAsiaTheme="minorHAnsi" w:cs="Times"/>
                <w:lang w:val="en-US"/>
              </w:rPr>
            </w:pPr>
            <w:r w:rsidRPr="008313E2">
              <w:rPr>
                <w:rFonts w:eastAsiaTheme="minorHAnsi" w:cs="Times"/>
                <w:lang w:val="en-US"/>
              </w:rPr>
              <w:tab/>
            </w:r>
            <w:r w:rsidRPr="008313E2">
              <w:rPr>
                <w:rFonts w:eastAsiaTheme="minorHAnsi" w:cs="Verdana"/>
                <w:b/>
                <w:bCs/>
                <w:lang w:val="en-US"/>
              </w:rPr>
              <w:t xml:space="preserve">Subgroup Analyses: </w:t>
            </w:r>
          </w:p>
          <w:p w14:paraId="274DB425" w14:textId="77777777" w:rsidR="00CB6ABE" w:rsidRPr="008313E2" w:rsidRDefault="00CB6ABE" w:rsidP="00CB6ABE">
            <w:pPr>
              <w:pStyle w:val="ListParagraph"/>
              <w:widowControl w:val="0"/>
              <w:numPr>
                <w:ilvl w:val="0"/>
                <w:numId w:val="24"/>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 xml:space="preserve">Subgroups favorable for decreasing the probability of suffering an ACL injury: </w:t>
            </w:r>
          </w:p>
          <w:p w14:paraId="6B04C48F" w14:textId="77777777" w:rsidR="00CB6ABE" w:rsidRPr="008313E2" w:rsidRDefault="00CB6ABE" w:rsidP="00CB6ABE">
            <w:pPr>
              <w:pStyle w:val="ListParagraph"/>
              <w:widowControl w:val="0"/>
              <w:numPr>
                <w:ilvl w:val="0"/>
                <w:numId w:val="26"/>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Athletes age 18 or younger: OR = 0.27 [0.14, 0.49]</w:t>
            </w:r>
          </w:p>
          <w:p w14:paraId="30F588FA" w14:textId="77777777" w:rsidR="00CB6ABE" w:rsidRPr="008313E2" w:rsidRDefault="00CB6ABE" w:rsidP="00CB6ABE">
            <w:pPr>
              <w:pStyle w:val="ListParagraph"/>
              <w:widowControl w:val="0"/>
              <w:numPr>
                <w:ilvl w:val="0"/>
                <w:numId w:val="26"/>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 xml:space="preserve">Soccer athletes: OR = 0.32 [0.19, 0.56]) </w:t>
            </w:r>
          </w:p>
          <w:p w14:paraId="5694AF5E" w14:textId="77777777" w:rsidR="00CB6ABE" w:rsidRPr="008313E2" w:rsidRDefault="00CB6ABE" w:rsidP="00CB6ABE">
            <w:pPr>
              <w:pStyle w:val="ListParagraph"/>
              <w:widowControl w:val="0"/>
              <w:numPr>
                <w:ilvl w:val="0"/>
                <w:numId w:val="26"/>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lastRenderedPageBreak/>
              <w:t>Handball athletes: OR = 0.54 [0.30, 0.97]</w:t>
            </w:r>
          </w:p>
          <w:p w14:paraId="21188D1B" w14:textId="77777777" w:rsidR="00CB6ABE" w:rsidRPr="008313E2" w:rsidRDefault="00CB6ABE" w:rsidP="00CB6ABE">
            <w:pPr>
              <w:pStyle w:val="ListParagraph"/>
              <w:widowControl w:val="0"/>
              <w:numPr>
                <w:ilvl w:val="0"/>
                <w:numId w:val="26"/>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 xml:space="preserve">In-season training: OR = 0.32 [0.17, 0.59] </w:t>
            </w:r>
          </w:p>
          <w:p w14:paraId="45EA041F" w14:textId="77777777" w:rsidR="00CB6ABE" w:rsidRPr="008313E2" w:rsidRDefault="00CB6ABE" w:rsidP="00CB6ABE">
            <w:pPr>
              <w:pStyle w:val="ListParagraph"/>
              <w:widowControl w:val="0"/>
              <w:numPr>
                <w:ilvl w:val="0"/>
                <w:numId w:val="26"/>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Combination of pre-season and in-season: OR = 0.54 [0.30, 0.97]</w:t>
            </w:r>
          </w:p>
          <w:p w14:paraId="3DAD05C2" w14:textId="77777777" w:rsidR="00CB6ABE" w:rsidRPr="008313E2" w:rsidRDefault="00CB6ABE" w:rsidP="00CB6ABE">
            <w:pPr>
              <w:pStyle w:val="ListParagraph"/>
              <w:widowControl w:val="0"/>
              <w:numPr>
                <w:ilvl w:val="0"/>
                <w:numId w:val="26"/>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Plyometric exercise: OR = 0.37 [0.24, 0.55]</w:t>
            </w:r>
          </w:p>
          <w:p w14:paraId="31C2BDEB" w14:textId="77777777" w:rsidR="00CB6ABE" w:rsidRPr="008313E2" w:rsidRDefault="00CB6ABE" w:rsidP="00CB6ABE">
            <w:pPr>
              <w:pStyle w:val="ListParagraph"/>
              <w:widowControl w:val="0"/>
              <w:numPr>
                <w:ilvl w:val="0"/>
                <w:numId w:val="26"/>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Strengthening exercise: OR = 0.21 [0.11, 0.43]</w:t>
            </w:r>
          </w:p>
          <w:p w14:paraId="16FC9D11" w14:textId="77777777" w:rsidR="00CB6ABE" w:rsidRPr="008313E2" w:rsidRDefault="00CB6ABE" w:rsidP="00CB6ABE">
            <w:pPr>
              <w:pStyle w:val="ListParagraph"/>
              <w:widowControl w:val="0"/>
              <w:numPr>
                <w:ilvl w:val="0"/>
                <w:numId w:val="24"/>
              </w:numPr>
              <w:tabs>
                <w:tab w:val="left" w:pos="220"/>
                <w:tab w:val="left" w:pos="720"/>
              </w:tabs>
              <w:autoSpaceDE w:val="0"/>
              <w:autoSpaceDN w:val="0"/>
              <w:adjustRightInd w:val="0"/>
              <w:spacing w:after="240"/>
              <w:rPr>
                <w:rFonts w:eastAsiaTheme="minorHAnsi" w:cs="Times"/>
                <w:lang w:val="en-US"/>
              </w:rPr>
            </w:pPr>
            <w:r w:rsidRPr="008313E2">
              <w:rPr>
                <w:rFonts w:eastAsiaTheme="minorHAnsi" w:cs="Times"/>
                <w:lang w:val="en-US"/>
              </w:rPr>
              <w:t>Subgroups that do not significantly decrease the probability of suffering an ACL injury:</w:t>
            </w:r>
          </w:p>
          <w:p w14:paraId="74224D98" w14:textId="77777777" w:rsidR="00CB6ABE" w:rsidRPr="008313E2" w:rsidRDefault="00CB6ABE" w:rsidP="00CB6ABE">
            <w:pPr>
              <w:pStyle w:val="ListParagraph"/>
              <w:widowControl w:val="0"/>
              <w:numPr>
                <w:ilvl w:val="1"/>
                <w:numId w:val="24"/>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Adult population: OR = adult 0.78 [0.23, 2.64]</w:t>
            </w:r>
          </w:p>
          <w:p w14:paraId="6307B7CD" w14:textId="77777777" w:rsidR="00CB6ABE" w:rsidRPr="008313E2" w:rsidRDefault="00CB6ABE" w:rsidP="00CB6ABE">
            <w:pPr>
              <w:pStyle w:val="ListParagraph"/>
              <w:widowControl w:val="0"/>
              <w:numPr>
                <w:ilvl w:val="1"/>
                <w:numId w:val="24"/>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Pre-season training: OR = 0.35 [0.1, 1.21]</w:t>
            </w:r>
          </w:p>
          <w:p w14:paraId="3A232FC8" w14:textId="77777777" w:rsidR="00CB6ABE" w:rsidRPr="008313E2" w:rsidRDefault="00CB6ABE" w:rsidP="00CB6ABE">
            <w:pPr>
              <w:pStyle w:val="ListParagraph"/>
              <w:widowControl w:val="0"/>
              <w:numPr>
                <w:ilvl w:val="1"/>
                <w:numId w:val="24"/>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Balancing exercise: OR = 0.63 [0.37, 1.09]</w:t>
            </w:r>
          </w:p>
          <w:p w14:paraId="72ECCC3E" w14:textId="77777777" w:rsidR="00CB6ABE" w:rsidRPr="008313E2" w:rsidRDefault="00CB6ABE" w:rsidP="00CB6ABE">
            <w:pPr>
              <w:widowControl w:val="0"/>
              <w:numPr>
                <w:ilvl w:val="0"/>
                <w:numId w:val="25"/>
              </w:numPr>
              <w:tabs>
                <w:tab w:val="left" w:pos="220"/>
                <w:tab w:val="left" w:pos="720"/>
              </w:tabs>
              <w:autoSpaceDE w:val="0"/>
              <w:autoSpaceDN w:val="0"/>
              <w:adjustRightInd w:val="0"/>
              <w:spacing w:after="240"/>
              <w:ind w:hanging="720"/>
              <w:rPr>
                <w:rFonts w:eastAsiaTheme="minorHAnsi" w:cs="Times"/>
                <w:lang w:val="en-US"/>
              </w:rPr>
            </w:pPr>
            <w:r w:rsidRPr="008313E2">
              <w:rPr>
                <w:rFonts w:eastAsiaTheme="minorHAnsi" w:cs="Verdana"/>
                <w:b/>
                <w:bCs/>
                <w:lang w:val="en-US"/>
              </w:rPr>
              <w:tab/>
              <w:t xml:space="preserve">Publication Bias: </w:t>
            </w:r>
          </w:p>
          <w:p w14:paraId="47398FF0" w14:textId="77777777" w:rsidR="00CB6ABE" w:rsidRPr="008313E2" w:rsidRDefault="00CB6ABE" w:rsidP="00CB6ABE">
            <w:pPr>
              <w:pStyle w:val="ListParagraph"/>
              <w:widowControl w:val="0"/>
              <w:numPr>
                <w:ilvl w:val="0"/>
                <w:numId w:val="27"/>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 xml:space="preserve">The Egger test revealed a </w:t>
            </w:r>
            <w:r w:rsidRPr="008313E2">
              <w:rPr>
                <w:rFonts w:eastAsiaTheme="minorHAnsi" w:cs="Verdana"/>
                <w:i/>
                <w:iCs/>
                <w:lang w:val="en-US"/>
              </w:rPr>
              <w:t>P</w:t>
            </w:r>
            <w:r w:rsidRPr="008313E2">
              <w:rPr>
                <w:rFonts w:eastAsiaTheme="minorHAnsi" w:cs="Verdana"/>
                <w:lang w:val="en-US"/>
              </w:rPr>
              <w:t>-value of 0.64</w:t>
            </w:r>
          </w:p>
          <w:p w14:paraId="09DB658E" w14:textId="5F5202A5" w:rsidR="00CB6ABE" w:rsidRPr="008313E2" w:rsidRDefault="00CB6ABE" w:rsidP="00CB6ABE">
            <w:pPr>
              <w:pStyle w:val="ListParagraph"/>
              <w:widowControl w:val="0"/>
              <w:numPr>
                <w:ilvl w:val="0"/>
                <w:numId w:val="27"/>
              </w:numPr>
              <w:tabs>
                <w:tab w:val="left" w:pos="220"/>
                <w:tab w:val="left" w:pos="720"/>
              </w:tabs>
              <w:autoSpaceDE w:val="0"/>
              <w:autoSpaceDN w:val="0"/>
              <w:adjustRightInd w:val="0"/>
              <w:spacing w:after="240"/>
              <w:rPr>
                <w:rFonts w:eastAsiaTheme="minorHAnsi" w:cs="Times"/>
                <w:lang w:val="en-US"/>
              </w:rPr>
            </w:pPr>
            <w:r w:rsidRPr="008313E2">
              <w:rPr>
                <w:rFonts w:eastAsiaTheme="minorHAnsi" w:cs="Verdana"/>
                <w:lang w:val="en-US"/>
              </w:rPr>
              <w:t xml:space="preserve">The </w:t>
            </w:r>
            <w:proofErr w:type="spellStart"/>
            <w:r w:rsidRPr="008313E2">
              <w:rPr>
                <w:rFonts w:eastAsiaTheme="minorHAnsi" w:cs="Verdana"/>
                <w:lang w:val="en-US"/>
              </w:rPr>
              <w:t>Begg’s</w:t>
            </w:r>
            <w:proofErr w:type="spellEnd"/>
            <w:r w:rsidRPr="008313E2">
              <w:rPr>
                <w:rFonts w:eastAsiaTheme="minorHAnsi" w:cs="Verdana"/>
                <w:lang w:val="en-US"/>
              </w:rPr>
              <w:t xml:space="preserve"> test scored a </w:t>
            </w:r>
            <w:r w:rsidRPr="008313E2">
              <w:rPr>
                <w:rFonts w:eastAsiaTheme="minorHAnsi" w:cs="Verdana"/>
                <w:i/>
                <w:iCs/>
                <w:lang w:val="en-US"/>
              </w:rPr>
              <w:t>P</w:t>
            </w:r>
            <w:r w:rsidRPr="008313E2">
              <w:rPr>
                <w:rFonts w:eastAsiaTheme="minorHAnsi" w:cs="Verdana"/>
                <w:lang w:val="en-US"/>
              </w:rPr>
              <w:t>-value of 0.37</w:t>
            </w:r>
          </w:p>
        </w:tc>
      </w:tr>
      <w:tr w:rsidR="00CB6ABE" w:rsidRPr="008313E2" w14:paraId="212D81FF" w14:textId="77777777" w:rsidTr="009E380F">
        <w:tc>
          <w:tcPr>
            <w:tcW w:w="10421" w:type="dxa"/>
            <w:shd w:val="clear" w:color="auto" w:fill="E6E6E6"/>
          </w:tcPr>
          <w:p w14:paraId="248F1BE2" w14:textId="78DA7285" w:rsidR="00CB6ABE" w:rsidRPr="008313E2" w:rsidRDefault="00CB6ABE" w:rsidP="009E380F">
            <w:pPr>
              <w:spacing w:before="120" w:after="120"/>
              <w:rPr>
                <w:b/>
              </w:rPr>
            </w:pPr>
            <w:r w:rsidRPr="008313E2">
              <w:rPr>
                <w:b/>
              </w:rPr>
              <w:lastRenderedPageBreak/>
              <w:t>Original Authors’ Conclusions</w:t>
            </w:r>
          </w:p>
        </w:tc>
      </w:tr>
      <w:tr w:rsidR="00CB6ABE" w:rsidRPr="008313E2" w14:paraId="139F6A13" w14:textId="77777777" w:rsidTr="009E380F">
        <w:tc>
          <w:tcPr>
            <w:tcW w:w="10421" w:type="dxa"/>
            <w:tcBorders>
              <w:bottom w:val="single" w:sz="4" w:space="0" w:color="auto"/>
            </w:tcBorders>
            <w:shd w:val="clear" w:color="auto" w:fill="auto"/>
          </w:tcPr>
          <w:p w14:paraId="5D5EA9A8" w14:textId="5B30890E" w:rsidR="00CB6ABE" w:rsidRPr="008313E2" w:rsidRDefault="00CB6ABE" w:rsidP="00CB6ABE">
            <w:pPr>
              <w:spacing w:before="120" w:after="120"/>
            </w:pPr>
            <w:r w:rsidRPr="008313E2">
              <w:t xml:space="preserve">This meta-analysis concluded that ACL injuries could be reduced in female athletes through the adherence of a neuromuscular prevention program. In other words, neuromuscular ACL prevention programs are effective at preventing ACL injuries in female athletes. Specifically, the study found that athletes under the age of 18 years and those who play soccer </w:t>
            </w:r>
            <w:proofErr w:type="gramStart"/>
            <w:r w:rsidRPr="008313E2">
              <w:t>will</w:t>
            </w:r>
            <w:proofErr w:type="gramEnd"/>
            <w:r w:rsidRPr="008313E2">
              <w:t xml:space="preserve"> benefit most from an ACL prevention program. The authors also concluded that prevention programs that focus on plyometric and strengthening exercises are most beneficial, whereas balancing exercises are not. </w:t>
            </w:r>
          </w:p>
        </w:tc>
      </w:tr>
      <w:tr w:rsidR="00CB6ABE" w:rsidRPr="008313E2" w14:paraId="706AF496" w14:textId="77777777" w:rsidTr="009E380F">
        <w:tc>
          <w:tcPr>
            <w:tcW w:w="10421" w:type="dxa"/>
            <w:shd w:val="clear" w:color="auto" w:fill="E6E6E6"/>
          </w:tcPr>
          <w:p w14:paraId="65B51EC9" w14:textId="77777777" w:rsidR="00CB6ABE" w:rsidRPr="008313E2" w:rsidRDefault="00CB6ABE" w:rsidP="009E380F">
            <w:pPr>
              <w:spacing w:before="120" w:after="120"/>
              <w:rPr>
                <w:b/>
              </w:rPr>
            </w:pPr>
            <w:r w:rsidRPr="008313E2">
              <w:rPr>
                <w:b/>
              </w:rPr>
              <w:t>Critical Appraisal</w:t>
            </w:r>
          </w:p>
        </w:tc>
      </w:tr>
      <w:tr w:rsidR="00CB6ABE" w:rsidRPr="008313E2" w14:paraId="422650B3" w14:textId="77777777" w:rsidTr="009E380F">
        <w:tc>
          <w:tcPr>
            <w:tcW w:w="10421" w:type="dxa"/>
            <w:shd w:val="clear" w:color="auto" w:fill="auto"/>
          </w:tcPr>
          <w:p w14:paraId="7E2DE7E6" w14:textId="2B681E3A" w:rsidR="00CB6ABE" w:rsidRPr="008313E2" w:rsidRDefault="00CB6ABE" w:rsidP="009E380F">
            <w:pPr>
              <w:spacing w:before="120" w:after="120"/>
              <w:rPr>
                <w:b/>
              </w:rPr>
            </w:pPr>
            <w:r w:rsidRPr="008313E2">
              <w:rPr>
                <w:b/>
              </w:rPr>
              <w:t>Validity</w:t>
            </w:r>
          </w:p>
        </w:tc>
      </w:tr>
      <w:tr w:rsidR="00CB6ABE" w:rsidRPr="008313E2" w14:paraId="5E309424" w14:textId="77777777" w:rsidTr="009E380F">
        <w:tc>
          <w:tcPr>
            <w:tcW w:w="10421" w:type="dxa"/>
            <w:shd w:val="clear" w:color="auto" w:fill="auto"/>
          </w:tcPr>
          <w:p w14:paraId="0DF72AC6" w14:textId="7A2BA6CC" w:rsidR="00CB6ABE" w:rsidRPr="008313E2" w:rsidRDefault="00CB6ABE" w:rsidP="00CB6ABE">
            <w:pPr>
              <w:spacing w:before="120" w:after="120"/>
            </w:pPr>
            <w:r w:rsidRPr="008313E2">
              <w:t xml:space="preserve">I calculated a total score of 9/11 on the AMSTAR, which indicates strong validity and quality. </w:t>
            </w:r>
            <w:proofErr w:type="gramStart"/>
            <w:r w:rsidRPr="008313E2">
              <w:t>A strength</w:t>
            </w:r>
            <w:proofErr w:type="gramEnd"/>
            <w:r w:rsidRPr="008313E2">
              <w:t xml:space="preserve"> of this meta-analysis was that it limited the eligible studies to only include randomized control trials and prospective cohort studies. Another strength was to ensure that all studies included were using an intention to treat analysis as to provide more “real life” results. There were 4 different experts conducting the literature review and they used a comprehensive method of Medline search, Cochrane Database, journals, additional web searches and proceedings of the American Academy of Orthopaedic Surgeons. Although the selection committee graded each study’s quality, it was performed in a non-validated manner. This study also failed to represent the quality results of each study. Overall, based on the information provided, the search methods, selection, and appraisal of articles was performed in a manner that would be difficult to replicate. There was a complete detail representation of each article with appropriate outcome measures of odds ratios and number of injuries among trained/untrained athletes. The authors also provide the reader with information regarding publication bias to defend its findings.</w:t>
            </w:r>
          </w:p>
        </w:tc>
      </w:tr>
      <w:tr w:rsidR="00CB6ABE" w:rsidRPr="008313E2" w14:paraId="4C2E2EBE" w14:textId="77777777" w:rsidTr="009E380F">
        <w:tc>
          <w:tcPr>
            <w:tcW w:w="10421" w:type="dxa"/>
            <w:shd w:val="clear" w:color="auto" w:fill="auto"/>
          </w:tcPr>
          <w:p w14:paraId="6715D8E1" w14:textId="677ECBF5" w:rsidR="00CB6ABE" w:rsidRPr="008313E2" w:rsidRDefault="00CB6ABE" w:rsidP="009E380F">
            <w:pPr>
              <w:spacing w:before="120" w:after="120"/>
              <w:jc w:val="both"/>
              <w:rPr>
                <w:b/>
              </w:rPr>
            </w:pPr>
            <w:r w:rsidRPr="008313E2">
              <w:rPr>
                <w:b/>
              </w:rPr>
              <w:t>Interpretation of Results</w:t>
            </w:r>
          </w:p>
        </w:tc>
      </w:tr>
      <w:tr w:rsidR="00CB6ABE" w:rsidRPr="008313E2" w14:paraId="1A707F1C" w14:textId="77777777" w:rsidTr="009E380F">
        <w:tc>
          <w:tcPr>
            <w:tcW w:w="10421" w:type="dxa"/>
            <w:tcBorders>
              <w:bottom w:val="single" w:sz="4" w:space="0" w:color="auto"/>
            </w:tcBorders>
            <w:shd w:val="clear" w:color="auto" w:fill="auto"/>
          </w:tcPr>
          <w:p w14:paraId="3DF92796" w14:textId="69CED310" w:rsidR="00CB6ABE" w:rsidRPr="008313E2" w:rsidRDefault="00CB6ABE" w:rsidP="005B13D4">
            <w:pPr>
              <w:spacing w:before="120" w:after="120"/>
            </w:pPr>
            <w:r w:rsidRPr="008313E2">
              <w:t xml:space="preserve">This meta-analysis supports and defends the efficacy of using an ACL prevention programs to prevent and reduce the incidence of ACL injuries among female athletes. This study also explores different subgroups and identifies which population will benefit most from participating in an ACL injury prevention program. It identifies that female athletes 18 years or younger have approximately a 75% lower risk of suffering an ACL injury if they adhere to a neuromuscular ACL prevention program. In particular, female soccer athletes were found to have the best prevention results. This analysis also investigated what type of training yields the best results. It found that a prevention program focused on plyometric and strength training was most effective, whereas balance training was ineffective at reducing the risk for an ACL injury. Overall, this meta-analysis provides healthcare providers with evidence that ACL prevention programs are effective at preventing ACL injuries among female athletes. </w:t>
            </w:r>
          </w:p>
        </w:tc>
      </w:tr>
    </w:tbl>
    <w:p w14:paraId="68C911F0" w14:textId="77777777" w:rsidR="001D4F60" w:rsidRPr="008313E2" w:rsidRDefault="001D4F60" w:rsidP="001D4F60">
      <w:pPr>
        <w:spacing w:before="240" w:after="240"/>
        <w:rPr>
          <w:b/>
        </w:rPr>
      </w:pPr>
    </w:p>
    <w:p w14:paraId="04C209F2" w14:textId="19D95871" w:rsidR="001D4F60" w:rsidRPr="008313E2" w:rsidRDefault="001D4F60" w:rsidP="00157056">
      <w:pPr>
        <w:widowControl w:val="0"/>
        <w:autoSpaceDE w:val="0"/>
        <w:autoSpaceDN w:val="0"/>
        <w:adjustRightInd w:val="0"/>
        <w:spacing w:after="240"/>
        <w:rPr>
          <w:rFonts w:cs="Times"/>
          <w:b/>
          <w:sz w:val="22"/>
          <w:szCs w:val="22"/>
          <w:lang w:val="en-US"/>
        </w:rPr>
      </w:pPr>
      <w:r w:rsidRPr="008313E2">
        <w:rPr>
          <w:b/>
          <w:sz w:val="22"/>
          <w:szCs w:val="22"/>
        </w:rPr>
        <w:t xml:space="preserve">(3) Description and appraisal of </w:t>
      </w:r>
      <w:r w:rsidR="00157056" w:rsidRPr="008313E2">
        <w:rPr>
          <w:b/>
          <w:sz w:val="22"/>
          <w:szCs w:val="22"/>
        </w:rPr>
        <w:t>“</w:t>
      </w:r>
      <w:r w:rsidR="00157056" w:rsidRPr="008313E2">
        <w:rPr>
          <w:rFonts w:cs="Helvetica Neue"/>
          <w:b/>
          <w:bCs/>
          <w:sz w:val="22"/>
          <w:szCs w:val="22"/>
          <w:lang w:val="en-US"/>
        </w:rPr>
        <w:t>A Randomized Controlled Trial to Prevent Noncontact Anterior Cruciate Ligament Injury in Female Collegiate Soccer Players</w:t>
      </w:r>
      <w:r w:rsidR="00157056" w:rsidRPr="008313E2">
        <w:rPr>
          <w:b/>
          <w:sz w:val="22"/>
          <w:szCs w:val="22"/>
        </w:rPr>
        <w:t xml:space="preserve">“ by </w:t>
      </w:r>
      <w:r w:rsidR="00157056" w:rsidRPr="008313E2">
        <w:rPr>
          <w:rFonts w:cs="Helvetica Neue"/>
          <w:b/>
          <w:sz w:val="22"/>
          <w:szCs w:val="22"/>
          <w:lang w:val="en-US"/>
        </w:rPr>
        <w:t>Gilchrist</w:t>
      </w:r>
      <w:r w:rsidR="00157056" w:rsidRPr="008313E2">
        <w:rPr>
          <w:rFonts w:cs="Times"/>
          <w:b/>
          <w:sz w:val="22"/>
          <w:szCs w:val="22"/>
          <w:lang w:val="en-US"/>
        </w:rPr>
        <w:t xml:space="preserve"> et al. 2008.</w:t>
      </w:r>
    </w:p>
    <w:p w14:paraId="4222AE62" w14:textId="77777777" w:rsidR="00157056" w:rsidRPr="008313E2" w:rsidRDefault="00157056" w:rsidP="00157056">
      <w:pPr>
        <w:widowControl w:val="0"/>
        <w:autoSpaceDE w:val="0"/>
        <w:autoSpaceDN w:val="0"/>
        <w:adjustRightInd w:val="0"/>
        <w:spacing w:after="240"/>
        <w:rPr>
          <w:rFonts w:cs="Times"/>
          <w:b/>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D4F60" w:rsidRPr="008313E2" w14:paraId="72A4EFFC" w14:textId="77777777" w:rsidTr="009E380F">
        <w:tc>
          <w:tcPr>
            <w:tcW w:w="10421" w:type="dxa"/>
            <w:shd w:val="clear" w:color="auto" w:fill="E6E6E6"/>
          </w:tcPr>
          <w:p w14:paraId="23042FA7" w14:textId="77777777" w:rsidR="001D4F60" w:rsidRPr="008313E2" w:rsidRDefault="001D4F60" w:rsidP="009E380F">
            <w:pPr>
              <w:spacing w:before="120" w:after="120"/>
              <w:rPr>
                <w:b/>
              </w:rPr>
            </w:pPr>
            <w:r w:rsidRPr="008313E2">
              <w:rPr>
                <w:b/>
              </w:rPr>
              <w:t>Aim/Objective of the Study/Systematic Review:</w:t>
            </w:r>
          </w:p>
        </w:tc>
      </w:tr>
      <w:tr w:rsidR="001D4F60" w:rsidRPr="008313E2" w14:paraId="5FC6E3F4" w14:textId="77777777" w:rsidTr="009E380F">
        <w:tc>
          <w:tcPr>
            <w:tcW w:w="10421" w:type="dxa"/>
            <w:tcBorders>
              <w:bottom w:val="single" w:sz="4" w:space="0" w:color="auto"/>
            </w:tcBorders>
            <w:shd w:val="clear" w:color="auto" w:fill="auto"/>
          </w:tcPr>
          <w:p w14:paraId="2EF74961" w14:textId="7425917E" w:rsidR="001D4F60" w:rsidRPr="008313E2" w:rsidRDefault="00422292" w:rsidP="00C24300">
            <w:pPr>
              <w:spacing w:before="120" w:after="120"/>
            </w:pPr>
            <w:r w:rsidRPr="008313E2">
              <w:t xml:space="preserve">The objective of this randomized control trial was to assess the </w:t>
            </w:r>
            <w:r w:rsidR="00C24300" w:rsidRPr="008313E2">
              <w:t>efficacy</w:t>
            </w:r>
            <w:r w:rsidRPr="008313E2">
              <w:t xml:space="preserve"> of an alternative warm-up called the Prevent injury and Enhance Performance (PEP) at reducing ACL injuries, specifically noncontact injuries, among NCAA Division I female soccer athletes. </w:t>
            </w:r>
          </w:p>
        </w:tc>
      </w:tr>
      <w:tr w:rsidR="001D4F60" w:rsidRPr="008313E2" w14:paraId="590F4D79" w14:textId="77777777" w:rsidTr="009E380F">
        <w:tc>
          <w:tcPr>
            <w:tcW w:w="10421" w:type="dxa"/>
            <w:shd w:val="clear" w:color="auto" w:fill="E6E6E6"/>
          </w:tcPr>
          <w:p w14:paraId="1D7628FE" w14:textId="5119D0FF" w:rsidR="001D4F60" w:rsidRPr="008313E2" w:rsidRDefault="001D4F60" w:rsidP="009E380F">
            <w:pPr>
              <w:spacing w:before="120" w:after="120"/>
              <w:jc w:val="both"/>
              <w:rPr>
                <w:b/>
              </w:rPr>
            </w:pPr>
            <w:r w:rsidRPr="008313E2">
              <w:rPr>
                <w:b/>
              </w:rPr>
              <w:t>Study Design</w:t>
            </w:r>
          </w:p>
        </w:tc>
      </w:tr>
      <w:tr w:rsidR="001D4F60" w:rsidRPr="008313E2" w14:paraId="3EFD0D42" w14:textId="77777777" w:rsidTr="009E380F">
        <w:tc>
          <w:tcPr>
            <w:tcW w:w="10421" w:type="dxa"/>
            <w:tcBorders>
              <w:bottom w:val="single" w:sz="4" w:space="0" w:color="auto"/>
            </w:tcBorders>
            <w:shd w:val="clear" w:color="auto" w:fill="auto"/>
          </w:tcPr>
          <w:p w14:paraId="6E95C35B" w14:textId="6A24F1DB" w:rsidR="0096050A" w:rsidRPr="008313E2" w:rsidRDefault="0096050A" w:rsidP="009E380F">
            <w:pPr>
              <w:spacing w:before="120" w:after="120"/>
            </w:pPr>
            <w:r w:rsidRPr="008313E2">
              <w:rPr>
                <w:b/>
              </w:rPr>
              <w:t>Eligible Criteria</w:t>
            </w:r>
            <w:r w:rsidRPr="008313E2">
              <w:t>:</w:t>
            </w:r>
            <w:r w:rsidR="000132F5" w:rsidRPr="008313E2">
              <w:t xml:space="preserve"> Eligible teams for this study were 273 NCAA Division I women’s soccer teams. Fourteen teams were ineligible due to participation in a previous pilot study. Eligible teams were required to have a certified athletic training staff with appropriate time and equipment to supervise each training session and complete reporting needs of the study.</w:t>
            </w:r>
          </w:p>
          <w:p w14:paraId="4F8EF76D" w14:textId="265F58FE" w:rsidR="0096050A" w:rsidRPr="008313E2" w:rsidRDefault="0096050A" w:rsidP="009E380F">
            <w:pPr>
              <w:spacing w:before="120" w:after="120"/>
            </w:pPr>
            <w:r w:rsidRPr="008313E2">
              <w:rPr>
                <w:b/>
              </w:rPr>
              <w:t>Allocation</w:t>
            </w:r>
            <w:r w:rsidRPr="008313E2">
              <w:t>:</w:t>
            </w:r>
            <w:r w:rsidR="000132F5" w:rsidRPr="008313E2">
              <w:t xml:space="preserve"> Teams whose coach, Athletic trainer (ATC), and athletic director agreed to participate in the study were randomized into either the intervention or control group. </w:t>
            </w:r>
          </w:p>
          <w:p w14:paraId="1788CE23" w14:textId="1E0500EB" w:rsidR="0096050A" w:rsidRPr="008313E2" w:rsidRDefault="0096050A" w:rsidP="009E380F">
            <w:pPr>
              <w:spacing w:before="120" w:after="120"/>
            </w:pPr>
            <w:r w:rsidRPr="008313E2">
              <w:rPr>
                <w:b/>
              </w:rPr>
              <w:t>Intervention Overview</w:t>
            </w:r>
            <w:r w:rsidRPr="008313E2">
              <w:t>:</w:t>
            </w:r>
            <w:r w:rsidR="00E536FA" w:rsidRPr="008313E2">
              <w:t xml:space="preserve"> After randomization, each team’s ATC informed the athletes of an overview of the study and then collected consent forms and pre-participation questionnaires on demographic factors. Interventions teams received a manual instructions and a videotape of the PEP warm-up. Intervention teams were asked to complete the PEP warm-up 3 times per week during the regular season. Control teams performed their usual normal warm-up and received the intervention materials at the end of the season after all data was collected. </w:t>
            </w:r>
          </w:p>
          <w:p w14:paraId="4801C617" w14:textId="42C46134" w:rsidR="0096050A" w:rsidRPr="008313E2" w:rsidRDefault="0096050A" w:rsidP="009E380F">
            <w:pPr>
              <w:spacing w:before="120" w:after="120"/>
            </w:pPr>
            <w:r w:rsidRPr="008313E2">
              <w:rPr>
                <w:b/>
              </w:rPr>
              <w:t>Data Collection</w:t>
            </w:r>
            <w:r w:rsidRPr="008313E2">
              <w:t>:</w:t>
            </w:r>
            <w:r w:rsidR="00E536FA" w:rsidRPr="008313E2">
              <w:t xml:space="preserve"> The ATCs of each team reported weekly participation in games and practices (athletic exposures, AEs) and any knee injuries. </w:t>
            </w:r>
            <w:r w:rsidR="003A57CE" w:rsidRPr="008313E2">
              <w:t xml:space="preserve">Weekly compliance among the intervention teams was also reported by the ATCs. </w:t>
            </w:r>
            <w:r w:rsidR="00AE3258" w:rsidRPr="008313E2">
              <w:t xml:space="preserve">ACL injuries were counted only if confirmed by MRI, arthroscopy, or direct visualization at the time of repair. </w:t>
            </w:r>
            <w:r w:rsidR="00040ABB" w:rsidRPr="008313E2">
              <w:t xml:space="preserve">Intervention and control teams were paired by proximity and clustered geographically by region (Northeast, South, Midwest, and West). </w:t>
            </w:r>
          </w:p>
          <w:p w14:paraId="02D1E1CF" w14:textId="6C1F59AE" w:rsidR="00040ABB" w:rsidRPr="008313E2" w:rsidRDefault="00040ABB" w:rsidP="009E380F">
            <w:pPr>
              <w:spacing w:before="120" w:after="120"/>
            </w:pPr>
            <w:r w:rsidRPr="008313E2">
              <w:rPr>
                <w:b/>
              </w:rPr>
              <w:t>Implementation Fidelity</w:t>
            </w:r>
            <w:r w:rsidRPr="008313E2">
              <w:t xml:space="preserve">: One pair from each region (13% of teams) </w:t>
            </w:r>
            <w:proofErr w:type="gramStart"/>
            <w:r w:rsidRPr="008313E2">
              <w:t>was randomly selected to be observed</w:t>
            </w:r>
            <w:proofErr w:type="gramEnd"/>
            <w:r w:rsidRPr="008313E2">
              <w:t xml:space="preserve"> for proper implementation and comparison of similar drills among the control groups. </w:t>
            </w:r>
            <w:r w:rsidR="00C24300" w:rsidRPr="008313E2">
              <w:t xml:space="preserve">Drills or exercises performed by control groups were reported as the same drill or similar to components of the PEP Program. Staff from this study observed the quality of the exercises being performed by the athletes undergoing the PEP Program with a standardized observational instrument scale. </w:t>
            </w:r>
          </w:p>
          <w:p w14:paraId="357AB1A0" w14:textId="06581C82" w:rsidR="001D4F60" w:rsidRPr="008313E2" w:rsidRDefault="0096050A" w:rsidP="005534AD">
            <w:pPr>
              <w:spacing w:before="120" w:after="120"/>
            </w:pPr>
            <w:r w:rsidRPr="008313E2">
              <w:rPr>
                <w:b/>
              </w:rPr>
              <w:t>Statistical Methods</w:t>
            </w:r>
            <w:r w:rsidR="00C24300" w:rsidRPr="008313E2">
              <w:rPr>
                <w:b/>
              </w:rPr>
              <w:t xml:space="preserve"> and Data Analysis</w:t>
            </w:r>
            <w:r w:rsidRPr="008313E2">
              <w:rPr>
                <w:b/>
              </w:rPr>
              <w:t>:</w:t>
            </w:r>
            <w:r w:rsidR="00C24300" w:rsidRPr="008313E2">
              <w:rPr>
                <w:b/>
              </w:rPr>
              <w:t xml:space="preserve"> </w:t>
            </w:r>
            <w:r w:rsidR="00C24300" w:rsidRPr="008313E2">
              <w:t>All extracted data was entered into an Access database and analysed using SAS version 8.2. An as treated analysis was conducted as opposed to an intent-to-treat analysis. This study was primarily concerned w</w:t>
            </w:r>
            <w:r w:rsidR="004A4D5C" w:rsidRPr="008313E2">
              <w:t>ith the efficacy of the program</w:t>
            </w:r>
            <w:r w:rsidR="00C24300" w:rsidRPr="008313E2">
              <w:t xml:space="preserve"> rather than the effectiveness</w:t>
            </w:r>
            <w:r w:rsidR="004A4D5C" w:rsidRPr="008313E2">
              <w:t xml:space="preserve">. Intervention teams were excluded from the analyses if they did not complete 12 or more sessions. </w:t>
            </w:r>
            <w:r w:rsidR="005534AD" w:rsidRPr="008313E2">
              <w:t xml:space="preserve">Statistical tests utilized a </w:t>
            </w:r>
            <w:r w:rsidR="005534AD" w:rsidRPr="008313E2">
              <w:rPr>
                <w:i/>
              </w:rPr>
              <w:t>z</w:t>
            </w:r>
            <w:r w:rsidR="005534AD" w:rsidRPr="008313E2">
              <w:t xml:space="preserve"> statistic for rate ratios using Kish’s formula for the variance of the ratio. A p-value of less than 0.05 was considered significant. The authors who developed and designed the PEP Program did not participate in data collection or analysis. </w:t>
            </w:r>
          </w:p>
        </w:tc>
      </w:tr>
      <w:tr w:rsidR="001D4F60" w:rsidRPr="008313E2" w14:paraId="2F0E7319" w14:textId="77777777" w:rsidTr="009E380F">
        <w:tc>
          <w:tcPr>
            <w:tcW w:w="10421" w:type="dxa"/>
            <w:shd w:val="clear" w:color="auto" w:fill="E6E6E6"/>
          </w:tcPr>
          <w:p w14:paraId="4CDC0090" w14:textId="2763D363" w:rsidR="001D4F60" w:rsidRPr="008313E2" w:rsidRDefault="001D4F60" w:rsidP="009C0D10">
            <w:pPr>
              <w:spacing w:before="120" w:after="120"/>
              <w:rPr>
                <w:b/>
              </w:rPr>
            </w:pPr>
            <w:r w:rsidRPr="008313E2">
              <w:rPr>
                <w:b/>
              </w:rPr>
              <w:t>Setting</w:t>
            </w:r>
          </w:p>
        </w:tc>
      </w:tr>
      <w:tr w:rsidR="001D4F60" w:rsidRPr="008313E2" w14:paraId="767BD302" w14:textId="77777777" w:rsidTr="009E380F">
        <w:tc>
          <w:tcPr>
            <w:tcW w:w="10421" w:type="dxa"/>
            <w:tcBorders>
              <w:bottom w:val="single" w:sz="4" w:space="0" w:color="auto"/>
            </w:tcBorders>
            <w:shd w:val="clear" w:color="auto" w:fill="auto"/>
          </w:tcPr>
          <w:p w14:paraId="0F4573E5" w14:textId="2C9CFEC4" w:rsidR="001D4F60" w:rsidRPr="008313E2" w:rsidRDefault="004929DF" w:rsidP="004929DF">
            <w:pPr>
              <w:spacing w:before="120" w:after="120"/>
            </w:pPr>
            <w:r w:rsidRPr="008313E2">
              <w:t>The study was conducted among NCAA Division I women’s soccer teams in the United States of America. Teams were clustered into geographical regions of Northeast, South, Midwest and West.</w:t>
            </w:r>
          </w:p>
        </w:tc>
      </w:tr>
      <w:tr w:rsidR="001D4F60" w:rsidRPr="008313E2" w14:paraId="06C9D478" w14:textId="77777777" w:rsidTr="009E380F">
        <w:tc>
          <w:tcPr>
            <w:tcW w:w="10421" w:type="dxa"/>
            <w:shd w:val="clear" w:color="auto" w:fill="E6E6E6"/>
          </w:tcPr>
          <w:p w14:paraId="02DD81D1" w14:textId="77F9252F" w:rsidR="001D4F60" w:rsidRPr="008313E2" w:rsidRDefault="009C0D10" w:rsidP="009E380F">
            <w:pPr>
              <w:spacing w:before="120" w:after="120"/>
              <w:rPr>
                <w:b/>
              </w:rPr>
            </w:pPr>
            <w:r w:rsidRPr="008313E2">
              <w:rPr>
                <w:b/>
              </w:rPr>
              <w:t>Participants</w:t>
            </w:r>
          </w:p>
        </w:tc>
      </w:tr>
      <w:tr w:rsidR="001D4F60" w:rsidRPr="008313E2" w14:paraId="35FA4F23" w14:textId="77777777" w:rsidTr="009E380F">
        <w:tc>
          <w:tcPr>
            <w:tcW w:w="10421" w:type="dxa"/>
            <w:tcBorders>
              <w:bottom w:val="single" w:sz="4" w:space="0" w:color="auto"/>
            </w:tcBorders>
            <w:shd w:val="clear" w:color="auto" w:fill="auto"/>
          </w:tcPr>
          <w:p w14:paraId="07E8B327" w14:textId="165CA585" w:rsidR="001D4F60" w:rsidRPr="008313E2" w:rsidRDefault="00B9306C" w:rsidP="009E380F">
            <w:pPr>
              <w:spacing w:before="120" w:after="120"/>
            </w:pPr>
            <w:r w:rsidRPr="008313E2">
              <w:t>A total of 273 NCAA teams were eligible for participation in this study. In the summer and fall before the season, the coaches and certified athletic trainers of all 273 eligible teams were invited to participate. A total of 61</w:t>
            </w:r>
            <w:r w:rsidR="004929DF" w:rsidRPr="008313E2">
              <w:t xml:space="preserve"> Division I women soccer teams completed the study, with 35 control teams and 26 intervention teams. A total of 1435 female athletes participated in the study, with 852 control athletes and 583 experimental/intervention athletes. </w:t>
            </w:r>
            <w:r w:rsidRPr="008313E2">
              <w:t xml:space="preserve">Eight intervention teams were excluded from data analysis due to low compliance with the PEP Program (performed less than 12 sessions). </w:t>
            </w:r>
          </w:p>
          <w:p w14:paraId="7B469257" w14:textId="77777777" w:rsidR="00B9306C" w:rsidRPr="008313E2" w:rsidRDefault="00B9306C" w:rsidP="009E380F">
            <w:pPr>
              <w:spacing w:before="120" w:after="120"/>
            </w:pPr>
          </w:p>
          <w:p w14:paraId="7B5639F4" w14:textId="6428CF98" w:rsidR="001D4F60" w:rsidRPr="008313E2" w:rsidRDefault="006B4EC3" w:rsidP="006B4EC3">
            <w:pPr>
              <w:spacing w:before="120" w:after="120"/>
            </w:pPr>
            <w:r w:rsidRPr="008313E2">
              <w:t xml:space="preserve">There were no significant differences of subject demographics (average years in college, age, height, weight, BMI, history of ACL injury) between the intervention teams and the control teams. The average age for both groups was 19.88 years old. </w:t>
            </w:r>
          </w:p>
        </w:tc>
      </w:tr>
      <w:tr w:rsidR="001D4F60" w:rsidRPr="008313E2" w14:paraId="22E69BDB" w14:textId="77777777" w:rsidTr="009E380F">
        <w:tc>
          <w:tcPr>
            <w:tcW w:w="10421" w:type="dxa"/>
            <w:shd w:val="clear" w:color="auto" w:fill="E6E6E6"/>
          </w:tcPr>
          <w:p w14:paraId="3B2C05C8" w14:textId="24928D33" w:rsidR="001D4F60" w:rsidRPr="008313E2" w:rsidRDefault="001D4F60" w:rsidP="009C0D10">
            <w:pPr>
              <w:spacing w:before="120" w:after="120"/>
              <w:rPr>
                <w:b/>
              </w:rPr>
            </w:pPr>
            <w:r w:rsidRPr="008313E2">
              <w:rPr>
                <w:b/>
              </w:rPr>
              <w:lastRenderedPageBreak/>
              <w:t>Intervention Investigated</w:t>
            </w:r>
          </w:p>
        </w:tc>
      </w:tr>
      <w:tr w:rsidR="001D4F60" w:rsidRPr="008313E2" w14:paraId="0A527DBF" w14:textId="77777777" w:rsidTr="009E380F">
        <w:tc>
          <w:tcPr>
            <w:tcW w:w="10421" w:type="dxa"/>
            <w:shd w:val="clear" w:color="auto" w:fill="auto"/>
          </w:tcPr>
          <w:p w14:paraId="03F5DE01" w14:textId="77777777" w:rsidR="001D4F60" w:rsidRPr="008313E2" w:rsidRDefault="001D4F60" w:rsidP="009E380F">
            <w:pPr>
              <w:spacing w:before="120" w:after="120"/>
              <w:rPr>
                <w:i/>
              </w:rPr>
            </w:pPr>
            <w:r w:rsidRPr="008313E2">
              <w:rPr>
                <w:i/>
              </w:rPr>
              <w:t>Control</w:t>
            </w:r>
          </w:p>
        </w:tc>
      </w:tr>
      <w:tr w:rsidR="001D4F60" w:rsidRPr="008313E2" w14:paraId="7E2E2FEA" w14:textId="77777777" w:rsidTr="009E380F">
        <w:tc>
          <w:tcPr>
            <w:tcW w:w="10421" w:type="dxa"/>
            <w:shd w:val="clear" w:color="auto" w:fill="auto"/>
          </w:tcPr>
          <w:p w14:paraId="6473E501" w14:textId="77777777" w:rsidR="00BC699A" w:rsidRPr="008313E2" w:rsidRDefault="00B077D4" w:rsidP="00BC699A">
            <w:pPr>
              <w:pStyle w:val="ListParagraph"/>
              <w:numPr>
                <w:ilvl w:val="0"/>
                <w:numId w:val="33"/>
              </w:numPr>
              <w:spacing w:before="120" w:after="120"/>
            </w:pPr>
            <w:r w:rsidRPr="008313E2">
              <w:t xml:space="preserve">Control teams did not participate in the PEP warm-up ACL prevention program. </w:t>
            </w:r>
          </w:p>
          <w:p w14:paraId="277B8274" w14:textId="77777777" w:rsidR="00BC699A" w:rsidRPr="008313E2" w:rsidRDefault="00B077D4" w:rsidP="00BC699A">
            <w:pPr>
              <w:pStyle w:val="ListParagraph"/>
              <w:numPr>
                <w:ilvl w:val="0"/>
                <w:numId w:val="33"/>
              </w:numPr>
              <w:spacing w:before="120" w:after="120"/>
            </w:pPr>
            <w:r w:rsidRPr="008313E2">
              <w:t xml:space="preserve">Control teams carried out their normal and customary warm-up. </w:t>
            </w:r>
          </w:p>
          <w:p w14:paraId="1190E1AC" w14:textId="484852B0" w:rsidR="001D4F60" w:rsidRPr="008313E2" w:rsidRDefault="00B077D4" w:rsidP="00BC699A">
            <w:pPr>
              <w:pStyle w:val="ListParagraph"/>
              <w:numPr>
                <w:ilvl w:val="0"/>
                <w:numId w:val="33"/>
              </w:numPr>
              <w:spacing w:before="120" w:after="120"/>
            </w:pPr>
            <w:r w:rsidRPr="008313E2">
              <w:t xml:space="preserve">Control teams were given all intervention materials (videotapes and manual instructions) at the end of the season and completion of all data collection. </w:t>
            </w:r>
          </w:p>
        </w:tc>
      </w:tr>
      <w:tr w:rsidR="001D4F60" w:rsidRPr="008313E2" w14:paraId="5860704C" w14:textId="77777777" w:rsidTr="009E380F">
        <w:tc>
          <w:tcPr>
            <w:tcW w:w="10421" w:type="dxa"/>
            <w:shd w:val="clear" w:color="auto" w:fill="auto"/>
          </w:tcPr>
          <w:p w14:paraId="4CF11932" w14:textId="77777777" w:rsidR="001D4F60" w:rsidRPr="008313E2" w:rsidRDefault="001D4F60" w:rsidP="009E380F">
            <w:pPr>
              <w:spacing w:before="120" w:after="120"/>
              <w:rPr>
                <w:i/>
              </w:rPr>
            </w:pPr>
            <w:r w:rsidRPr="008313E2">
              <w:rPr>
                <w:i/>
              </w:rPr>
              <w:t>Experimental</w:t>
            </w:r>
          </w:p>
        </w:tc>
      </w:tr>
      <w:tr w:rsidR="001D4F60" w:rsidRPr="008313E2" w14:paraId="3AE4844A" w14:textId="77777777" w:rsidTr="009E380F">
        <w:tc>
          <w:tcPr>
            <w:tcW w:w="10421" w:type="dxa"/>
            <w:tcBorders>
              <w:bottom w:val="single" w:sz="4" w:space="0" w:color="auto"/>
            </w:tcBorders>
            <w:shd w:val="clear" w:color="auto" w:fill="auto"/>
          </w:tcPr>
          <w:p w14:paraId="19990CC5" w14:textId="77777777" w:rsidR="00BC699A" w:rsidRPr="008313E2" w:rsidRDefault="00A94171" w:rsidP="00BC699A">
            <w:pPr>
              <w:pStyle w:val="ListParagraph"/>
              <w:numPr>
                <w:ilvl w:val="0"/>
                <w:numId w:val="32"/>
              </w:numPr>
              <w:spacing w:before="120" w:after="120"/>
            </w:pPr>
            <w:r w:rsidRPr="008313E2">
              <w:t>Intervention teams</w:t>
            </w:r>
            <w:r w:rsidR="00B077D4" w:rsidRPr="008313E2">
              <w:t xml:space="preserve"> participated </w:t>
            </w:r>
            <w:r w:rsidRPr="008313E2">
              <w:t xml:space="preserve">in </w:t>
            </w:r>
            <w:r w:rsidR="00B077D4" w:rsidRPr="008313E2">
              <w:t xml:space="preserve">the alternative warm-up </w:t>
            </w:r>
            <w:r w:rsidRPr="008313E2">
              <w:t xml:space="preserve">called </w:t>
            </w:r>
            <w:r w:rsidR="00B077D4" w:rsidRPr="008313E2">
              <w:t xml:space="preserve">Prevent Injury and Enhance Performance (PEP) Program. </w:t>
            </w:r>
          </w:p>
          <w:p w14:paraId="4C3D1200" w14:textId="77777777" w:rsidR="00BC699A" w:rsidRPr="008313E2" w:rsidRDefault="00B077D4" w:rsidP="00BC699A">
            <w:pPr>
              <w:pStyle w:val="ListParagraph"/>
              <w:numPr>
                <w:ilvl w:val="0"/>
                <w:numId w:val="32"/>
              </w:numPr>
              <w:spacing w:before="120" w:after="120"/>
            </w:pPr>
            <w:r w:rsidRPr="008313E2">
              <w:t xml:space="preserve">Teams were instructed to perform the warm-up 3 times a week throughout the regular season (12 weeks in total). </w:t>
            </w:r>
          </w:p>
          <w:p w14:paraId="68757BB4" w14:textId="5DE85ED1" w:rsidR="00957B7C" w:rsidRPr="008313E2" w:rsidRDefault="00B077D4" w:rsidP="00BC699A">
            <w:pPr>
              <w:pStyle w:val="ListParagraph"/>
              <w:numPr>
                <w:ilvl w:val="0"/>
                <w:numId w:val="32"/>
              </w:numPr>
              <w:spacing w:before="120" w:after="120"/>
            </w:pPr>
            <w:r w:rsidRPr="008313E2">
              <w:t>The PEP program consists of 19 components and c</w:t>
            </w:r>
            <w:r w:rsidR="00EF6B26" w:rsidRPr="008313E2">
              <w:t xml:space="preserve">an be completed in 30 minutes. This </w:t>
            </w:r>
            <w:r w:rsidRPr="008313E2">
              <w:t>multic</w:t>
            </w:r>
            <w:r w:rsidR="00EF6B26" w:rsidRPr="008313E2">
              <w:t xml:space="preserve">omponent program </w:t>
            </w:r>
            <w:r w:rsidR="00957B7C" w:rsidRPr="008313E2">
              <w:t>includes</w:t>
            </w:r>
            <w:r w:rsidR="00EF6B26" w:rsidRPr="008313E2">
              <w:t xml:space="preserve"> the following basic exercises</w:t>
            </w:r>
            <w:r w:rsidR="00957B7C" w:rsidRPr="008313E2">
              <w:t>:</w:t>
            </w:r>
          </w:p>
          <w:p w14:paraId="582B6A25" w14:textId="597950B6" w:rsidR="00957B7C" w:rsidRPr="008313E2" w:rsidRDefault="00957B7C" w:rsidP="00BC699A">
            <w:pPr>
              <w:pStyle w:val="ListParagraph"/>
              <w:numPr>
                <w:ilvl w:val="0"/>
                <w:numId w:val="34"/>
              </w:numPr>
              <w:spacing w:before="120" w:after="120"/>
            </w:pPr>
            <w:r w:rsidRPr="008313E2">
              <w:t>W</w:t>
            </w:r>
            <w:r w:rsidR="00B077D4" w:rsidRPr="008313E2">
              <w:t>arm-up</w:t>
            </w:r>
            <w:r w:rsidRPr="008313E2">
              <w:t>: jog line to line, shuttle run, backward running</w:t>
            </w:r>
            <w:r w:rsidR="00B077D4" w:rsidRPr="008313E2">
              <w:t xml:space="preserve">, </w:t>
            </w:r>
          </w:p>
          <w:p w14:paraId="7362317F" w14:textId="702CBEF6" w:rsidR="00957B7C" w:rsidRPr="008313E2" w:rsidRDefault="00957B7C" w:rsidP="00BC699A">
            <w:pPr>
              <w:pStyle w:val="ListParagraph"/>
              <w:numPr>
                <w:ilvl w:val="0"/>
                <w:numId w:val="34"/>
              </w:numPr>
              <w:spacing w:before="120" w:after="120"/>
            </w:pPr>
            <w:r w:rsidRPr="008313E2">
              <w:t>Stretching: calf, quadriceps, figure 4 hamstring, inner thigh, hip flexor</w:t>
            </w:r>
          </w:p>
          <w:p w14:paraId="032C522B" w14:textId="712B4B16" w:rsidR="00957B7C" w:rsidRPr="008313E2" w:rsidRDefault="00957B7C" w:rsidP="00BC699A">
            <w:pPr>
              <w:pStyle w:val="ListParagraph"/>
              <w:numPr>
                <w:ilvl w:val="0"/>
                <w:numId w:val="34"/>
              </w:numPr>
              <w:spacing w:before="120" w:after="120"/>
            </w:pPr>
            <w:r w:rsidRPr="008313E2">
              <w:t>Strengthening:</w:t>
            </w:r>
            <w:r w:rsidR="00EF6B26" w:rsidRPr="008313E2">
              <w:t xml:space="preserve"> walking lunges, Russian hamstring, single toe raises</w:t>
            </w:r>
          </w:p>
          <w:p w14:paraId="029820B6" w14:textId="7669EF16" w:rsidR="00957B7C" w:rsidRPr="008313E2" w:rsidRDefault="00957B7C" w:rsidP="00BC699A">
            <w:pPr>
              <w:pStyle w:val="ListParagraph"/>
              <w:numPr>
                <w:ilvl w:val="0"/>
                <w:numId w:val="34"/>
              </w:numPr>
              <w:spacing w:before="120" w:after="120"/>
            </w:pPr>
            <w:proofErr w:type="spellStart"/>
            <w:r w:rsidRPr="008313E2">
              <w:t>Plyometrics</w:t>
            </w:r>
            <w:proofErr w:type="spellEnd"/>
            <w:r w:rsidRPr="008313E2">
              <w:t>:</w:t>
            </w:r>
            <w:r w:rsidR="00EF6B26" w:rsidRPr="008313E2">
              <w:t xml:space="preserve"> lateral hops, forward/backward, and single leg hops over cones; vertical jumps with headers, scissors jump</w:t>
            </w:r>
          </w:p>
          <w:p w14:paraId="378AFBAB" w14:textId="11451BC1" w:rsidR="00BC699A" w:rsidRPr="008313E2" w:rsidRDefault="00957B7C" w:rsidP="00BC699A">
            <w:pPr>
              <w:pStyle w:val="ListParagraph"/>
              <w:numPr>
                <w:ilvl w:val="0"/>
                <w:numId w:val="34"/>
              </w:numPr>
              <w:spacing w:before="120" w:after="120"/>
            </w:pPr>
            <w:r w:rsidRPr="008313E2">
              <w:t>S</w:t>
            </w:r>
            <w:r w:rsidR="00B077D4" w:rsidRPr="008313E2">
              <w:t>o</w:t>
            </w:r>
            <w:r w:rsidRPr="008313E2">
              <w:t>ccer-specific agility exercises:</w:t>
            </w:r>
            <w:r w:rsidR="00B077D4" w:rsidRPr="008313E2">
              <w:t xml:space="preserve"> </w:t>
            </w:r>
            <w:r w:rsidR="00EF6B26" w:rsidRPr="008313E2">
              <w:t>shuttle run, diagonal runs, bounding run</w:t>
            </w:r>
          </w:p>
          <w:p w14:paraId="234675EF" w14:textId="77777777" w:rsidR="00BC699A" w:rsidRPr="008313E2" w:rsidRDefault="00957B7C" w:rsidP="00BC699A">
            <w:pPr>
              <w:pStyle w:val="ListParagraph"/>
              <w:numPr>
                <w:ilvl w:val="0"/>
                <w:numId w:val="36"/>
              </w:numPr>
              <w:spacing w:before="120" w:after="120"/>
            </w:pPr>
            <w:r w:rsidRPr="008313E2">
              <w:t xml:space="preserve">Additionally, athletes were taught to avoid high-risk positions as demonstrated on a video. </w:t>
            </w:r>
          </w:p>
          <w:p w14:paraId="47EF1AD0" w14:textId="61271BDA" w:rsidR="001D4F60" w:rsidRPr="008313E2" w:rsidRDefault="00957B7C" w:rsidP="00BC699A">
            <w:pPr>
              <w:pStyle w:val="ListParagraph"/>
              <w:numPr>
                <w:ilvl w:val="0"/>
                <w:numId w:val="36"/>
              </w:numPr>
              <w:spacing w:before="120" w:after="120"/>
            </w:pPr>
            <w:r w:rsidRPr="008313E2">
              <w:t xml:space="preserve">The program emphasizes correct technique and the coaches/ATCs provided feedback on technique to all the athletes. </w:t>
            </w:r>
          </w:p>
        </w:tc>
      </w:tr>
      <w:tr w:rsidR="001D4F60" w:rsidRPr="008313E2" w14:paraId="6F16EB8F" w14:textId="77777777" w:rsidTr="009E380F">
        <w:tc>
          <w:tcPr>
            <w:tcW w:w="10421" w:type="dxa"/>
            <w:shd w:val="clear" w:color="auto" w:fill="E6E6E6"/>
          </w:tcPr>
          <w:p w14:paraId="6F857CF0" w14:textId="3F756F76" w:rsidR="001D4F60" w:rsidRPr="008313E2" w:rsidRDefault="001D4F60" w:rsidP="009C0D10">
            <w:pPr>
              <w:spacing w:before="120" w:after="120"/>
            </w:pPr>
            <w:r w:rsidRPr="008313E2">
              <w:rPr>
                <w:b/>
              </w:rPr>
              <w:t>Outcome Measures</w:t>
            </w:r>
            <w:r w:rsidRPr="008313E2">
              <w:t xml:space="preserve"> (Primary and Secondary)</w:t>
            </w:r>
          </w:p>
        </w:tc>
      </w:tr>
      <w:tr w:rsidR="001D4F60" w:rsidRPr="008313E2" w14:paraId="1608062C" w14:textId="77777777" w:rsidTr="009E380F">
        <w:tc>
          <w:tcPr>
            <w:tcW w:w="10421" w:type="dxa"/>
            <w:tcBorders>
              <w:bottom w:val="single" w:sz="4" w:space="0" w:color="auto"/>
            </w:tcBorders>
            <w:shd w:val="clear" w:color="auto" w:fill="auto"/>
          </w:tcPr>
          <w:p w14:paraId="2579AFB2" w14:textId="4F39F5F6" w:rsidR="00346191" w:rsidRPr="008313E2" w:rsidRDefault="00346191" w:rsidP="00346191">
            <w:pPr>
              <w:spacing w:before="120" w:after="120"/>
              <w:rPr>
                <w:b/>
              </w:rPr>
            </w:pPr>
            <w:r w:rsidRPr="008313E2">
              <w:rPr>
                <w:b/>
              </w:rPr>
              <w:t>Primary Outcome Measure:</w:t>
            </w:r>
          </w:p>
          <w:p w14:paraId="4D3015D6" w14:textId="07585670" w:rsidR="001D4F60" w:rsidRPr="008313E2" w:rsidRDefault="00346191" w:rsidP="009E380F">
            <w:pPr>
              <w:pStyle w:val="ListParagraph"/>
              <w:numPr>
                <w:ilvl w:val="0"/>
                <w:numId w:val="15"/>
              </w:numPr>
              <w:spacing w:before="120" w:after="120"/>
            </w:pPr>
            <w:r w:rsidRPr="008313E2">
              <w:rPr>
                <w:b/>
              </w:rPr>
              <w:t>Injury</w:t>
            </w:r>
            <w:r w:rsidRPr="008313E2">
              <w:t xml:space="preserve"> </w:t>
            </w:r>
            <w:r w:rsidRPr="008313E2">
              <w:rPr>
                <w:b/>
              </w:rPr>
              <w:t>Rate</w:t>
            </w:r>
            <w:r w:rsidRPr="008313E2">
              <w:t xml:space="preserve">: The main outcome measure in this study was the ACL injury rate described as ACL knee Injuries per 1000 hours of athletic exposures. One athlete-exposure was equivalent to 1 practice or game. Injury rates from the control groups and experimental groups were compared and a “between-group significance” was calculated. ACL injuries were defined by injuries confirmed by MRI, arthroscopy, or direct visualization at the time of repair. </w:t>
            </w:r>
          </w:p>
          <w:p w14:paraId="48C28217" w14:textId="77777777" w:rsidR="001D4F60" w:rsidRPr="008313E2" w:rsidRDefault="00346191" w:rsidP="009E380F">
            <w:pPr>
              <w:spacing w:before="120" w:after="120"/>
              <w:rPr>
                <w:b/>
              </w:rPr>
            </w:pPr>
            <w:r w:rsidRPr="008313E2">
              <w:rPr>
                <w:b/>
              </w:rPr>
              <w:t>Secondary Outcome Measure:</w:t>
            </w:r>
          </w:p>
          <w:p w14:paraId="690593E7" w14:textId="28AC6C70" w:rsidR="001D4F60" w:rsidRPr="008313E2" w:rsidRDefault="00346191" w:rsidP="00346191">
            <w:pPr>
              <w:pStyle w:val="ListParagraph"/>
              <w:numPr>
                <w:ilvl w:val="0"/>
                <w:numId w:val="15"/>
              </w:numPr>
              <w:spacing w:before="120" w:after="120"/>
            </w:pPr>
            <w:r w:rsidRPr="008313E2">
              <w:rPr>
                <w:b/>
              </w:rPr>
              <w:t xml:space="preserve">All knee injuries: </w:t>
            </w:r>
            <w:r w:rsidRPr="008313E2">
              <w:t>Described as any injury to the knee that occurred during a game, practice, or conditioning activity that required medical care by ATC or physician and caused the athlete to miss at least on day of training.</w:t>
            </w:r>
          </w:p>
        </w:tc>
      </w:tr>
      <w:tr w:rsidR="001D4F60" w:rsidRPr="008313E2" w14:paraId="630EF00B" w14:textId="77777777" w:rsidTr="009E380F">
        <w:tc>
          <w:tcPr>
            <w:tcW w:w="10421" w:type="dxa"/>
            <w:tcBorders>
              <w:bottom w:val="single" w:sz="4" w:space="0" w:color="auto"/>
            </w:tcBorders>
            <w:shd w:val="clear" w:color="auto" w:fill="E6E6E6"/>
          </w:tcPr>
          <w:p w14:paraId="02E33FB0" w14:textId="559F5D81" w:rsidR="001D4F60" w:rsidRPr="008313E2" w:rsidRDefault="001D4F60" w:rsidP="009E380F">
            <w:pPr>
              <w:spacing w:before="120" w:after="120"/>
              <w:rPr>
                <w:b/>
              </w:rPr>
            </w:pPr>
            <w:r w:rsidRPr="008313E2">
              <w:rPr>
                <w:b/>
              </w:rPr>
              <w:t>Main Findings</w:t>
            </w:r>
          </w:p>
        </w:tc>
      </w:tr>
      <w:tr w:rsidR="001D4F60" w:rsidRPr="008313E2" w14:paraId="7241C6ED" w14:textId="77777777" w:rsidTr="009E380F">
        <w:tc>
          <w:tcPr>
            <w:tcW w:w="10421" w:type="dxa"/>
            <w:tcBorders>
              <w:bottom w:val="single" w:sz="4" w:space="0" w:color="auto"/>
            </w:tcBorders>
            <w:shd w:val="clear" w:color="auto" w:fill="auto"/>
          </w:tcPr>
          <w:p w14:paraId="4F1BBD2D" w14:textId="39B6481A" w:rsidR="001D4F60" w:rsidRPr="008313E2" w:rsidRDefault="00877E69" w:rsidP="00877E69">
            <w:pPr>
              <w:pStyle w:val="ListParagraph"/>
              <w:numPr>
                <w:ilvl w:val="0"/>
                <w:numId w:val="15"/>
              </w:numPr>
              <w:spacing w:before="120" w:after="120"/>
            </w:pPr>
            <w:r w:rsidRPr="008313E2">
              <w:t xml:space="preserve">Intervention teams, on average, used the PEP Program 25.8 times during the season with a range of 12 to 37 uses, </w:t>
            </w:r>
          </w:p>
          <w:p w14:paraId="0CADB5A8" w14:textId="0A111AD5" w:rsidR="00877E69" w:rsidRPr="008313E2" w:rsidRDefault="00877E69" w:rsidP="00877E69">
            <w:pPr>
              <w:pStyle w:val="ListParagraph"/>
              <w:numPr>
                <w:ilvl w:val="0"/>
                <w:numId w:val="15"/>
              </w:numPr>
              <w:spacing w:before="120" w:after="120"/>
            </w:pPr>
            <w:r w:rsidRPr="008313E2">
              <w:t>Medial Collateral Ligament (MCL) injuries were most common for both groups accounting for about 35% of all knee injuries.</w:t>
            </w:r>
          </w:p>
          <w:p w14:paraId="76353665" w14:textId="574F0E9C" w:rsidR="001D4F60" w:rsidRPr="008313E2" w:rsidRDefault="00B167F1" w:rsidP="009E380F">
            <w:pPr>
              <w:pStyle w:val="ListParagraph"/>
              <w:numPr>
                <w:ilvl w:val="0"/>
                <w:numId w:val="15"/>
              </w:numPr>
              <w:spacing w:before="120" w:after="120"/>
            </w:pPr>
            <w:r w:rsidRPr="008313E2">
              <w:t>There was a 41% lower</w:t>
            </w:r>
            <w:r w:rsidR="001A111D" w:rsidRPr="008313E2">
              <w:t xml:space="preserve"> </w:t>
            </w:r>
            <w:r w:rsidR="00877E69" w:rsidRPr="008313E2">
              <w:t xml:space="preserve">ACL injury rates </w:t>
            </w:r>
            <w:r w:rsidRPr="008313E2">
              <w:t xml:space="preserve">for the intervention group compared to the control however, the results </w:t>
            </w:r>
            <w:r w:rsidR="001A111D" w:rsidRPr="008313E2">
              <w:t xml:space="preserve">were not significantly different (p = 0.198) </w:t>
            </w:r>
          </w:p>
          <w:p w14:paraId="44DA86D5" w14:textId="2CCCBF58" w:rsidR="00877E69" w:rsidRPr="008313E2" w:rsidRDefault="001A111D" w:rsidP="001A111D">
            <w:pPr>
              <w:pStyle w:val="ListParagraph"/>
              <w:numPr>
                <w:ilvl w:val="1"/>
                <w:numId w:val="15"/>
              </w:numPr>
              <w:spacing w:before="120" w:after="120"/>
            </w:pPr>
            <w:r w:rsidRPr="008313E2">
              <w:t>Intervention: 7 ACL injuries, 0.199 per 1000 AE</w:t>
            </w:r>
          </w:p>
          <w:p w14:paraId="455EA9ED" w14:textId="45D54D56" w:rsidR="001A111D" w:rsidRPr="008313E2" w:rsidRDefault="001A111D" w:rsidP="001A111D">
            <w:pPr>
              <w:pStyle w:val="ListParagraph"/>
              <w:numPr>
                <w:ilvl w:val="1"/>
                <w:numId w:val="15"/>
              </w:numPr>
              <w:spacing w:before="120" w:after="120"/>
            </w:pPr>
            <w:r w:rsidRPr="008313E2">
              <w:t>Control: 18 ACL injuries, 0.340 per 1000 AE</w:t>
            </w:r>
          </w:p>
          <w:p w14:paraId="78C22FD6" w14:textId="41F48A64" w:rsidR="001A111D" w:rsidRPr="008313E2" w:rsidRDefault="00B167F1" w:rsidP="001A111D">
            <w:pPr>
              <w:pStyle w:val="ListParagraph"/>
              <w:numPr>
                <w:ilvl w:val="0"/>
                <w:numId w:val="15"/>
              </w:numPr>
              <w:spacing w:before="120" w:after="120"/>
            </w:pPr>
            <w:r w:rsidRPr="008313E2">
              <w:t xml:space="preserve">There was a </w:t>
            </w:r>
            <w:r w:rsidR="009111BC" w:rsidRPr="008313E2">
              <w:t>70% decrease in non-contact</w:t>
            </w:r>
            <w:r w:rsidRPr="008313E2">
              <w:t xml:space="preserve"> ACL injuries for the intervention group compared to the control however; the findings were not significant (p = 0.066).</w:t>
            </w:r>
          </w:p>
          <w:p w14:paraId="72CEF3AD" w14:textId="5EA57D7D" w:rsidR="00B167F1" w:rsidRPr="008313E2" w:rsidRDefault="009111BC" w:rsidP="00B167F1">
            <w:pPr>
              <w:pStyle w:val="ListParagraph"/>
              <w:numPr>
                <w:ilvl w:val="1"/>
                <w:numId w:val="15"/>
              </w:numPr>
              <w:spacing w:before="120" w:after="120"/>
            </w:pPr>
            <w:r w:rsidRPr="008313E2">
              <w:t xml:space="preserve">Intervention: 2 non-contact </w:t>
            </w:r>
            <w:r w:rsidR="00B167F1" w:rsidRPr="008313E2">
              <w:t>ACL injuries, 0.0057 per 1000 AE</w:t>
            </w:r>
          </w:p>
          <w:p w14:paraId="5545910C" w14:textId="6A9458FE" w:rsidR="00B167F1" w:rsidRPr="008313E2" w:rsidRDefault="00B167F1" w:rsidP="00B167F1">
            <w:pPr>
              <w:pStyle w:val="ListParagraph"/>
              <w:numPr>
                <w:ilvl w:val="1"/>
                <w:numId w:val="15"/>
              </w:numPr>
              <w:spacing w:before="120" w:after="120"/>
            </w:pPr>
            <w:r w:rsidRPr="008313E2">
              <w:t>Control</w:t>
            </w:r>
            <w:r w:rsidR="009111BC" w:rsidRPr="008313E2">
              <w:t>: 10 non-contact</w:t>
            </w:r>
            <w:r w:rsidRPr="008313E2">
              <w:t xml:space="preserve"> ACL injuries, 0.189 per 1000 AE</w:t>
            </w:r>
          </w:p>
          <w:p w14:paraId="5826E987" w14:textId="7C9CB6A3" w:rsidR="009111BC" w:rsidRPr="008313E2" w:rsidRDefault="009111BC" w:rsidP="009111BC">
            <w:pPr>
              <w:pStyle w:val="ListParagraph"/>
              <w:numPr>
                <w:ilvl w:val="0"/>
                <w:numId w:val="15"/>
              </w:numPr>
              <w:spacing w:before="120" w:after="120"/>
            </w:pPr>
            <w:r w:rsidRPr="008313E2">
              <w:t>There was a statistically significant reduction in non-contact ACL injury rate for athletes who reported a history of ACL injury (p = 0.046)</w:t>
            </w:r>
          </w:p>
          <w:p w14:paraId="23178127" w14:textId="77777777" w:rsidR="009111BC" w:rsidRPr="008313E2" w:rsidRDefault="009111BC" w:rsidP="009111BC">
            <w:pPr>
              <w:pStyle w:val="ListParagraph"/>
              <w:numPr>
                <w:ilvl w:val="1"/>
                <w:numId w:val="15"/>
              </w:numPr>
              <w:spacing w:before="120" w:after="120"/>
            </w:pPr>
            <w:r w:rsidRPr="008313E2">
              <w:t>Intervention: 0 injuries</w:t>
            </w:r>
          </w:p>
          <w:p w14:paraId="5D6B179B" w14:textId="222A9807" w:rsidR="009111BC" w:rsidRPr="008313E2" w:rsidRDefault="009111BC" w:rsidP="009111BC">
            <w:pPr>
              <w:pStyle w:val="ListParagraph"/>
              <w:numPr>
                <w:ilvl w:val="1"/>
                <w:numId w:val="15"/>
              </w:numPr>
              <w:spacing w:before="120" w:after="120"/>
            </w:pPr>
            <w:r w:rsidRPr="008313E2">
              <w:t xml:space="preserve">Control: </w:t>
            </w:r>
            <w:r w:rsidR="00CB1FAF" w:rsidRPr="008313E2">
              <w:t>4 injuries, 0.076 per 1000 AE</w:t>
            </w:r>
          </w:p>
          <w:p w14:paraId="57171A43" w14:textId="6759F0EA" w:rsidR="00CB1FAF" w:rsidRPr="008313E2" w:rsidRDefault="00CB1FAF" w:rsidP="00CB1FAF">
            <w:pPr>
              <w:pStyle w:val="ListParagraph"/>
              <w:numPr>
                <w:ilvl w:val="0"/>
                <w:numId w:val="15"/>
              </w:numPr>
              <w:spacing w:before="120" w:after="120"/>
            </w:pPr>
            <w:r w:rsidRPr="008313E2">
              <w:t>There was a statistically significant reduction in ACL injuries during the last 6 weeks of the season (p = 0.025)</w:t>
            </w:r>
          </w:p>
          <w:p w14:paraId="72B6ADE0" w14:textId="77777777" w:rsidR="00CB1FAF" w:rsidRPr="008313E2" w:rsidRDefault="00CB1FAF" w:rsidP="00CB1FAF">
            <w:pPr>
              <w:pStyle w:val="ListParagraph"/>
              <w:numPr>
                <w:ilvl w:val="1"/>
                <w:numId w:val="15"/>
              </w:numPr>
              <w:spacing w:before="120" w:after="120"/>
            </w:pPr>
            <w:r w:rsidRPr="008313E2">
              <w:t>Intervention: 0 injuries</w:t>
            </w:r>
          </w:p>
          <w:p w14:paraId="274B2CCB" w14:textId="77777777" w:rsidR="00785888" w:rsidRPr="008313E2" w:rsidRDefault="00CB1FAF" w:rsidP="00CB1FAF">
            <w:pPr>
              <w:pStyle w:val="ListParagraph"/>
              <w:numPr>
                <w:ilvl w:val="1"/>
                <w:numId w:val="15"/>
              </w:numPr>
              <w:spacing w:before="120" w:after="120"/>
            </w:pPr>
            <w:r w:rsidRPr="008313E2">
              <w:lastRenderedPageBreak/>
              <w:t>Control: 5 injuries, 0.249 per 1000 AE</w:t>
            </w:r>
          </w:p>
          <w:p w14:paraId="22820D37" w14:textId="4E454445" w:rsidR="001D4F60" w:rsidRPr="008313E2" w:rsidRDefault="00785888" w:rsidP="00785888">
            <w:pPr>
              <w:pStyle w:val="ListParagraph"/>
              <w:numPr>
                <w:ilvl w:val="0"/>
                <w:numId w:val="15"/>
              </w:numPr>
              <w:spacing w:before="120" w:after="120"/>
            </w:pPr>
            <w:r w:rsidRPr="008313E2">
              <w:t xml:space="preserve">Based off of the on-site observations and coach surveys, control teams did not use strengthening, plyometric training, or agility drills routinely in their on-field practices. </w:t>
            </w:r>
            <w:r w:rsidR="00CB1FAF" w:rsidRPr="008313E2">
              <w:t xml:space="preserve"> </w:t>
            </w:r>
          </w:p>
        </w:tc>
      </w:tr>
      <w:tr w:rsidR="001D4F60" w:rsidRPr="008313E2" w14:paraId="3E5CC4AE" w14:textId="77777777" w:rsidTr="009E380F">
        <w:tc>
          <w:tcPr>
            <w:tcW w:w="10421" w:type="dxa"/>
            <w:shd w:val="clear" w:color="auto" w:fill="E6E6E6"/>
          </w:tcPr>
          <w:p w14:paraId="2D0BF257" w14:textId="5C07D706" w:rsidR="001D4F60" w:rsidRPr="008313E2" w:rsidRDefault="001D4F60" w:rsidP="009E380F">
            <w:pPr>
              <w:spacing w:before="120" w:after="120"/>
              <w:rPr>
                <w:b/>
              </w:rPr>
            </w:pPr>
            <w:r w:rsidRPr="008313E2">
              <w:rPr>
                <w:b/>
              </w:rPr>
              <w:lastRenderedPageBreak/>
              <w:t>Original Authors’ Conclusions</w:t>
            </w:r>
          </w:p>
        </w:tc>
      </w:tr>
      <w:tr w:rsidR="001D4F60" w:rsidRPr="008313E2" w14:paraId="6F1ACE12" w14:textId="77777777" w:rsidTr="009E380F">
        <w:tc>
          <w:tcPr>
            <w:tcW w:w="10421" w:type="dxa"/>
            <w:tcBorders>
              <w:bottom w:val="single" w:sz="4" w:space="0" w:color="auto"/>
            </w:tcBorders>
            <w:shd w:val="clear" w:color="auto" w:fill="auto"/>
          </w:tcPr>
          <w:p w14:paraId="4B1B3DB3" w14:textId="14B1EFC9" w:rsidR="001D4F60" w:rsidRPr="008313E2" w:rsidRDefault="00785888" w:rsidP="00BC0969">
            <w:pPr>
              <w:spacing w:before="120" w:after="120"/>
            </w:pPr>
            <w:r w:rsidRPr="008313E2">
              <w:t xml:space="preserve">An alternative warm-up program such as the PEP Program may reduce the risk of non-contact ACL injuries among collegiate female soccer </w:t>
            </w:r>
            <w:r w:rsidR="00BC0969" w:rsidRPr="008313E2">
              <w:t xml:space="preserve">players. Although non-significant results were obtained for overall ACL risk, there were significant reductions of ACL injuries in practice and the second half of the season. It was concluded that the PEP Program could be appropriate to incorporate into practice time of college soccer teams without the need of additional resources or special equipment. The PEP Program is appropriate to implement in a team setting and requires little training to deliver. Further research on the effectiveness of the PEP Program is recommended using an intent-to-treat analysis under less controlled circumstances.  </w:t>
            </w:r>
          </w:p>
        </w:tc>
      </w:tr>
      <w:tr w:rsidR="001D4F60" w:rsidRPr="008313E2" w14:paraId="7BD259B2" w14:textId="77777777" w:rsidTr="009E380F">
        <w:tc>
          <w:tcPr>
            <w:tcW w:w="10421" w:type="dxa"/>
            <w:shd w:val="clear" w:color="auto" w:fill="E6E6E6"/>
          </w:tcPr>
          <w:p w14:paraId="726084C4" w14:textId="77777777" w:rsidR="001D4F60" w:rsidRPr="008313E2" w:rsidRDefault="001D4F60" w:rsidP="009E380F">
            <w:pPr>
              <w:spacing w:before="120" w:after="120"/>
              <w:rPr>
                <w:b/>
              </w:rPr>
            </w:pPr>
            <w:r w:rsidRPr="008313E2">
              <w:rPr>
                <w:b/>
              </w:rPr>
              <w:t>Critical Appraisal</w:t>
            </w:r>
          </w:p>
        </w:tc>
      </w:tr>
      <w:tr w:rsidR="001D4F60" w:rsidRPr="008313E2" w14:paraId="347DB76D" w14:textId="77777777" w:rsidTr="009E380F">
        <w:tc>
          <w:tcPr>
            <w:tcW w:w="10421" w:type="dxa"/>
            <w:shd w:val="clear" w:color="auto" w:fill="auto"/>
          </w:tcPr>
          <w:p w14:paraId="4741704B" w14:textId="25C9B2CF" w:rsidR="001D4F60" w:rsidRPr="008313E2" w:rsidRDefault="001D4F60" w:rsidP="009C0D10">
            <w:pPr>
              <w:spacing w:before="120" w:after="120"/>
              <w:rPr>
                <w:b/>
              </w:rPr>
            </w:pPr>
            <w:r w:rsidRPr="008313E2">
              <w:rPr>
                <w:b/>
              </w:rPr>
              <w:t>Validity</w:t>
            </w:r>
          </w:p>
        </w:tc>
      </w:tr>
      <w:tr w:rsidR="001D4F60" w:rsidRPr="008313E2" w14:paraId="72B2887F" w14:textId="77777777" w:rsidTr="009E380F">
        <w:tc>
          <w:tcPr>
            <w:tcW w:w="10421" w:type="dxa"/>
            <w:shd w:val="clear" w:color="auto" w:fill="auto"/>
          </w:tcPr>
          <w:p w14:paraId="249E9478" w14:textId="26222BF9" w:rsidR="001D4F60" w:rsidRPr="008313E2" w:rsidRDefault="0045778D" w:rsidP="009B6A72">
            <w:pPr>
              <w:spacing w:before="120" w:after="120"/>
            </w:pPr>
            <w:r w:rsidRPr="008313E2">
              <w:t xml:space="preserve">This randomized control trial has a calculated </w:t>
            </w:r>
            <w:proofErr w:type="spellStart"/>
            <w:r w:rsidRPr="008313E2">
              <w:t>PEDro</w:t>
            </w:r>
            <w:proofErr w:type="spellEnd"/>
            <w:r w:rsidRPr="008313E2">
              <w:t xml:space="preserve"> score of 4/10, indicati</w:t>
            </w:r>
            <w:r w:rsidR="00BB3E46" w:rsidRPr="008313E2">
              <w:t xml:space="preserve">ng poor methodological quality. </w:t>
            </w:r>
            <w:proofErr w:type="gramStart"/>
            <w:r w:rsidR="00BB3E46" w:rsidRPr="008313E2">
              <w:t xml:space="preserve">A </w:t>
            </w:r>
            <w:r w:rsidR="00A15A8F" w:rsidRPr="008313E2">
              <w:t>strength</w:t>
            </w:r>
            <w:proofErr w:type="gramEnd"/>
            <w:r w:rsidR="00A15A8F" w:rsidRPr="008313E2">
              <w:t xml:space="preserve"> </w:t>
            </w:r>
            <w:r w:rsidR="00BB3E46" w:rsidRPr="008313E2">
              <w:t>of</w:t>
            </w:r>
            <w:r w:rsidR="00A15A8F" w:rsidRPr="008313E2">
              <w:t xml:space="preserve"> the study </w:t>
            </w:r>
            <w:r w:rsidR="00BB3E46" w:rsidRPr="008313E2">
              <w:t xml:space="preserve">was that the </w:t>
            </w:r>
            <w:r w:rsidR="00A15A8F" w:rsidRPr="008313E2">
              <w:t xml:space="preserve">authors who were involved in the design and development of the intervention were not involved in the data collection or analysis. </w:t>
            </w:r>
            <w:r w:rsidR="00BB3E46" w:rsidRPr="008313E2">
              <w:t>However, the participants and the article does not state whether or not the data collectors were blinded which creates bias in the study. Due to the nature of the intervention it would difficult to blind the subjects. Theoretically, any of the teams (controls) could have incorporated similar exercises and drills into their practices/warm-up, this indicates a lack of ability to control the control group. Observational surveys and end of the season questionnaires help ensure that the control teams did not routinely participate in exercises simila</w:t>
            </w:r>
            <w:r w:rsidR="004A0966" w:rsidRPr="008313E2">
              <w:t>r to the PEP Program. Another limitation is</w:t>
            </w:r>
            <w:r w:rsidR="00BB3E46" w:rsidRPr="008313E2">
              <w:t xml:space="preserve"> report </w:t>
            </w:r>
            <w:r w:rsidR="004A0966" w:rsidRPr="008313E2">
              <w:t xml:space="preserve">bias. The authors depended on weekly reports from the ATCs as to how many times the team completed the PEP Program and the authors were unable to control the fidelity of the program. Observational surveys suggest that coaches corrected athletes in biomechanical technique however, these observations were only conducted on 13% of the teams and one cannot assume that other or all intervention teams followed suit and did the same. These findings cannot be generalized to collegiate athletes from other divisions or other age groups. There is a higher incidence rate of ACL injuries among female soccer athletes aged 14-18 years old, therefore, Division 1 collegiate soccer athletes may be biomechanically superior than the younger or age-matched population. A pre-study power calculation suggests that a </w:t>
            </w:r>
            <w:r w:rsidR="009B6A72" w:rsidRPr="008313E2">
              <w:t>sample</w:t>
            </w:r>
            <w:r w:rsidR="004A0966" w:rsidRPr="008313E2">
              <w:t xml:space="preserve"> of 100 different teams is required for </w:t>
            </w:r>
            <w:r w:rsidR="009B6A72" w:rsidRPr="008313E2">
              <w:t xml:space="preserve">more reliable results. Lastly, the data was analysed in an “as-treated” analysis (per protocol) rather than an intent-to-treat analysis. An intent-to-treat analysis would produce more “real world” results on the effectiveness of the prevention program. Instead, this study was primarily interested in studying the efficacy of the program, or whether the intervention produces a reduction in ACL injuries in ideal circumstances. </w:t>
            </w:r>
          </w:p>
        </w:tc>
      </w:tr>
      <w:tr w:rsidR="001D4F60" w:rsidRPr="008313E2" w14:paraId="5CA724F1" w14:textId="77777777" w:rsidTr="009E380F">
        <w:tc>
          <w:tcPr>
            <w:tcW w:w="10421" w:type="dxa"/>
            <w:shd w:val="clear" w:color="auto" w:fill="auto"/>
          </w:tcPr>
          <w:p w14:paraId="09FD7CBD" w14:textId="628EAFF4" w:rsidR="001D4F60" w:rsidRPr="008313E2" w:rsidRDefault="001D4F60" w:rsidP="009E380F">
            <w:pPr>
              <w:spacing w:before="120" w:after="120"/>
              <w:jc w:val="both"/>
              <w:rPr>
                <w:b/>
              </w:rPr>
            </w:pPr>
            <w:r w:rsidRPr="008313E2">
              <w:rPr>
                <w:b/>
              </w:rPr>
              <w:t>Interpretation of Results</w:t>
            </w:r>
          </w:p>
        </w:tc>
      </w:tr>
      <w:tr w:rsidR="001D4F60" w:rsidRPr="008313E2" w14:paraId="6DE0268E" w14:textId="77777777" w:rsidTr="009E380F">
        <w:tc>
          <w:tcPr>
            <w:tcW w:w="10421" w:type="dxa"/>
            <w:tcBorders>
              <w:bottom w:val="single" w:sz="4" w:space="0" w:color="auto"/>
            </w:tcBorders>
            <w:shd w:val="clear" w:color="auto" w:fill="auto"/>
          </w:tcPr>
          <w:p w14:paraId="2B942870" w14:textId="2AD1F3D7" w:rsidR="001D4F60" w:rsidRPr="008313E2" w:rsidRDefault="002336C6" w:rsidP="00D7239F">
            <w:pPr>
              <w:spacing w:before="120" w:after="120"/>
            </w:pPr>
            <w:r w:rsidRPr="008313E2">
              <w:t xml:space="preserve">It was concluded that the PEP Program </w:t>
            </w:r>
            <w:proofErr w:type="gramStart"/>
            <w:r w:rsidRPr="008313E2">
              <w:t>may</w:t>
            </w:r>
            <w:proofErr w:type="gramEnd"/>
            <w:r w:rsidRPr="008313E2">
              <w:t xml:space="preserve"> reduce ACL injuries among a collegiate Division 1 women soccer players. The PEP Program is an alternative warm-up that requires little training and can be implemented into a collegiate team’s practice without expensive equipment or additional resources. Although it was not statistically significant, a 70% reduction in non-contact ACL injuries is </w:t>
            </w:r>
            <w:r w:rsidR="00852622" w:rsidRPr="008313E2">
              <w:t xml:space="preserve">a decent result. I found it interesting that the program was more effective in the latter half of the season, or after 6 weeks of implementation. This may have been a sufficient amount of time for the athletes to gain neuromuscular improvements. Also, it should be noted that these Division I athletes may be biomechanically and technically superior compared to a younger population (14-18 years of age) or a lower level of competitive collegiate division (D II or D III). These athletes may already be more appropriately prepared (biomechanically and </w:t>
            </w:r>
            <w:proofErr w:type="spellStart"/>
            <w:r w:rsidR="00852622" w:rsidRPr="008313E2">
              <w:t>neuromuscularly</w:t>
            </w:r>
            <w:proofErr w:type="spellEnd"/>
            <w:r w:rsidR="00852622" w:rsidRPr="008313E2">
              <w:t xml:space="preserve">) to see significant improvements in neuromuscular adaptions/improvements. </w:t>
            </w:r>
            <w:r w:rsidR="009C0D10" w:rsidRPr="008313E2">
              <w:t>It is recommended</w:t>
            </w:r>
            <w:r w:rsidR="00D7239F" w:rsidRPr="008313E2">
              <w:t xml:space="preserve"> that</w:t>
            </w:r>
            <w:r w:rsidR="009C0D10" w:rsidRPr="008313E2">
              <w:t xml:space="preserve"> future studies should have an intent-to-treat analysis with a larger sample size. </w:t>
            </w:r>
          </w:p>
        </w:tc>
      </w:tr>
    </w:tbl>
    <w:p w14:paraId="4B340112" w14:textId="77777777" w:rsidR="001D4F60" w:rsidRPr="008313E2" w:rsidRDefault="001D4F60" w:rsidP="001D4F60">
      <w:pPr>
        <w:spacing w:before="240" w:after="240"/>
        <w:rPr>
          <w:b/>
        </w:rPr>
      </w:pPr>
    </w:p>
    <w:p w14:paraId="2519EBED" w14:textId="77777777" w:rsidR="00D018FF" w:rsidRPr="008313E2" w:rsidRDefault="009A38BC" w:rsidP="001E5719">
      <w:pPr>
        <w:spacing w:before="120" w:after="120"/>
        <w:rPr>
          <w:b/>
        </w:rPr>
      </w:pPr>
      <w:r w:rsidRPr="008313E2">
        <w:rPr>
          <w:b/>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421"/>
      </w:tblGrid>
      <w:tr w:rsidR="007E5125" w:rsidRPr="008313E2" w14:paraId="154495C2" w14:textId="77777777" w:rsidTr="002F16E1">
        <w:tc>
          <w:tcPr>
            <w:tcW w:w="10421" w:type="dxa"/>
            <w:shd w:val="clear" w:color="auto" w:fill="auto"/>
          </w:tcPr>
          <w:p w14:paraId="6E7CBB83" w14:textId="79E8F6CB" w:rsidR="007E5125" w:rsidRDefault="008313E2" w:rsidP="002F16E1">
            <w:pPr>
              <w:spacing w:before="120" w:after="120"/>
              <w:rPr>
                <w:b/>
              </w:rPr>
            </w:pPr>
            <w:r w:rsidRPr="008313E2">
              <w:rPr>
                <w:b/>
              </w:rPr>
              <w:lastRenderedPageBreak/>
              <w:t>Implications for clinical practice</w:t>
            </w:r>
            <w:r>
              <w:rPr>
                <w:b/>
              </w:rPr>
              <w:t>:</w:t>
            </w:r>
          </w:p>
          <w:p w14:paraId="27892D41" w14:textId="4A0823D1" w:rsidR="003F063B" w:rsidRDefault="003F063B" w:rsidP="002F16E1">
            <w:pPr>
              <w:spacing w:before="120" w:after="120"/>
            </w:pPr>
            <w:r>
              <w:t xml:space="preserve">The existing literature suggests that a neuromuscular ACL Prevention Programs can be beneficial and could reduce the risk of suffering an ACL injury among female soccer athletes. Specific components have been identified as most successful. In order for an ACL prevention program to be successful it should include exercises in core and lower extremity strengthening, dynamic stabilization, balance, </w:t>
            </w:r>
            <w:proofErr w:type="spellStart"/>
            <w:r>
              <w:t>plyometrics</w:t>
            </w:r>
            <w:proofErr w:type="spellEnd"/>
            <w:r w:rsidR="002F2F2D">
              <w:t xml:space="preserve">, stretching, educational feedback on technique, and sport-specific agility drills. The literature suggests that programs should begin 6 weeks during preseason and continue throughout the season 1-2 times a week. Younger athletes (14-18) tend to benefit from these programs the most. This is probably due to the lack of initial neuromuscular control and strength. The prevention program will target these weaknesses and improve a younger athletes control more so than a more developed or older soccer player with superior biomechanical properties. </w:t>
            </w:r>
          </w:p>
          <w:p w14:paraId="478AF5D5" w14:textId="77777777" w:rsidR="009268EF" w:rsidRDefault="009268EF" w:rsidP="002F16E1">
            <w:pPr>
              <w:spacing w:before="120" w:after="120"/>
            </w:pPr>
          </w:p>
          <w:p w14:paraId="45BE1824" w14:textId="31359154" w:rsidR="008313E2" w:rsidRPr="009268EF" w:rsidRDefault="002F2F2D" w:rsidP="002F16E1">
            <w:pPr>
              <w:spacing w:before="120" w:after="120"/>
            </w:pPr>
            <w:r>
              <w:t xml:space="preserve">There is evidence that a prevention program can be implemented at low cost with no additional resources or equipment. Successful programs are time efficient and only take 20 – 30 minutes to complete. These cheap and efficient characteristics coupled with favourable results promote the implementation of ACL prevention programs for female soccer teams, specifically high school aged teams (14-18 years of age). </w:t>
            </w:r>
          </w:p>
          <w:p w14:paraId="2A89E9B0" w14:textId="77777777" w:rsidR="008313E2" w:rsidRDefault="008313E2" w:rsidP="002F16E1">
            <w:pPr>
              <w:spacing w:before="120" w:after="120"/>
              <w:rPr>
                <w:b/>
              </w:rPr>
            </w:pPr>
          </w:p>
          <w:p w14:paraId="07D6CF92" w14:textId="7A5DF31D" w:rsidR="008313E2" w:rsidRDefault="008313E2" w:rsidP="002F16E1">
            <w:pPr>
              <w:spacing w:before="120" w:after="120"/>
              <w:rPr>
                <w:b/>
              </w:rPr>
            </w:pPr>
            <w:r>
              <w:rPr>
                <w:b/>
              </w:rPr>
              <w:t>Implications for future research:</w:t>
            </w:r>
          </w:p>
          <w:p w14:paraId="1D377842" w14:textId="0726222E" w:rsidR="008313E2" w:rsidRDefault="008313E2" w:rsidP="002F16E1">
            <w:pPr>
              <w:spacing w:before="120" w:after="120"/>
              <w:rPr>
                <w:rFonts w:cs="Times"/>
                <w:lang w:val="en-US"/>
              </w:rPr>
            </w:pPr>
            <w:r w:rsidRPr="00122C86">
              <w:t>Based on the evidence reviewed, future research should focus efforts to include higher quality randomized cont</w:t>
            </w:r>
            <w:r w:rsidR="00122C86" w:rsidRPr="00122C86">
              <w:t>rol trials</w:t>
            </w:r>
            <w:r w:rsidR="00122C86">
              <w:t xml:space="preserve"> (RCTs)</w:t>
            </w:r>
            <w:r w:rsidR="00122C86" w:rsidRPr="00122C86">
              <w:t>. In the systematic review</w:t>
            </w:r>
            <w:r w:rsidRPr="00122C86">
              <w:t xml:space="preserve"> </w:t>
            </w:r>
            <w:r w:rsidR="00122C86" w:rsidRPr="00122C86">
              <w:t xml:space="preserve">by </w:t>
            </w:r>
            <w:proofErr w:type="spellStart"/>
            <w:r w:rsidR="00122C86" w:rsidRPr="00122C86">
              <w:rPr>
                <w:rFonts w:cs="Times"/>
                <w:lang w:val="en-US"/>
              </w:rPr>
              <w:t>Michaelidis</w:t>
            </w:r>
            <w:proofErr w:type="spellEnd"/>
            <w:r w:rsidR="00122C86" w:rsidRPr="00122C86">
              <w:rPr>
                <w:rFonts w:cs="Times"/>
                <w:lang w:val="en-US"/>
              </w:rPr>
              <w:t xml:space="preserve"> and </w:t>
            </w:r>
            <w:proofErr w:type="spellStart"/>
            <w:r w:rsidR="00122C86" w:rsidRPr="00122C86">
              <w:rPr>
                <w:rFonts w:cs="Times"/>
                <w:lang w:val="en-US"/>
              </w:rPr>
              <w:t>Koumantakis</w:t>
            </w:r>
            <w:proofErr w:type="spellEnd"/>
            <w:r w:rsidR="00122C86" w:rsidRPr="00122C86">
              <w:rPr>
                <w:rFonts w:cs="Times"/>
                <w:lang w:val="en-US"/>
              </w:rPr>
              <w:t xml:space="preserve"> 2014</w:t>
            </w:r>
            <w:r w:rsidR="00122C86">
              <w:rPr>
                <w:rFonts w:cs="Times"/>
                <w:lang w:val="en-US"/>
              </w:rPr>
              <w:t xml:space="preserve"> found only 7 out 13 RCTs and of them only 5 were focused on female soccer athletes. Of the 5 RCTs two were rated of poor quality (less than equal to 4/10) on the </w:t>
            </w:r>
            <w:proofErr w:type="spellStart"/>
            <w:r w:rsidR="00122C86">
              <w:rPr>
                <w:rFonts w:cs="Times"/>
                <w:lang w:val="en-US"/>
              </w:rPr>
              <w:t>PEDro</w:t>
            </w:r>
            <w:proofErr w:type="spellEnd"/>
            <w:r w:rsidR="00122C86">
              <w:rPr>
                <w:rFonts w:cs="Times"/>
                <w:lang w:val="en-US"/>
              </w:rPr>
              <w:t xml:space="preserve"> scale and the other three were rated good quality (5-7/10). Conducting </w:t>
            </w:r>
            <w:r w:rsidR="00696FB6">
              <w:rPr>
                <w:rFonts w:cs="Times"/>
                <w:lang w:val="en-US"/>
              </w:rPr>
              <w:t>a high quality randomized control trial</w:t>
            </w:r>
            <w:r w:rsidR="00122C86">
              <w:rPr>
                <w:rFonts w:cs="Times"/>
                <w:lang w:val="en-US"/>
              </w:rPr>
              <w:t xml:space="preserve"> is difficult for this particular type of study and intervention</w:t>
            </w:r>
            <w:r w:rsidR="00696FB6">
              <w:rPr>
                <w:rFonts w:cs="Times"/>
                <w:lang w:val="en-US"/>
              </w:rPr>
              <w:t xml:space="preserve"> due to the demands and challenges between coordination of coaches, athletes, and therapists. However, in order to bulk up the validity of ACL injury prevention programs high-quality RCTs are needed. </w:t>
            </w:r>
          </w:p>
          <w:p w14:paraId="5CF9F02A" w14:textId="77777777" w:rsidR="00696FB6" w:rsidRDefault="00696FB6" w:rsidP="002F16E1">
            <w:pPr>
              <w:spacing w:before="120" w:after="120"/>
              <w:rPr>
                <w:rFonts w:cs="Times"/>
                <w:lang w:val="en-US"/>
              </w:rPr>
            </w:pPr>
          </w:p>
          <w:p w14:paraId="7A16C6F2" w14:textId="7EC89FF2" w:rsidR="005D016F" w:rsidRDefault="00696FB6" w:rsidP="002F16E1">
            <w:pPr>
              <w:spacing w:before="120" w:after="120"/>
              <w:rPr>
                <w:rFonts w:cs="Times"/>
                <w:lang w:val="en-US"/>
              </w:rPr>
            </w:pPr>
            <w:r>
              <w:rPr>
                <w:rFonts w:cs="Times"/>
                <w:lang w:val="en-US"/>
              </w:rPr>
              <w:t xml:space="preserve">ACL prevention programs should develop more consistent methodology to decrease the variability of program components. General components of prevention programs have been identified to include strengthening, </w:t>
            </w:r>
            <w:proofErr w:type="spellStart"/>
            <w:r>
              <w:rPr>
                <w:rFonts w:cs="Times"/>
                <w:lang w:val="en-US"/>
              </w:rPr>
              <w:t>plyometrics</w:t>
            </w:r>
            <w:proofErr w:type="spellEnd"/>
            <w:r>
              <w:rPr>
                <w:rFonts w:cs="Times"/>
                <w:lang w:val="en-US"/>
              </w:rPr>
              <w:t xml:space="preserve">, dynamic stabilization, sport-specific agility drills, and feedback on proper technique. However, </w:t>
            </w:r>
            <w:r w:rsidR="003F063B">
              <w:rPr>
                <w:rFonts w:cs="Times"/>
                <w:lang w:val="en-US"/>
              </w:rPr>
              <w:t xml:space="preserve">the studied articles provide a variety of different programs with inconsistent levels of intensity and duration. Future research should focus on the components of the successful programs to create a more homogeneous body of literature. </w:t>
            </w:r>
            <w:r w:rsidR="005D016F">
              <w:rPr>
                <w:rFonts w:cs="Times"/>
                <w:lang w:val="en-US"/>
              </w:rPr>
              <w:t xml:space="preserve">Future research should also focus on an intent-to-treat analysis to obtain more “real world” circumstantial results of the effectiveness of ACL prevention programs. </w:t>
            </w:r>
          </w:p>
          <w:p w14:paraId="7950B052" w14:textId="77777777" w:rsidR="003F063B" w:rsidRDefault="003F063B" w:rsidP="002F16E1">
            <w:pPr>
              <w:spacing w:before="120" w:after="120"/>
              <w:rPr>
                <w:rFonts w:cs="Times"/>
                <w:lang w:val="en-US"/>
              </w:rPr>
            </w:pPr>
          </w:p>
          <w:p w14:paraId="1587C95C" w14:textId="41F077E3" w:rsidR="00E609EF" w:rsidRPr="009268EF" w:rsidRDefault="009268EF" w:rsidP="002F16E1">
            <w:pPr>
              <w:spacing w:before="120" w:after="120"/>
              <w:rPr>
                <w:rFonts w:cs="Times"/>
                <w:lang w:val="en-US"/>
              </w:rPr>
            </w:pPr>
            <w:r>
              <w:rPr>
                <w:rFonts w:cs="Times"/>
                <w:lang w:val="en-US"/>
              </w:rPr>
              <w:t xml:space="preserve">Although the available literature could benefit from higher quality RCTs and more homogenous methodology there is still favorable evidence to support the efficacy of an ACL prevention program for female soccer athletes. Specifically, younger female soccer players (14-18) would benefit more than a collegiate athlete.  </w:t>
            </w:r>
          </w:p>
        </w:tc>
      </w:tr>
    </w:tbl>
    <w:p w14:paraId="2D62FE26" w14:textId="77777777" w:rsidR="00E609EF" w:rsidRPr="008313E2" w:rsidRDefault="00415B87" w:rsidP="001E1518">
      <w:pPr>
        <w:spacing w:before="120"/>
        <w:rPr>
          <w:b/>
        </w:rPr>
      </w:pPr>
      <w:bookmarkStart w:id="0" w:name="_GoBack"/>
      <w:bookmarkEnd w:id="0"/>
      <w:r w:rsidRPr="008313E2">
        <w:rPr>
          <w:b/>
        </w:rPr>
        <w:br w:type="page"/>
      </w:r>
      <w:r w:rsidR="001403EC" w:rsidRPr="008313E2">
        <w:rPr>
          <w:b/>
        </w:rPr>
        <w:lastRenderedPageBreak/>
        <w:t>REFERENCES</w:t>
      </w:r>
    </w:p>
    <w:p w14:paraId="49BCC3C8" w14:textId="77777777" w:rsidR="001403EC" w:rsidRPr="008313E2" w:rsidRDefault="001E1518" w:rsidP="001E1518">
      <w:pPr>
        <w:spacing w:after="120"/>
      </w:pPr>
      <w:r w:rsidRPr="008313E2">
        <w:t>[</w:t>
      </w:r>
      <w:r w:rsidR="001403EC" w:rsidRPr="008313E2">
        <w:t xml:space="preserve">List </w:t>
      </w:r>
      <w:r w:rsidR="007D35DE" w:rsidRPr="008313E2">
        <w:t xml:space="preserve">all </w:t>
      </w:r>
      <w:r w:rsidR="001403EC" w:rsidRPr="008313E2">
        <w:t>references</w:t>
      </w:r>
      <w:r w:rsidR="007D35DE" w:rsidRPr="008313E2">
        <w:t xml:space="preserve"> cited in the CAT</w:t>
      </w:r>
      <w:r w:rsidRPr="008313E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1"/>
      </w:tblGrid>
      <w:tr w:rsidR="001E1518" w:rsidRPr="008313E2" w14:paraId="785A0936" w14:textId="77777777" w:rsidTr="002F16E1">
        <w:tc>
          <w:tcPr>
            <w:tcW w:w="10421" w:type="dxa"/>
            <w:shd w:val="clear" w:color="auto" w:fill="auto"/>
          </w:tcPr>
          <w:p w14:paraId="5B6F497C" w14:textId="77777777" w:rsidR="00565648" w:rsidRPr="008313E2" w:rsidRDefault="00565648" w:rsidP="00565648">
            <w:pPr>
              <w:widowControl w:val="0"/>
              <w:autoSpaceDE w:val="0"/>
              <w:autoSpaceDN w:val="0"/>
              <w:adjustRightInd w:val="0"/>
              <w:ind w:left="720" w:hanging="720"/>
              <w:rPr>
                <w:rFonts w:eastAsiaTheme="minorHAnsi" w:cs="Verdana"/>
                <w:lang w:val="en-US"/>
              </w:rPr>
            </w:pPr>
            <w:r w:rsidRPr="008313E2">
              <w:rPr>
                <w:rFonts w:eastAsiaTheme="minorHAnsi" w:cs="Verdana"/>
                <w:lang w:val="en-US"/>
              </w:rPr>
              <w:t xml:space="preserve">1. Gilchrist J, </w:t>
            </w:r>
            <w:proofErr w:type="spellStart"/>
            <w:r w:rsidRPr="008313E2">
              <w:rPr>
                <w:rFonts w:eastAsiaTheme="minorHAnsi" w:cs="Verdana"/>
                <w:lang w:val="en-US"/>
              </w:rPr>
              <w:t>Mandelbaum</w:t>
            </w:r>
            <w:proofErr w:type="spellEnd"/>
            <w:r w:rsidRPr="008313E2">
              <w:rPr>
                <w:rFonts w:eastAsiaTheme="minorHAnsi" w:cs="Verdana"/>
                <w:lang w:val="en-US"/>
              </w:rPr>
              <w:t xml:space="preserve"> BR, </w:t>
            </w:r>
            <w:proofErr w:type="spellStart"/>
            <w:r w:rsidRPr="008313E2">
              <w:rPr>
                <w:rFonts w:eastAsiaTheme="minorHAnsi" w:cs="Verdana"/>
                <w:lang w:val="en-US"/>
              </w:rPr>
              <w:t>Melancon</w:t>
            </w:r>
            <w:proofErr w:type="spellEnd"/>
            <w:r w:rsidRPr="008313E2">
              <w:rPr>
                <w:rFonts w:eastAsiaTheme="minorHAnsi" w:cs="Verdana"/>
                <w:lang w:val="en-US"/>
              </w:rPr>
              <w:t xml:space="preserve"> H, et al. A randomized controlled trial to prevent noncontact anterior cruciate ligament injury in female collegiate soccer players. </w:t>
            </w:r>
            <w:r w:rsidRPr="008313E2">
              <w:rPr>
                <w:rFonts w:eastAsiaTheme="minorHAnsi" w:cs="Verdana"/>
                <w:i/>
                <w:iCs/>
                <w:lang w:val="en-US"/>
              </w:rPr>
              <w:t>Am J Sports Med</w:t>
            </w:r>
            <w:r w:rsidRPr="008313E2">
              <w:rPr>
                <w:rFonts w:eastAsiaTheme="minorHAnsi" w:cs="Verdana"/>
                <w:lang w:val="en-US"/>
              </w:rPr>
              <w:t>. 2008</w:t>
            </w:r>
            <w:proofErr w:type="gramStart"/>
            <w:r w:rsidRPr="008313E2">
              <w:rPr>
                <w:rFonts w:eastAsiaTheme="minorHAnsi" w:cs="Verdana"/>
                <w:lang w:val="en-US"/>
              </w:rPr>
              <w:t>;36</w:t>
            </w:r>
            <w:proofErr w:type="gramEnd"/>
            <w:r w:rsidRPr="008313E2">
              <w:rPr>
                <w:rFonts w:eastAsiaTheme="minorHAnsi" w:cs="Verdana"/>
                <w:lang w:val="en-US"/>
              </w:rPr>
              <w:t xml:space="preserve">(8):1476-1483. </w:t>
            </w:r>
            <w:proofErr w:type="spellStart"/>
            <w:r w:rsidRPr="008313E2">
              <w:rPr>
                <w:rFonts w:eastAsiaTheme="minorHAnsi" w:cs="Verdana"/>
                <w:lang w:val="en-US"/>
              </w:rPr>
              <w:t>doi</w:t>
            </w:r>
            <w:proofErr w:type="spellEnd"/>
            <w:r w:rsidRPr="008313E2">
              <w:rPr>
                <w:rFonts w:eastAsiaTheme="minorHAnsi" w:cs="Verdana"/>
                <w:lang w:val="en-US"/>
              </w:rPr>
              <w:t>: 10.1177/0363546508318188 [</w:t>
            </w:r>
            <w:proofErr w:type="spellStart"/>
            <w:r w:rsidRPr="008313E2">
              <w:rPr>
                <w:rFonts w:eastAsiaTheme="minorHAnsi" w:cs="Verdana"/>
                <w:lang w:val="en-US"/>
              </w:rPr>
              <w:t>doi</w:t>
            </w:r>
            <w:proofErr w:type="spellEnd"/>
            <w:r w:rsidRPr="008313E2">
              <w:rPr>
                <w:rFonts w:eastAsiaTheme="minorHAnsi" w:cs="Verdana"/>
                <w:lang w:val="en-US"/>
              </w:rPr>
              <w:t>].</w:t>
            </w:r>
          </w:p>
          <w:p w14:paraId="576312C1" w14:textId="77777777" w:rsidR="00565648" w:rsidRPr="008313E2" w:rsidRDefault="00565648" w:rsidP="00565648">
            <w:pPr>
              <w:widowControl w:val="0"/>
              <w:autoSpaceDE w:val="0"/>
              <w:autoSpaceDN w:val="0"/>
              <w:adjustRightInd w:val="0"/>
              <w:ind w:left="720" w:hanging="720"/>
              <w:rPr>
                <w:rFonts w:eastAsiaTheme="minorHAnsi" w:cs="Verdana"/>
                <w:lang w:val="en-US"/>
              </w:rPr>
            </w:pPr>
            <w:r w:rsidRPr="008313E2">
              <w:rPr>
                <w:rFonts w:eastAsiaTheme="minorHAnsi" w:cs="Verdana"/>
                <w:lang w:val="en-US"/>
              </w:rPr>
              <w:t xml:space="preserve">2. </w:t>
            </w:r>
            <w:proofErr w:type="spellStart"/>
            <w:r w:rsidRPr="008313E2">
              <w:rPr>
                <w:rFonts w:eastAsiaTheme="minorHAnsi" w:cs="Verdana"/>
                <w:lang w:val="en-US"/>
              </w:rPr>
              <w:t>Heidt</w:t>
            </w:r>
            <w:proofErr w:type="spellEnd"/>
            <w:r w:rsidRPr="008313E2">
              <w:rPr>
                <w:rFonts w:eastAsiaTheme="minorHAnsi" w:cs="Verdana"/>
                <w:lang w:val="en-US"/>
              </w:rPr>
              <w:t xml:space="preserve"> </w:t>
            </w:r>
            <w:proofErr w:type="spellStart"/>
            <w:r w:rsidRPr="008313E2">
              <w:rPr>
                <w:rFonts w:eastAsiaTheme="minorHAnsi" w:cs="Verdana"/>
                <w:lang w:val="en-US"/>
              </w:rPr>
              <w:t>RS</w:t>
            </w:r>
            <w:proofErr w:type="gramStart"/>
            <w:r w:rsidRPr="008313E2">
              <w:rPr>
                <w:rFonts w:eastAsiaTheme="minorHAnsi" w:cs="Verdana"/>
                <w:lang w:val="en-US"/>
              </w:rPr>
              <w:t>,Jr</w:t>
            </w:r>
            <w:proofErr w:type="spellEnd"/>
            <w:proofErr w:type="gramEnd"/>
            <w:r w:rsidRPr="008313E2">
              <w:rPr>
                <w:rFonts w:eastAsiaTheme="minorHAnsi" w:cs="Verdana"/>
                <w:lang w:val="en-US"/>
              </w:rPr>
              <w:t xml:space="preserve">, </w:t>
            </w:r>
            <w:proofErr w:type="spellStart"/>
            <w:r w:rsidRPr="008313E2">
              <w:rPr>
                <w:rFonts w:eastAsiaTheme="minorHAnsi" w:cs="Verdana"/>
                <w:lang w:val="en-US"/>
              </w:rPr>
              <w:t>Sweeterman</w:t>
            </w:r>
            <w:proofErr w:type="spellEnd"/>
            <w:r w:rsidRPr="008313E2">
              <w:rPr>
                <w:rFonts w:eastAsiaTheme="minorHAnsi" w:cs="Verdana"/>
                <w:lang w:val="en-US"/>
              </w:rPr>
              <w:t xml:space="preserve"> LM, </w:t>
            </w:r>
            <w:proofErr w:type="spellStart"/>
            <w:r w:rsidRPr="008313E2">
              <w:rPr>
                <w:rFonts w:eastAsiaTheme="minorHAnsi" w:cs="Verdana"/>
                <w:lang w:val="en-US"/>
              </w:rPr>
              <w:t>Carlonas</w:t>
            </w:r>
            <w:proofErr w:type="spellEnd"/>
            <w:r w:rsidRPr="008313E2">
              <w:rPr>
                <w:rFonts w:eastAsiaTheme="minorHAnsi" w:cs="Verdana"/>
                <w:lang w:val="en-US"/>
              </w:rPr>
              <w:t xml:space="preserve"> RL, </w:t>
            </w:r>
            <w:proofErr w:type="spellStart"/>
            <w:r w:rsidRPr="008313E2">
              <w:rPr>
                <w:rFonts w:eastAsiaTheme="minorHAnsi" w:cs="Verdana"/>
                <w:lang w:val="en-US"/>
              </w:rPr>
              <w:t>Traub</w:t>
            </w:r>
            <w:proofErr w:type="spellEnd"/>
            <w:r w:rsidRPr="008313E2">
              <w:rPr>
                <w:rFonts w:eastAsiaTheme="minorHAnsi" w:cs="Verdana"/>
                <w:lang w:val="en-US"/>
              </w:rPr>
              <w:t xml:space="preserve"> JA, </w:t>
            </w:r>
            <w:proofErr w:type="spellStart"/>
            <w:r w:rsidRPr="008313E2">
              <w:rPr>
                <w:rFonts w:eastAsiaTheme="minorHAnsi" w:cs="Verdana"/>
                <w:lang w:val="en-US"/>
              </w:rPr>
              <w:t>Tekulve</w:t>
            </w:r>
            <w:proofErr w:type="spellEnd"/>
            <w:r w:rsidRPr="008313E2">
              <w:rPr>
                <w:rFonts w:eastAsiaTheme="minorHAnsi" w:cs="Verdana"/>
                <w:lang w:val="en-US"/>
              </w:rPr>
              <w:t xml:space="preserve"> FX. Avoidance of soccer injuries with preseason conditioning. </w:t>
            </w:r>
            <w:r w:rsidRPr="008313E2">
              <w:rPr>
                <w:rFonts w:eastAsiaTheme="minorHAnsi" w:cs="Verdana"/>
                <w:i/>
                <w:iCs/>
                <w:lang w:val="en-US"/>
              </w:rPr>
              <w:t>Am J Sports Med</w:t>
            </w:r>
            <w:r w:rsidRPr="008313E2">
              <w:rPr>
                <w:rFonts w:eastAsiaTheme="minorHAnsi" w:cs="Verdana"/>
                <w:lang w:val="en-US"/>
              </w:rPr>
              <w:t>. 2000</w:t>
            </w:r>
            <w:proofErr w:type="gramStart"/>
            <w:r w:rsidRPr="008313E2">
              <w:rPr>
                <w:rFonts w:eastAsiaTheme="minorHAnsi" w:cs="Verdana"/>
                <w:lang w:val="en-US"/>
              </w:rPr>
              <w:t>;28</w:t>
            </w:r>
            <w:proofErr w:type="gramEnd"/>
            <w:r w:rsidRPr="008313E2">
              <w:rPr>
                <w:rFonts w:eastAsiaTheme="minorHAnsi" w:cs="Verdana"/>
                <w:lang w:val="en-US"/>
              </w:rPr>
              <w:t>(5):659-662.</w:t>
            </w:r>
          </w:p>
          <w:p w14:paraId="0ED367DC" w14:textId="77777777" w:rsidR="00565648" w:rsidRPr="008313E2" w:rsidRDefault="00565648" w:rsidP="00565648">
            <w:pPr>
              <w:widowControl w:val="0"/>
              <w:autoSpaceDE w:val="0"/>
              <w:autoSpaceDN w:val="0"/>
              <w:adjustRightInd w:val="0"/>
              <w:ind w:left="720" w:hanging="720"/>
              <w:rPr>
                <w:rFonts w:eastAsiaTheme="minorHAnsi" w:cs="Verdana"/>
                <w:lang w:val="en-US"/>
              </w:rPr>
            </w:pPr>
            <w:r w:rsidRPr="008313E2">
              <w:rPr>
                <w:rFonts w:eastAsiaTheme="minorHAnsi" w:cs="Verdana"/>
                <w:lang w:val="en-US"/>
              </w:rPr>
              <w:t xml:space="preserve">3. </w:t>
            </w:r>
            <w:proofErr w:type="spellStart"/>
            <w:r w:rsidRPr="008313E2">
              <w:rPr>
                <w:rFonts w:eastAsiaTheme="minorHAnsi" w:cs="Verdana"/>
                <w:lang w:val="en-US"/>
              </w:rPr>
              <w:t>Kiani</w:t>
            </w:r>
            <w:proofErr w:type="spellEnd"/>
            <w:r w:rsidRPr="008313E2">
              <w:rPr>
                <w:rFonts w:eastAsiaTheme="minorHAnsi" w:cs="Verdana"/>
                <w:lang w:val="en-US"/>
              </w:rPr>
              <w:t xml:space="preserve"> A, </w:t>
            </w:r>
            <w:proofErr w:type="spellStart"/>
            <w:r w:rsidRPr="008313E2">
              <w:rPr>
                <w:rFonts w:eastAsiaTheme="minorHAnsi" w:cs="Verdana"/>
                <w:lang w:val="en-US"/>
              </w:rPr>
              <w:t>Hellquist</w:t>
            </w:r>
            <w:proofErr w:type="spellEnd"/>
            <w:r w:rsidRPr="008313E2">
              <w:rPr>
                <w:rFonts w:eastAsiaTheme="minorHAnsi" w:cs="Verdana"/>
                <w:lang w:val="en-US"/>
              </w:rPr>
              <w:t xml:space="preserve"> E, </w:t>
            </w:r>
            <w:proofErr w:type="spellStart"/>
            <w:r w:rsidRPr="008313E2">
              <w:rPr>
                <w:rFonts w:eastAsiaTheme="minorHAnsi" w:cs="Verdana"/>
                <w:lang w:val="en-US"/>
              </w:rPr>
              <w:t>Ahlqvist</w:t>
            </w:r>
            <w:proofErr w:type="spellEnd"/>
            <w:r w:rsidRPr="008313E2">
              <w:rPr>
                <w:rFonts w:eastAsiaTheme="minorHAnsi" w:cs="Verdana"/>
                <w:lang w:val="en-US"/>
              </w:rPr>
              <w:t xml:space="preserve"> K, </w:t>
            </w:r>
            <w:proofErr w:type="spellStart"/>
            <w:r w:rsidRPr="008313E2">
              <w:rPr>
                <w:rFonts w:eastAsiaTheme="minorHAnsi" w:cs="Verdana"/>
                <w:lang w:val="en-US"/>
              </w:rPr>
              <w:t>Gedeborg</w:t>
            </w:r>
            <w:proofErr w:type="spellEnd"/>
            <w:r w:rsidRPr="008313E2">
              <w:rPr>
                <w:rFonts w:eastAsiaTheme="minorHAnsi" w:cs="Verdana"/>
                <w:lang w:val="en-US"/>
              </w:rPr>
              <w:t xml:space="preserve"> R, </w:t>
            </w:r>
            <w:proofErr w:type="spellStart"/>
            <w:r w:rsidRPr="008313E2">
              <w:rPr>
                <w:rFonts w:eastAsiaTheme="minorHAnsi" w:cs="Verdana"/>
                <w:lang w:val="en-US"/>
              </w:rPr>
              <w:t>Michaelsson</w:t>
            </w:r>
            <w:proofErr w:type="spellEnd"/>
            <w:r w:rsidRPr="008313E2">
              <w:rPr>
                <w:rFonts w:eastAsiaTheme="minorHAnsi" w:cs="Verdana"/>
                <w:lang w:val="en-US"/>
              </w:rPr>
              <w:t xml:space="preserve"> K, </w:t>
            </w:r>
            <w:proofErr w:type="spellStart"/>
            <w:r w:rsidRPr="008313E2">
              <w:rPr>
                <w:rFonts w:eastAsiaTheme="minorHAnsi" w:cs="Verdana"/>
                <w:lang w:val="en-US"/>
              </w:rPr>
              <w:t>Byberg</w:t>
            </w:r>
            <w:proofErr w:type="spellEnd"/>
            <w:r w:rsidRPr="008313E2">
              <w:rPr>
                <w:rFonts w:eastAsiaTheme="minorHAnsi" w:cs="Verdana"/>
                <w:lang w:val="en-US"/>
              </w:rPr>
              <w:t xml:space="preserve"> L. Prevention of soccer-related knee injuries in teenaged girls. </w:t>
            </w:r>
            <w:r w:rsidRPr="008313E2">
              <w:rPr>
                <w:rFonts w:eastAsiaTheme="minorHAnsi" w:cs="Verdana"/>
                <w:i/>
                <w:iCs/>
                <w:lang w:val="en-US"/>
              </w:rPr>
              <w:t>Arch Intern Med</w:t>
            </w:r>
            <w:r w:rsidRPr="008313E2">
              <w:rPr>
                <w:rFonts w:eastAsiaTheme="minorHAnsi" w:cs="Verdana"/>
                <w:lang w:val="en-US"/>
              </w:rPr>
              <w:t>. 2010</w:t>
            </w:r>
            <w:proofErr w:type="gramStart"/>
            <w:r w:rsidRPr="008313E2">
              <w:rPr>
                <w:rFonts w:eastAsiaTheme="minorHAnsi" w:cs="Verdana"/>
                <w:lang w:val="en-US"/>
              </w:rPr>
              <w:t>;170</w:t>
            </w:r>
            <w:proofErr w:type="gramEnd"/>
            <w:r w:rsidRPr="008313E2">
              <w:rPr>
                <w:rFonts w:eastAsiaTheme="minorHAnsi" w:cs="Verdana"/>
                <w:lang w:val="en-US"/>
              </w:rPr>
              <w:t xml:space="preserve">(1):43-49. </w:t>
            </w:r>
            <w:proofErr w:type="spellStart"/>
            <w:proofErr w:type="gramStart"/>
            <w:r w:rsidRPr="008313E2">
              <w:rPr>
                <w:rFonts w:eastAsiaTheme="minorHAnsi" w:cs="Verdana"/>
                <w:lang w:val="en-US"/>
              </w:rPr>
              <w:t>doi</w:t>
            </w:r>
            <w:proofErr w:type="spellEnd"/>
            <w:proofErr w:type="gramEnd"/>
            <w:r w:rsidRPr="008313E2">
              <w:rPr>
                <w:rFonts w:eastAsiaTheme="minorHAnsi" w:cs="Verdana"/>
                <w:lang w:val="en-US"/>
              </w:rPr>
              <w:t>: 10.1001/archinternmed.2009.289 [</w:t>
            </w:r>
            <w:proofErr w:type="spellStart"/>
            <w:r w:rsidRPr="008313E2">
              <w:rPr>
                <w:rFonts w:eastAsiaTheme="minorHAnsi" w:cs="Verdana"/>
                <w:lang w:val="en-US"/>
              </w:rPr>
              <w:t>doi</w:t>
            </w:r>
            <w:proofErr w:type="spellEnd"/>
            <w:r w:rsidRPr="008313E2">
              <w:rPr>
                <w:rFonts w:eastAsiaTheme="minorHAnsi" w:cs="Verdana"/>
                <w:lang w:val="en-US"/>
              </w:rPr>
              <w:t>].</w:t>
            </w:r>
          </w:p>
          <w:p w14:paraId="5F440C0E" w14:textId="77777777" w:rsidR="00565648" w:rsidRPr="008313E2" w:rsidRDefault="00565648" w:rsidP="00565648">
            <w:pPr>
              <w:widowControl w:val="0"/>
              <w:autoSpaceDE w:val="0"/>
              <w:autoSpaceDN w:val="0"/>
              <w:adjustRightInd w:val="0"/>
              <w:ind w:left="720" w:hanging="720"/>
              <w:rPr>
                <w:rFonts w:eastAsiaTheme="minorHAnsi" w:cs="Verdana"/>
                <w:lang w:val="en-US"/>
              </w:rPr>
            </w:pPr>
            <w:r w:rsidRPr="008313E2">
              <w:rPr>
                <w:rFonts w:eastAsiaTheme="minorHAnsi" w:cs="Verdana"/>
                <w:lang w:val="en-US"/>
              </w:rPr>
              <w:t xml:space="preserve">4. </w:t>
            </w:r>
            <w:proofErr w:type="spellStart"/>
            <w:r w:rsidRPr="008313E2">
              <w:rPr>
                <w:rFonts w:eastAsiaTheme="minorHAnsi" w:cs="Verdana"/>
                <w:lang w:val="en-US"/>
              </w:rPr>
              <w:t>LaBella</w:t>
            </w:r>
            <w:proofErr w:type="spellEnd"/>
            <w:r w:rsidRPr="008313E2">
              <w:rPr>
                <w:rFonts w:eastAsiaTheme="minorHAnsi" w:cs="Verdana"/>
                <w:lang w:val="en-US"/>
              </w:rPr>
              <w:t xml:space="preserve"> CR, </w:t>
            </w:r>
            <w:proofErr w:type="spellStart"/>
            <w:r w:rsidRPr="008313E2">
              <w:rPr>
                <w:rFonts w:eastAsiaTheme="minorHAnsi" w:cs="Verdana"/>
                <w:lang w:val="en-US"/>
              </w:rPr>
              <w:t>Huxford</w:t>
            </w:r>
            <w:proofErr w:type="spellEnd"/>
            <w:r w:rsidRPr="008313E2">
              <w:rPr>
                <w:rFonts w:eastAsiaTheme="minorHAnsi" w:cs="Verdana"/>
                <w:lang w:val="en-US"/>
              </w:rPr>
              <w:t xml:space="preserve"> MR, Grissom J, Kim KY, </w:t>
            </w:r>
            <w:proofErr w:type="spellStart"/>
            <w:r w:rsidRPr="008313E2">
              <w:rPr>
                <w:rFonts w:eastAsiaTheme="minorHAnsi" w:cs="Verdana"/>
                <w:lang w:val="en-US"/>
              </w:rPr>
              <w:t>Peng</w:t>
            </w:r>
            <w:proofErr w:type="spellEnd"/>
            <w:r w:rsidRPr="008313E2">
              <w:rPr>
                <w:rFonts w:eastAsiaTheme="minorHAnsi" w:cs="Verdana"/>
                <w:lang w:val="en-US"/>
              </w:rPr>
              <w:t xml:space="preserve"> J, </w:t>
            </w:r>
            <w:proofErr w:type="spellStart"/>
            <w:r w:rsidRPr="008313E2">
              <w:rPr>
                <w:rFonts w:eastAsiaTheme="minorHAnsi" w:cs="Verdana"/>
                <w:lang w:val="en-US"/>
              </w:rPr>
              <w:t>Christoffel</w:t>
            </w:r>
            <w:proofErr w:type="spellEnd"/>
            <w:r w:rsidRPr="008313E2">
              <w:rPr>
                <w:rFonts w:eastAsiaTheme="minorHAnsi" w:cs="Verdana"/>
                <w:lang w:val="en-US"/>
              </w:rPr>
              <w:t xml:space="preserve"> KK. Effect of neuromuscular warm-up on injuries in female soccer and basketball athletes in urban public high schools: Cluster randomized controlled trial. </w:t>
            </w:r>
            <w:r w:rsidRPr="008313E2">
              <w:rPr>
                <w:rFonts w:eastAsiaTheme="minorHAnsi" w:cs="Verdana"/>
                <w:i/>
                <w:iCs/>
                <w:lang w:val="en-US"/>
              </w:rPr>
              <w:t xml:space="preserve">Arch </w:t>
            </w:r>
            <w:proofErr w:type="spellStart"/>
            <w:r w:rsidRPr="008313E2">
              <w:rPr>
                <w:rFonts w:eastAsiaTheme="minorHAnsi" w:cs="Verdana"/>
                <w:i/>
                <w:iCs/>
                <w:lang w:val="en-US"/>
              </w:rPr>
              <w:t>Pediatr</w:t>
            </w:r>
            <w:proofErr w:type="spellEnd"/>
            <w:r w:rsidRPr="008313E2">
              <w:rPr>
                <w:rFonts w:eastAsiaTheme="minorHAnsi" w:cs="Verdana"/>
                <w:i/>
                <w:iCs/>
                <w:lang w:val="en-US"/>
              </w:rPr>
              <w:t xml:space="preserve"> </w:t>
            </w:r>
            <w:proofErr w:type="spellStart"/>
            <w:r w:rsidRPr="008313E2">
              <w:rPr>
                <w:rFonts w:eastAsiaTheme="minorHAnsi" w:cs="Verdana"/>
                <w:i/>
                <w:iCs/>
                <w:lang w:val="en-US"/>
              </w:rPr>
              <w:t>Adolesc</w:t>
            </w:r>
            <w:proofErr w:type="spellEnd"/>
            <w:r w:rsidRPr="008313E2">
              <w:rPr>
                <w:rFonts w:eastAsiaTheme="minorHAnsi" w:cs="Verdana"/>
                <w:i/>
                <w:iCs/>
                <w:lang w:val="en-US"/>
              </w:rPr>
              <w:t xml:space="preserve"> Med</w:t>
            </w:r>
            <w:r w:rsidRPr="008313E2">
              <w:rPr>
                <w:rFonts w:eastAsiaTheme="minorHAnsi" w:cs="Verdana"/>
                <w:lang w:val="en-US"/>
              </w:rPr>
              <w:t>. 2011</w:t>
            </w:r>
            <w:proofErr w:type="gramStart"/>
            <w:r w:rsidRPr="008313E2">
              <w:rPr>
                <w:rFonts w:eastAsiaTheme="minorHAnsi" w:cs="Verdana"/>
                <w:lang w:val="en-US"/>
              </w:rPr>
              <w:t>;165</w:t>
            </w:r>
            <w:proofErr w:type="gramEnd"/>
            <w:r w:rsidRPr="008313E2">
              <w:rPr>
                <w:rFonts w:eastAsiaTheme="minorHAnsi" w:cs="Verdana"/>
                <w:lang w:val="en-US"/>
              </w:rPr>
              <w:t xml:space="preserve">(11):1033-1040. </w:t>
            </w:r>
            <w:proofErr w:type="spellStart"/>
            <w:proofErr w:type="gramStart"/>
            <w:r w:rsidRPr="008313E2">
              <w:rPr>
                <w:rFonts w:eastAsiaTheme="minorHAnsi" w:cs="Verdana"/>
                <w:lang w:val="en-US"/>
              </w:rPr>
              <w:t>doi</w:t>
            </w:r>
            <w:proofErr w:type="spellEnd"/>
            <w:proofErr w:type="gramEnd"/>
            <w:r w:rsidRPr="008313E2">
              <w:rPr>
                <w:rFonts w:eastAsiaTheme="minorHAnsi" w:cs="Verdana"/>
                <w:lang w:val="en-US"/>
              </w:rPr>
              <w:t>: 10.1001/archpediatrics.2011.168 [</w:t>
            </w:r>
            <w:proofErr w:type="spellStart"/>
            <w:r w:rsidRPr="008313E2">
              <w:rPr>
                <w:rFonts w:eastAsiaTheme="minorHAnsi" w:cs="Verdana"/>
                <w:lang w:val="en-US"/>
              </w:rPr>
              <w:t>doi</w:t>
            </w:r>
            <w:proofErr w:type="spellEnd"/>
            <w:r w:rsidRPr="008313E2">
              <w:rPr>
                <w:rFonts w:eastAsiaTheme="minorHAnsi" w:cs="Verdana"/>
                <w:lang w:val="en-US"/>
              </w:rPr>
              <w:t>].</w:t>
            </w:r>
          </w:p>
          <w:p w14:paraId="508F6A93" w14:textId="77777777" w:rsidR="00565648" w:rsidRPr="008313E2" w:rsidRDefault="00565648" w:rsidP="00565648">
            <w:pPr>
              <w:widowControl w:val="0"/>
              <w:autoSpaceDE w:val="0"/>
              <w:autoSpaceDN w:val="0"/>
              <w:adjustRightInd w:val="0"/>
              <w:ind w:left="720" w:hanging="720"/>
              <w:rPr>
                <w:rFonts w:eastAsiaTheme="minorHAnsi" w:cs="Verdana"/>
                <w:lang w:val="en-US"/>
              </w:rPr>
            </w:pPr>
            <w:r w:rsidRPr="008313E2">
              <w:rPr>
                <w:rFonts w:eastAsiaTheme="minorHAnsi" w:cs="Verdana"/>
                <w:lang w:val="en-US"/>
              </w:rPr>
              <w:t xml:space="preserve">5. </w:t>
            </w:r>
            <w:proofErr w:type="spellStart"/>
            <w:r w:rsidRPr="008313E2">
              <w:rPr>
                <w:rFonts w:eastAsiaTheme="minorHAnsi" w:cs="Verdana"/>
                <w:lang w:val="en-US"/>
              </w:rPr>
              <w:t>Mandelbaum</w:t>
            </w:r>
            <w:proofErr w:type="spellEnd"/>
            <w:r w:rsidRPr="008313E2">
              <w:rPr>
                <w:rFonts w:eastAsiaTheme="minorHAnsi" w:cs="Verdana"/>
                <w:lang w:val="en-US"/>
              </w:rPr>
              <w:t xml:space="preserve"> BR, Silvers HJ, Watanabe DS, et al. Effectiveness of a neuromuscular and proprioceptive training program in preventing anterior cruciate ligament injuries in female athletes: 2-year follow-up. </w:t>
            </w:r>
            <w:r w:rsidRPr="008313E2">
              <w:rPr>
                <w:rFonts w:eastAsiaTheme="minorHAnsi" w:cs="Verdana"/>
                <w:i/>
                <w:iCs/>
                <w:lang w:val="en-US"/>
              </w:rPr>
              <w:t>Am J Sports Med</w:t>
            </w:r>
            <w:r w:rsidRPr="008313E2">
              <w:rPr>
                <w:rFonts w:eastAsiaTheme="minorHAnsi" w:cs="Verdana"/>
                <w:lang w:val="en-US"/>
              </w:rPr>
              <w:t>. 2005</w:t>
            </w:r>
            <w:proofErr w:type="gramStart"/>
            <w:r w:rsidRPr="008313E2">
              <w:rPr>
                <w:rFonts w:eastAsiaTheme="minorHAnsi" w:cs="Verdana"/>
                <w:lang w:val="en-US"/>
              </w:rPr>
              <w:t>;33</w:t>
            </w:r>
            <w:proofErr w:type="gramEnd"/>
            <w:r w:rsidRPr="008313E2">
              <w:rPr>
                <w:rFonts w:eastAsiaTheme="minorHAnsi" w:cs="Verdana"/>
                <w:lang w:val="en-US"/>
              </w:rPr>
              <w:t xml:space="preserve">(7):1003-1010. </w:t>
            </w:r>
            <w:proofErr w:type="spellStart"/>
            <w:proofErr w:type="gramStart"/>
            <w:r w:rsidRPr="008313E2">
              <w:rPr>
                <w:rFonts w:eastAsiaTheme="minorHAnsi" w:cs="Verdana"/>
                <w:lang w:val="en-US"/>
              </w:rPr>
              <w:t>doi</w:t>
            </w:r>
            <w:proofErr w:type="spellEnd"/>
            <w:proofErr w:type="gramEnd"/>
            <w:r w:rsidRPr="008313E2">
              <w:rPr>
                <w:rFonts w:eastAsiaTheme="minorHAnsi" w:cs="Verdana"/>
                <w:lang w:val="en-US"/>
              </w:rPr>
              <w:t>: 0363546504272261 [</w:t>
            </w:r>
            <w:proofErr w:type="spellStart"/>
            <w:r w:rsidRPr="008313E2">
              <w:rPr>
                <w:rFonts w:eastAsiaTheme="minorHAnsi" w:cs="Verdana"/>
                <w:lang w:val="en-US"/>
              </w:rPr>
              <w:t>pii</w:t>
            </w:r>
            <w:proofErr w:type="spellEnd"/>
            <w:r w:rsidRPr="008313E2">
              <w:rPr>
                <w:rFonts w:eastAsiaTheme="minorHAnsi" w:cs="Verdana"/>
                <w:lang w:val="en-US"/>
              </w:rPr>
              <w:t>].</w:t>
            </w:r>
          </w:p>
          <w:p w14:paraId="28F85C0D" w14:textId="77777777" w:rsidR="00565648" w:rsidRPr="008313E2" w:rsidRDefault="00565648" w:rsidP="00565648">
            <w:pPr>
              <w:widowControl w:val="0"/>
              <w:autoSpaceDE w:val="0"/>
              <w:autoSpaceDN w:val="0"/>
              <w:adjustRightInd w:val="0"/>
              <w:ind w:left="720" w:hanging="720"/>
              <w:rPr>
                <w:rFonts w:eastAsiaTheme="minorHAnsi" w:cs="Verdana"/>
                <w:lang w:val="en-US"/>
              </w:rPr>
            </w:pPr>
            <w:r w:rsidRPr="008313E2">
              <w:rPr>
                <w:rFonts w:eastAsiaTheme="minorHAnsi" w:cs="Verdana"/>
                <w:lang w:val="en-US"/>
              </w:rPr>
              <w:t xml:space="preserve">6. </w:t>
            </w:r>
            <w:proofErr w:type="spellStart"/>
            <w:r w:rsidRPr="008313E2">
              <w:rPr>
                <w:rFonts w:eastAsiaTheme="minorHAnsi" w:cs="Verdana"/>
                <w:lang w:val="en-US"/>
              </w:rPr>
              <w:t>Michaelidis</w:t>
            </w:r>
            <w:proofErr w:type="spellEnd"/>
            <w:r w:rsidRPr="008313E2">
              <w:rPr>
                <w:rFonts w:eastAsiaTheme="minorHAnsi" w:cs="Verdana"/>
                <w:lang w:val="en-US"/>
              </w:rPr>
              <w:t xml:space="preserve"> M, </w:t>
            </w:r>
            <w:proofErr w:type="spellStart"/>
            <w:r w:rsidRPr="008313E2">
              <w:rPr>
                <w:rFonts w:eastAsiaTheme="minorHAnsi" w:cs="Verdana"/>
                <w:lang w:val="en-US"/>
              </w:rPr>
              <w:t>Koumantakis</w:t>
            </w:r>
            <w:proofErr w:type="spellEnd"/>
            <w:r w:rsidRPr="008313E2">
              <w:rPr>
                <w:rFonts w:eastAsiaTheme="minorHAnsi" w:cs="Verdana"/>
                <w:lang w:val="en-US"/>
              </w:rPr>
              <w:t xml:space="preserve"> GA. Effects of knee injury primary prevention programs on anterior cruciate ligament injury rates in female athletes in different sports: A systematic review. </w:t>
            </w:r>
            <w:proofErr w:type="spellStart"/>
            <w:r w:rsidRPr="008313E2">
              <w:rPr>
                <w:rFonts w:eastAsiaTheme="minorHAnsi" w:cs="Verdana"/>
                <w:i/>
                <w:iCs/>
                <w:lang w:val="en-US"/>
              </w:rPr>
              <w:t>Phys</w:t>
            </w:r>
            <w:proofErr w:type="spellEnd"/>
            <w:r w:rsidRPr="008313E2">
              <w:rPr>
                <w:rFonts w:eastAsiaTheme="minorHAnsi" w:cs="Verdana"/>
                <w:i/>
                <w:iCs/>
                <w:lang w:val="en-US"/>
              </w:rPr>
              <w:t xml:space="preserve"> </w:t>
            </w:r>
            <w:proofErr w:type="spellStart"/>
            <w:r w:rsidRPr="008313E2">
              <w:rPr>
                <w:rFonts w:eastAsiaTheme="minorHAnsi" w:cs="Verdana"/>
                <w:i/>
                <w:iCs/>
                <w:lang w:val="en-US"/>
              </w:rPr>
              <w:t>Ther</w:t>
            </w:r>
            <w:proofErr w:type="spellEnd"/>
            <w:r w:rsidRPr="008313E2">
              <w:rPr>
                <w:rFonts w:eastAsiaTheme="minorHAnsi" w:cs="Verdana"/>
                <w:i/>
                <w:iCs/>
                <w:lang w:val="en-US"/>
              </w:rPr>
              <w:t xml:space="preserve"> Sport</w:t>
            </w:r>
            <w:r w:rsidRPr="008313E2">
              <w:rPr>
                <w:rFonts w:eastAsiaTheme="minorHAnsi" w:cs="Verdana"/>
                <w:lang w:val="en-US"/>
              </w:rPr>
              <w:t>. 2014</w:t>
            </w:r>
            <w:proofErr w:type="gramStart"/>
            <w:r w:rsidRPr="008313E2">
              <w:rPr>
                <w:rFonts w:eastAsiaTheme="minorHAnsi" w:cs="Verdana"/>
                <w:lang w:val="en-US"/>
              </w:rPr>
              <w:t>;15</w:t>
            </w:r>
            <w:proofErr w:type="gramEnd"/>
            <w:r w:rsidRPr="008313E2">
              <w:rPr>
                <w:rFonts w:eastAsiaTheme="minorHAnsi" w:cs="Verdana"/>
                <w:lang w:val="en-US"/>
              </w:rPr>
              <w:t xml:space="preserve">(3):200-210. </w:t>
            </w:r>
            <w:proofErr w:type="spellStart"/>
            <w:proofErr w:type="gramStart"/>
            <w:r w:rsidRPr="008313E2">
              <w:rPr>
                <w:rFonts w:eastAsiaTheme="minorHAnsi" w:cs="Verdana"/>
                <w:lang w:val="en-US"/>
              </w:rPr>
              <w:t>doi</w:t>
            </w:r>
            <w:proofErr w:type="spellEnd"/>
            <w:proofErr w:type="gramEnd"/>
            <w:r w:rsidRPr="008313E2">
              <w:rPr>
                <w:rFonts w:eastAsiaTheme="minorHAnsi" w:cs="Verdana"/>
                <w:lang w:val="en-US"/>
              </w:rPr>
              <w:t>: 10.1016/j.ptsp.2013.12.002 [</w:t>
            </w:r>
            <w:proofErr w:type="spellStart"/>
            <w:r w:rsidRPr="008313E2">
              <w:rPr>
                <w:rFonts w:eastAsiaTheme="minorHAnsi" w:cs="Verdana"/>
                <w:lang w:val="en-US"/>
              </w:rPr>
              <w:t>doi</w:t>
            </w:r>
            <w:proofErr w:type="spellEnd"/>
            <w:r w:rsidRPr="008313E2">
              <w:rPr>
                <w:rFonts w:eastAsiaTheme="minorHAnsi" w:cs="Verdana"/>
                <w:lang w:val="en-US"/>
              </w:rPr>
              <w:t>].</w:t>
            </w:r>
          </w:p>
          <w:p w14:paraId="5AF01F9C" w14:textId="77777777" w:rsidR="00565648" w:rsidRPr="008313E2" w:rsidRDefault="00565648" w:rsidP="00565648">
            <w:pPr>
              <w:widowControl w:val="0"/>
              <w:autoSpaceDE w:val="0"/>
              <w:autoSpaceDN w:val="0"/>
              <w:adjustRightInd w:val="0"/>
              <w:ind w:left="720" w:hanging="720"/>
              <w:rPr>
                <w:rFonts w:eastAsiaTheme="minorHAnsi" w:cs="Verdana"/>
                <w:lang w:val="en-US"/>
              </w:rPr>
            </w:pPr>
            <w:r w:rsidRPr="008313E2">
              <w:rPr>
                <w:rFonts w:eastAsiaTheme="minorHAnsi" w:cs="Verdana"/>
                <w:lang w:val="en-US"/>
              </w:rPr>
              <w:t xml:space="preserve">7. </w:t>
            </w:r>
            <w:proofErr w:type="spellStart"/>
            <w:r w:rsidRPr="008313E2">
              <w:rPr>
                <w:rFonts w:eastAsiaTheme="minorHAnsi" w:cs="Verdana"/>
                <w:lang w:val="en-US"/>
              </w:rPr>
              <w:t>Soderman</w:t>
            </w:r>
            <w:proofErr w:type="spellEnd"/>
            <w:r w:rsidRPr="008313E2">
              <w:rPr>
                <w:rFonts w:eastAsiaTheme="minorHAnsi" w:cs="Verdana"/>
                <w:lang w:val="en-US"/>
              </w:rPr>
              <w:t xml:space="preserve"> K, Werner S, </w:t>
            </w:r>
            <w:proofErr w:type="spellStart"/>
            <w:r w:rsidRPr="008313E2">
              <w:rPr>
                <w:rFonts w:eastAsiaTheme="minorHAnsi" w:cs="Verdana"/>
                <w:lang w:val="en-US"/>
              </w:rPr>
              <w:t>Pietila</w:t>
            </w:r>
            <w:proofErr w:type="spellEnd"/>
            <w:r w:rsidRPr="008313E2">
              <w:rPr>
                <w:rFonts w:eastAsiaTheme="minorHAnsi" w:cs="Verdana"/>
                <w:lang w:val="en-US"/>
              </w:rPr>
              <w:t xml:space="preserve"> T, </w:t>
            </w:r>
            <w:proofErr w:type="spellStart"/>
            <w:r w:rsidRPr="008313E2">
              <w:rPr>
                <w:rFonts w:eastAsiaTheme="minorHAnsi" w:cs="Verdana"/>
                <w:lang w:val="en-US"/>
              </w:rPr>
              <w:t>Engstrom</w:t>
            </w:r>
            <w:proofErr w:type="spellEnd"/>
            <w:r w:rsidRPr="008313E2">
              <w:rPr>
                <w:rFonts w:eastAsiaTheme="minorHAnsi" w:cs="Verdana"/>
                <w:lang w:val="en-US"/>
              </w:rPr>
              <w:t xml:space="preserve"> B, </w:t>
            </w:r>
            <w:proofErr w:type="spellStart"/>
            <w:r w:rsidRPr="008313E2">
              <w:rPr>
                <w:rFonts w:eastAsiaTheme="minorHAnsi" w:cs="Verdana"/>
                <w:lang w:val="en-US"/>
              </w:rPr>
              <w:t>Alfredson</w:t>
            </w:r>
            <w:proofErr w:type="spellEnd"/>
            <w:r w:rsidRPr="008313E2">
              <w:rPr>
                <w:rFonts w:eastAsiaTheme="minorHAnsi" w:cs="Verdana"/>
                <w:lang w:val="en-US"/>
              </w:rPr>
              <w:t xml:space="preserve"> H. Balance board training: Prevention of traumatic injuries of the lower extremities in female soccer players? A prospective randomized intervention study. </w:t>
            </w:r>
            <w:r w:rsidRPr="008313E2">
              <w:rPr>
                <w:rFonts w:eastAsiaTheme="minorHAnsi" w:cs="Verdana"/>
                <w:i/>
                <w:iCs/>
                <w:lang w:val="en-US"/>
              </w:rPr>
              <w:t xml:space="preserve">Knee </w:t>
            </w:r>
            <w:proofErr w:type="spellStart"/>
            <w:r w:rsidRPr="008313E2">
              <w:rPr>
                <w:rFonts w:eastAsiaTheme="minorHAnsi" w:cs="Verdana"/>
                <w:i/>
                <w:iCs/>
                <w:lang w:val="en-US"/>
              </w:rPr>
              <w:t>Surg</w:t>
            </w:r>
            <w:proofErr w:type="spellEnd"/>
            <w:r w:rsidRPr="008313E2">
              <w:rPr>
                <w:rFonts w:eastAsiaTheme="minorHAnsi" w:cs="Verdana"/>
                <w:i/>
                <w:iCs/>
                <w:lang w:val="en-US"/>
              </w:rPr>
              <w:t xml:space="preserve"> Sports </w:t>
            </w:r>
            <w:proofErr w:type="spellStart"/>
            <w:r w:rsidRPr="008313E2">
              <w:rPr>
                <w:rFonts w:eastAsiaTheme="minorHAnsi" w:cs="Verdana"/>
                <w:i/>
                <w:iCs/>
                <w:lang w:val="en-US"/>
              </w:rPr>
              <w:t>Traumatol</w:t>
            </w:r>
            <w:proofErr w:type="spellEnd"/>
            <w:r w:rsidRPr="008313E2">
              <w:rPr>
                <w:rFonts w:eastAsiaTheme="minorHAnsi" w:cs="Verdana"/>
                <w:i/>
                <w:iCs/>
                <w:lang w:val="en-US"/>
              </w:rPr>
              <w:t xml:space="preserve"> </w:t>
            </w:r>
            <w:proofErr w:type="spellStart"/>
            <w:r w:rsidRPr="008313E2">
              <w:rPr>
                <w:rFonts w:eastAsiaTheme="minorHAnsi" w:cs="Verdana"/>
                <w:i/>
                <w:iCs/>
                <w:lang w:val="en-US"/>
              </w:rPr>
              <w:t>Arthrosc</w:t>
            </w:r>
            <w:proofErr w:type="spellEnd"/>
            <w:r w:rsidRPr="008313E2">
              <w:rPr>
                <w:rFonts w:eastAsiaTheme="minorHAnsi" w:cs="Verdana"/>
                <w:lang w:val="en-US"/>
              </w:rPr>
              <w:t>. 2000;8(6)</w:t>
            </w:r>
            <w:proofErr w:type="gramStart"/>
            <w:r w:rsidRPr="008313E2">
              <w:rPr>
                <w:rFonts w:eastAsiaTheme="minorHAnsi" w:cs="Verdana"/>
                <w:lang w:val="en-US"/>
              </w:rPr>
              <w:t>:356</w:t>
            </w:r>
            <w:proofErr w:type="gramEnd"/>
            <w:r w:rsidRPr="008313E2">
              <w:rPr>
                <w:rFonts w:eastAsiaTheme="minorHAnsi" w:cs="Verdana"/>
                <w:lang w:val="en-US"/>
              </w:rPr>
              <w:t>-363.</w:t>
            </w:r>
          </w:p>
          <w:p w14:paraId="48F9890D" w14:textId="77777777" w:rsidR="00565648" w:rsidRPr="008313E2" w:rsidRDefault="00565648" w:rsidP="00565648">
            <w:pPr>
              <w:widowControl w:val="0"/>
              <w:autoSpaceDE w:val="0"/>
              <w:autoSpaceDN w:val="0"/>
              <w:adjustRightInd w:val="0"/>
              <w:ind w:left="720" w:hanging="720"/>
              <w:rPr>
                <w:rFonts w:eastAsiaTheme="minorHAnsi" w:cs="Verdana"/>
                <w:lang w:val="en-US"/>
              </w:rPr>
            </w:pPr>
            <w:r w:rsidRPr="008313E2">
              <w:rPr>
                <w:rFonts w:eastAsiaTheme="minorHAnsi" w:cs="Verdana"/>
                <w:lang w:val="en-US"/>
              </w:rPr>
              <w:t xml:space="preserve">8. Steffen K, </w:t>
            </w:r>
            <w:proofErr w:type="spellStart"/>
            <w:r w:rsidRPr="008313E2">
              <w:rPr>
                <w:rFonts w:eastAsiaTheme="minorHAnsi" w:cs="Verdana"/>
                <w:lang w:val="en-US"/>
              </w:rPr>
              <w:t>Myklebust</w:t>
            </w:r>
            <w:proofErr w:type="spellEnd"/>
            <w:r w:rsidRPr="008313E2">
              <w:rPr>
                <w:rFonts w:eastAsiaTheme="minorHAnsi" w:cs="Verdana"/>
                <w:lang w:val="en-US"/>
              </w:rPr>
              <w:t xml:space="preserve"> G, Olsen OE, </w:t>
            </w:r>
            <w:proofErr w:type="spellStart"/>
            <w:r w:rsidRPr="008313E2">
              <w:rPr>
                <w:rFonts w:eastAsiaTheme="minorHAnsi" w:cs="Verdana"/>
                <w:lang w:val="en-US"/>
              </w:rPr>
              <w:t>Holme</w:t>
            </w:r>
            <w:proofErr w:type="spellEnd"/>
            <w:r w:rsidRPr="008313E2">
              <w:rPr>
                <w:rFonts w:eastAsiaTheme="minorHAnsi" w:cs="Verdana"/>
                <w:lang w:val="en-US"/>
              </w:rPr>
              <w:t xml:space="preserve"> I, Bahr R. Preventing injuries in female youth football--a cluster-randomized controlled trial. </w:t>
            </w:r>
            <w:proofErr w:type="spellStart"/>
            <w:r w:rsidRPr="008313E2">
              <w:rPr>
                <w:rFonts w:eastAsiaTheme="minorHAnsi" w:cs="Verdana"/>
                <w:i/>
                <w:iCs/>
                <w:lang w:val="en-US"/>
              </w:rPr>
              <w:t>Scand</w:t>
            </w:r>
            <w:proofErr w:type="spellEnd"/>
            <w:r w:rsidRPr="008313E2">
              <w:rPr>
                <w:rFonts w:eastAsiaTheme="minorHAnsi" w:cs="Verdana"/>
                <w:i/>
                <w:iCs/>
                <w:lang w:val="en-US"/>
              </w:rPr>
              <w:t xml:space="preserve"> J Med </w:t>
            </w:r>
            <w:proofErr w:type="spellStart"/>
            <w:r w:rsidRPr="008313E2">
              <w:rPr>
                <w:rFonts w:eastAsiaTheme="minorHAnsi" w:cs="Verdana"/>
                <w:i/>
                <w:iCs/>
                <w:lang w:val="en-US"/>
              </w:rPr>
              <w:t>Sci</w:t>
            </w:r>
            <w:proofErr w:type="spellEnd"/>
            <w:r w:rsidRPr="008313E2">
              <w:rPr>
                <w:rFonts w:eastAsiaTheme="minorHAnsi" w:cs="Verdana"/>
                <w:i/>
                <w:iCs/>
                <w:lang w:val="en-US"/>
              </w:rPr>
              <w:t xml:space="preserve"> Sports</w:t>
            </w:r>
            <w:r w:rsidRPr="008313E2">
              <w:rPr>
                <w:rFonts w:eastAsiaTheme="minorHAnsi" w:cs="Verdana"/>
                <w:lang w:val="en-US"/>
              </w:rPr>
              <w:t>. 2008</w:t>
            </w:r>
            <w:proofErr w:type="gramStart"/>
            <w:r w:rsidRPr="008313E2">
              <w:rPr>
                <w:rFonts w:eastAsiaTheme="minorHAnsi" w:cs="Verdana"/>
                <w:lang w:val="en-US"/>
              </w:rPr>
              <w:t>;18</w:t>
            </w:r>
            <w:proofErr w:type="gramEnd"/>
            <w:r w:rsidRPr="008313E2">
              <w:rPr>
                <w:rFonts w:eastAsiaTheme="minorHAnsi" w:cs="Verdana"/>
                <w:lang w:val="en-US"/>
              </w:rPr>
              <w:t xml:space="preserve">(5):605-614. </w:t>
            </w:r>
            <w:proofErr w:type="spellStart"/>
            <w:proofErr w:type="gramStart"/>
            <w:r w:rsidRPr="008313E2">
              <w:rPr>
                <w:rFonts w:eastAsiaTheme="minorHAnsi" w:cs="Verdana"/>
                <w:lang w:val="en-US"/>
              </w:rPr>
              <w:t>doi</w:t>
            </w:r>
            <w:proofErr w:type="spellEnd"/>
            <w:proofErr w:type="gramEnd"/>
            <w:r w:rsidRPr="008313E2">
              <w:rPr>
                <w:rFonts w:eastAsiaTheme="minorHAnsi" w:cs="Verdana"/>
                <w:lang w:val="en-US"/>
              </w:rPr>
              <w:t>: 10.1111/j.1600-0838.2007.00703.x [</w:t>
            </w:r>
            <w:proofErr w:type="spellStart"/>
            <w:r w:rsidRPr="008313E2">
              <w:rPr>
                <w:rFonts w:eastAsiaTheme="minorHAnsi" w:cs="Verdana"/>
                <w:lang w:val="en-US"/>
              </w:rPr>
              <w:t>doi</w:t>
            </w:r>
            <w:proofErr w:type="spellEnd"/>
            <w:r w:rsidRPr="008313E2">
              <w:rPr>
                <w:rFonts w:eastAsiaTheme="minorHAnsi" w:cs="Verdana"/>
                <w:lang w:val="en-US"/>
              </w:rPr>
              <w:t>].</w:t>
            </w:r>
          </w:p>
          <w:p w14:paraId="280B8859" w14:textId="77777777" w:rsidR="00565648" w:rsidRPr="008313E2" w:rsidRDefault="00565648" w:rsidP="00565648">
            <w:pPr>
              <w:widowControl w:val="0"/>
              <w:autoSpaceDE w:val="0"/>
              <w:autoSpaceDN w:val="0"/>
              <w:adjustRightInd w:val="0"/>
              <w:ind w:left="720" w:hanging="720"/>
              <w:rPr>
                <w:rFonts w:eastAsiaTheme="minorHAnsi" w:cs="Verdana"/>
                <w:lang w:val="en-US"/>
              </w:rPr>
            </w:pPr>
            <w:r w:rsidRPr="008313E2">
              <w:rPr>
                <w:rFonts w:eastAsiaTheme="minorHAnsi" w:cs="Verdana"/>
                <w:lang w:val="en-US"/>
              </w:rPr>
              <w:t xml:space="preserve">9. Walden M, </w:t>
            </w:r>
            <w:proofErr w:type="spellStart"/>
            <w:r w:rsidRPr="008313E2">
              <w:rPr>
                <w:rFonts w:eastAsiaTheme="minorHAnsi" w:cs="Verdana"/>
                <w:lang w:val="en-US"/>
              </w:rPr>
              <w:t>Atroshi</w:t>
            </w:r>
            <w:proofErr w:type="spellEnd"/>
            <w:r w:rsidRPr="008313E2">
              <w:rPr>
                <w:rFonts w:eastAsiaTheme="minorHAnsi" w:cs="Verdana"/>
                <w:lang w:val="en-US"/>
              </w:rPr>
              <w:t xml:space="preserve"> I, Magnusson H, Wagner P, </w:t>
            </w:r>
            <w:proofErr w:type="spellStart"/>
            <w:r w:rsidRPr="008313E2">
              <w:rPr>
                <w:rFonts w:eastAsiaTheme="minorHAnsi" w:cs="Verdana"/>
                <w:lang w:val="en-US"/>
              </w:rPr>
              <w:t>Hagglund</w:t>
            </w:r>
            <w:proofErr w:type="spellEnd"/>
            <w:r w:rsidRPr="008313E2">
              <w:rPr>
                <w:rFonts w:eastAsiaTheme="minorHAnsi" w:cs="Verdana"/>
                <w:lang w:val="en-US"/>
              </w:rPr>
              <w:t xml:space="preserve"> M. Prevention of acute knee injuries in adolescent female football players: Cluster </w:t>
            </w:r>
            <w:proofErr w:type="spellStart"/>
            <w:r w:rsidRPr="008313E2">
              <w:rPr>
                <w:rFonts w:eastAsiaTheme="minorHAnsi" w:cs="Verdana"/>
                <w:lang w:val="en-US"/>
              </w:rPr>
              <w:t>randomised</w:t>
            </w:r>
            <w:proofErr w:type="spellEnd"/>
            <w:r w:rsidRPr="008313E2">
              <w:rPr>
                <w:rFonts w:eastAsiaTheme="minorHAnsi" w:cs="Verdana"/>
                <w:lang w:val="en-US"/>
              </w:rPr>
              <w:t xml:space="preserve"> controlled trial. </w:t>
            </w:r>
            <w:r w:rsidRPr="008313E2">
              <w:rPr>
                <w:rFonts w:eastAsiaTheme="minorHAnsi" w:cs="Verdana"/>
                <w:i/>
                <w:iCs/>
                <w:lang w:val="en-US"/>
              </w:rPr>
              <w:t>BMJ</w:t>
            </w:r>
            <w:r w:rsidRPr="008313E2">
              <w:rPr>
                <w:rFonts w:eastAsiaTheme="minorHAnsi" w:cs="Verdana"/>
                <w:lang w:val="en-US"/>
              </w:rPr>
              <w:t>. 2012</w:t>
            </w:r>
            <w:proofErr w:type="gramStart"/>
            <w:r w:rsidRPr="008313E2">
              <w:rPr>
                <w:rFonts w:eastAsiaTheme="minorHAnsi" w:cs="Verdana"/>
                <w:lang w:val="en-US"/>
              </w:rPr>
              <w:t>;344:e3042</w:t>
            </w:r>
            <w:proofErr w:type="gramEnd"/>
            <w:r w:rsidRPr="008313E2">
              <w:rPr>
                <w:rFonts w:eastAsiaTheme="minorHAnsi" w:cs="Verdana"/>
                <w:lang w:val="en-US"/>
              </w:rPr>
              <w:t xml:space="preserve">. </w:t>
            </w:r>
            <w:proofErr w:type="spellStart"/>
            <w:proofErr w:type="gramStart"/>
            <w:r w:rsidRPr="008313E2">
              <w:rPr>
                <w:rFonts w:eastAsiaTheme="minorHAnsi" w:cs="Verdana"/>
                <w:lang w:val="en-US"/>
              </w:rPr>
              <w:t>doi</w:t>
            </w:r>
            <w:proofErr w:type="spellEnd"/>
            <w:proofErr w:type="gramEnd"/>
            <w:r w:rsidRPr="008313E2">
              <w:rPr>
                <w:rFonts w:eastAsiaTheme="minorHAnsi" w:cs="Verdana"/>
                <w:lang w:val="en-US"/>
              </w:rPr>
              <w:t>: 10.1136/bmj.e3042 [</w:t>
            </w:r>
            <w:proofErr w:type="spellStart"/>
            <w:r w:rsidRPr="008313E2">
              <w:rPr>
                <w:rFonts w:eastAsiaTheme="minorHAnsi" w:cs="Verdana"/>
                <w:lang w:val="en-US"/>
              </w:rPr>
              <w:t>doi</w:t>
            </w:r>
            <w:proofErr w:type="spellEnd"/>
            <w:r w:rsidRPr="008313E2">
              <w:rPr>
                <w:rFonts w:eastAsiaTheme="minorHAnsi" w:cs="Verdana"/>
                <w:lang w:val="en-US"/>
              </w:rPr>
              <w:t>].</w:t>
            </w:r>
          </w:p>
          <w:p w14:paraId="5221DE4D" w14:textId="3810EC50" w:rsidR="001E1518" w:rsidRPr="008313E2" w:rsidRDefault="00565648" w:rsidP="00565648">
            <w:pPr>
              <w:spacing w:before="120" w:after="120"/>
              <w:ind w:left="720" w:hanging="720"/>
            </w:pPr>
            <w:r w:rsidRPr="008313E2">
              <w:rPr>
                <w:rFonts w:eastAsiaTheme="minorHAnsi" w:cs="Verdana"/>
                <w:lang w:val="en-US"/>
              </w:rPr>
              <w:t xml:space="preserve">10. </w:t>
            </w:r>
            <w:proofErr w:type="spellStart"/>
            <w:r w:rsidRPr="008313E2">
              <w:rPr>
                <w:rFonts w:eastAsiaTheme="minorHAnsi" w:cs="Verdana"/>
                <w:lang w:val="en-US"/>
              </w:rPr>
              <w:t>Yoo</w:t>
            </w:r>
            <w:proofErr w:type="spellEnd"/>
            <w:r w:rsidRPr="008313E2">
              <w:rPr>
                <w:rFonts w:eastAsiaTheme="minorHAnsi" w:cs="Verdana"/>
                <w:lang w:val="en-US"/>
              </w:rPr>
              <w:t xml:space="preserve"> JH, Lim BO, Ha M, et al. A meta-analysis of the effect of neuromuscular training on the prevention of the anterior cruciate ligament injury in female athletes. </w:t>
            </w:r>
            <w:r w:rsidRPr="008313E2">
              <w:rPr>
                <w:rFonts w:eastAsiaTheme="minorHAnsi" w:cs="Verdana"/>
                <w:i/>
                <w:iCs/>
                <w:lang w:val="en-US"/>
              </w:rPr>
              <w:t xml:space="preserve">Knee </w:t>
            </w:r>
            <w:proofErr w:type="spellStart"/>
            <w:r w:rsidRPr="008313E2">
              <w:rPr>
                <w:rFonts w:eastAsiaTheme="minorHAnsi" w:cs="Verdana"/>
                <w:i/>
                <w:iCs/>
                <w:lang w:val="en-US"/>
              </w:rPr>
              <w:t>Surg</w:t>
            </w:r>
            <w:proofErr w:type="spellEnd"/>
            <w:r w:rsidRPr="008313E2">
              <w:rPr>
                <w:rFonts w:eastAsiaTheme="minorHAnsi" w:cs="Verdana"/>
                <w:i/>
                <w:iCs/>
                <w:lang w:val="en-US"/>
              </w:rPr>
              <w:t xml:space="preserve"> Sports </w:t>
            </w:r>
            <w:proofErr w:type="spellStart"/>
            <w:r w:rsidRPr="008313E2">
              <w:rPr>
                <w:rFonts w:eastAsiaTheme="minorHAnsi" w:cs="Verdana"/>
                <w:i/>
                <w:iCs/>
                <w:lang w:val="en-US"/>
              </w:rPr>
              <w:t>Traumatol</w:t>
            </w:r>
            <w:proofErr w:type="spellEnd"/>
            <w:r w:rsidRPr="008313E2">
              <w:rPr>
                <w:rFonts w:eastAsiaTheme="minorHAnsi" w:cs="Verdana"/>
                <w:i/>
                <w:iCs/>
                <w:lang w:val="en-US"/>
              </w:rPr>
              <w:t xml:space="preserve"> </w:t>
            </w:r>
            <w:proofErr w:type="spellStart"/>
            <w:r w:rsidRPr="008313E2">
              <w:rPr>
                <w:rFonts w:eastAsiaTheme="minorHAnsi" w:cs="Verdana"/>
                <w:i/>
                <w:iCs/>
                <w:lang w:val="en-US"/>
              </w:rPr>
              <w:t>Arthrosc</w:t>
            </w:r>
            <w:proofErr w:type="spellEnd"/>
            <w:r w:rsidRPr="008313E2">
              <w:rPr>
                <w:rFonts w:eastAsiaTheme="minorHAnsi" w:cs="Verdana"/>
                <w:lang w:val="en-US"/>
              </w:rPr>
              <w:t>. 2010</w:t>
            </w:r>
            <w:proofErr w:type="gramStart"/>
            <w:r w:rsidRPr="008313E2">
              <w:rPr>
                <w:rFonts w:eastAsiaTheme="minorHAnsi" w:cs="Verdana"/>
                <w:lang w:val="en-US"/>
              </w:rPr>
              <w:t>;18</w:t>
            </w:r>
            <w:proofErr w:type="gramEnd"/>
            <w:r w:rsidRPr="008313E2">
              <w:rPr>
                <w:rFonts w:eastAsiaTheme="minorHAnsi" w:cs="Verdana"/>
                <w:lang w:val="en-US"/>
              </w:rPr>
              <w:t xml:space="preserve">(6):824-830. </w:t>
            </w:r>
            <w:proofErr w:type="spellStart"/>
            <w:proofErr w:type="gramStart"/>
            <w:r w:rsidRPr="008313E2">
              <w:rPr>
                <w:rFonts w:eastAsiaTheme="minorHAnsi" w:cs="Verdana"/>
                <w:lang w:val="en-US"/>
              </w:rPr>
              <w:t>doi</w:t>
            </w:r>
            <w:proofErr w:type="spellEnd"/>
            <w:proofErr w:type="gramEnd"/>
            <w:r w:rsidRPr="008313E2">
              <w:rPr>
                <w:rFonts w:eastAsiaTheme="minorHAnsi" w:cs="Verdana"/>
                <w:lang w:val="en-US"/>
              </w:rPr>
              <w:t>: 10.1007/s00167-009-0901-2 [</w:t>
            </w:r>
            <w:proofErr w:type="spellStart"/>
            <w:r w:rsidRPr="008313E2">
              <w:rPr>
                <w:rFonts w:eastAsiaTheme="minorHAnsi" w:cs="Verdana"/>
                <w:lang w:val="en-US"/>
              </w:rPr>
              <w:t>doi</w:t>
            </w:r>
            <w:proofErr w:type="spellEnd"/>
            <w:r w:rsidRPr="008313E2">
              <w:rPr>
                <w:rFonts w:eastAsiaTheme="minorHAnsi" w:cs="Verdana"/>
                <w:lang w:val="en-US"/>
              </w:rPr>
              <w:t>].</w:t>
            </w:r>
          </w:p>
        </w:tc>
      </w:tr>
    </w:tbl>
    <w:p w14:paraId="31204345" w14:textId="77777777" w:rsidR="007D35DE" w:rsidRPr="008313E2" w:rsidRDefault="007D35DE" w:rsidP="001403EC">
      <w:pPr>
        <w:tabs>
          <w:tab w:val="left" w:pos="480"/>
        </w:tabs>
        <w:jc w:val="both"/>
      </w:pPr>
    </w:p>
    <w:sectPr w:rsidR="007D35DE" w:rsidRPr="008313E2"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FC7063"/>
    <w:multiLevelType w:val="hybridMultilevel"/>
    <w:tmpl w:val="B2E8FBE8"/>
    <w:lvl w:ilvl="0" w:tplc="EE9A2E80">
      <w:start w:val="1"/>
      <w:numFmt w:val="bullet"/>
      <w:lvlText w:val="x"/>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ED37B1"/>
    <w:multiLevelType w:val="hybridMultilevel"/>
    <w:tmpl w:val="6AAC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0C24DF"/>
    <w:multiLevelType w:val="hybridMultilevel"/>
    <w:tmpl w:val="7EBA4A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DF2248"/>
    <w:multiLevelType w:val="hybridMultilevel"/>
    <w:tmpl w:val="AF642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3A0919"/>
    <w:multiLevelType w:val="hybridMultilevel"/>
    <w:tmpl w:val="4ED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D46E67"/>
    <w:multiLevelType w:val="hybridMultilevel"/>
    <w:tmpl w:val="82CE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BD2A4A"/>
    <w:multiLevelType w:val="hybridMultilevel"/>
    <w:tmpl w:val="286A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35139"/>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9">
    <w:nsid w:val="19952D52"/>
    <w:multiLevelType w:val="multilevel"/>
    <w:tmpl w:val="4D44ACA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1C4425F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F8E3892"/>
    <w:multiLevelType w:val="hybridMultilevel"/>
    <w:tmpl w:val="0D1E7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0A63C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28061EA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2A147A5C"/>
    <w:multiLevelType w:val="hybridMultilevel"/>
    <w:tmpl w:val="CBD4F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8976FB"/>
    <w:multiLevelType w:val="hybridMultilevel"/>
    <w:tmpl w:val="50C874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7802BB"/>
    <w:multiLevelType w:val="hybridMultilevel"/>
    <w:tmpl w:val="C53E8A8C"/>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3D563EF1"/>
    <w:multiLevelType w:val="hybridMultilevel"/>
    <w:tmpl w:val="E6ECB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1B32B1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4C9E0A0B"/>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0">
    <w:nsid w:val="4E8A5C10"/>
    <w:multiLevelType w:val="hybridMultilevel"/>
    <w:tmpl w:val="4D44ACA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16837B7"/>
    <w:multiLevelType w:val="hybridMultilevel"/>
    <w:tmpl w:val="602E4700"/>
    <w:lvl w:ilvl="0" w:tplc="EE9A2E80">
      <w:start w:val="1"/>
      <w:numFmt w:val="bullet"/>
      <w:lvlText w:val="x"/>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4EE7A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580571FF"/>
    <w:multiLevelType w:val="hybridMultilevel"/>
    <w:tmpl w:val="98F6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4637B"/>
    <w:multiLevelType w:val="hybridMultilevel"/>
    <w:tmpl w:val="5166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4414A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nsid w:val="66947766"/>
    <w:multiLevelType w:val="hybridMultilevel"/>
    <w:tmpl w:val="C24C72CC"/>
    <w:lvl w:ilvl="0" w:tplc="EE9A2E80">
      <w:start w:val="1"/>
      <w:numFmt w:val="bullet"/>
      <w:lvlText w:val="x"/>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E1118C"/>
    <w:multiLevelType w:val="hybridMultilevel"/>
    <w:tmpl w:val="A27C0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E18682A"/>
    <w:multiLevelType w:val="hybridMultilevel"/>
    <w:tmpl w:val="AFB42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06161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F957677"/>
    <w:multiLevelType w:val="hybridMultilevel"/>
    <w:tmpl w:val="123CE2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1AC1395"/>
    <w:multiLevelType w:val="hybridMultilevel"/>
    <w:tmpl w:val="D0086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C303F2"/>
    <w:multiLevelType w:val="hybridMultilevel"/>
    <w:tmpl w:val="294E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6B7C94"/>
    <w:multiLevelType w:val="hybridMultilevel"/>
    <w:tmpl w:val="D6924F90"/>
    <w:lvl w:ilvl="0" w:tplc="04090001">
      <w:start w:val="1"/>
      <w:numFmt w:val="bullet"/>
      <w:lvlText w:val=""/>
      <w:lvlJc w:val="left"/>
      <w:pPr>
        <w:ind w:left="720" w:hanging="360"/>
      </w:pPr>
      <w:rPr>
        <w:rFonts w:ascii="Symbol" w:hAnsi="Symbol" w:hint="default"/>
      </w:rPr>
    </w:lvl>
    <w:lvl w:ilvl="1" w:tplc="EE9A2E80">
      <w:start w:val="1"/>
      <w:numFmt w:val="bullet"/>
      <w:lvlText w:val="x"/>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EA62BC"/>
    <w:multiLevelType w:val="hybridMultilevel"/>
    <w:tmpl w:val="4062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006E0B"/>
    <w:multiLevelType w:val="singleLevel"/>
    <w:tmpl w:val="0C090005"/>
    <w:lvl w:ilvl="0">
      <w:start w:val="1"/>
      <w:numFmt w:val="bullet"/>
      <w:lvlText w:val=""/>
      <w:lvlJc w:val="left"/>
      <w:pPr>
        <w:tabs>
          <w:tab w:val="num" w:pos="360"/>
        </w:tabs>
        <w:ind w:left="360" w:hanging="360"/>
      </w:pPr>
      <w:rPr>
        <w:rFonts w:ascii="Wingdings" w:hAnsi="Wingdings" w:hint="default"/>
      </w:rPr>
    </w:lvl>
  </w:abstractNum>
  <w:num w:numId="1">
    <w:abstractNumId w:val="13"/>
  </w:num>
  <w:num w:numId="2">
    <w:abstractNumId w:val="12"/>
  </w:num>
  <w:num w:numId="3">
    <w:abstractNumId w:val="10"/>
  </w:num>
  <w:num w:numId="4">
    <w:abstractNumId w:val="18"/>
  </w:num>
  <w:num w:numId="5">
    <w:abstractNumId w:val="30"/>
  </w:num>
  <w:num w:numId="6">
    <w:abstractNumId w:val="22"/>
  </w:num>
  <w:num w:numId="7">
    <w:abstractNumId w:val="8"/>
  </w:num>
  <w:num w:numId="8">
    <w:abstractNumId w:val="19"/>
  </w:num>
  <w:num w:numId="9">
    <w:abstractNumId w:val="36"/>
  </w:num>
  <w:num w:numId="10">
    <w:abstractNumId w:val="26"/>
  </w:num>
  <w:num w:numId="11">
    <w:abstractNumId w:val="16"/>
  </w:num>
  <w:num w:numId="12">
    <w:abstractNumId w:val="23"/>
  </w:num>
  <w:num w:numId="13">
    <w:abstractNumId w:val="3"/>
  </w:num>
  <w:num w:numId="14">
    <w:abstractNumId w:val="4"/>
  </w:num>
  <w:num w:numId="15">
    <w:abstractNumId w:val="29"/>
  </w:num>
  <w:num w:numId="16">
    <w:abstractNumId w:val="20"/>
  </w:num>
  <w:num w:numId="17">
    <w:abstractNumId w:val="7"/>
  </w:num>
  <w:num w:numId="18">
    <w:abstractNumId w:val="1"/>
  </w:num>
  <w:num w:numId="19">
    <w:abstractNumId w:val="9"/>
  </w:num>
  <w:num w:numId="20">
    <w:abstractNumId w:val="21"/>
  </w:num>
  <w:num w:numId="21">
    <w:abstractNumId w:val="27"/>
  </w:num>
  <w:num w:numId="22">
    <w:abstractNumId w:val="24"/>
  </w:num>
  <w:num w:numId="23">
    <w:abstractNumId w:val="17"/>
  </w:num>
  <w:num w:numId="24">
    <w:abstractNumId w:val="34"/>
  </w:num>
  <w:num w:numId="25">
    <w:abstractNumId w:val="0"/>
  </w:num>
  <w:num w:numId="26">
    <w:abstractNumId w:val="31"/>
  </w:num>
  <w:num w:numId="27">
    <w:abstractNumId w:val="25"/>
  </w:num>
  <w:num w:numId="28">
    <w:abstractNumId w:val="5"/>
  </w:num>
  <w:num w:numId="29">
    <w:abstractNumId w:val="35"/>
  </w:num>
  <w:num w:numId="30">
    <w:abstractNumId w:val="14"/>
  </w:num>
  <w:num w:numId="31">
    <w:abstractNumId w:val="28"/>
  </w:num>
  <w:num w:numId="32">
    <w:abstractNumId w:val="2"/>
  </w:num>
  <w:num w:numId="33">
    <w:abstractNumId w:val="33"/>
  </w:num>
  <w:num w:numId="34">
    <w:abstractNumId w:val="15"/>
  </w:num>
  <w:num w:numId="35">
    <w:abstractNumId w:val="11"/>
  </w:num>
  <w:num w:numId="36">
    <w:abstractNumId w:val="6"/>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03E"/>
    <w:rsid w:val="00000E98"/>
    <w:rsid w:val="00002816"/>
    <w:rsid w:val="00004349"/>
    <w:rsid w:val="00005888"/>
    <w:rsid w:val="00006871"/>
    <w:rsid w:val="00006EC6"/>
    <w:rsid w:val="00013008"/>
    <w:rsid w:val="000132F5"/>
    <w:rsid w:val="0002168B"/>
    <w:rsid w:val="000221B2"/>
    <w:rsid w:val="00023B20"/>
    <w:rsid w:val="0003216E"/>
    <w:rsid w:val="00040ABB"/>
    <w:rsid w:val="00050375"/>
    <w:rsid w:val="00065734"/>
    <w:rsid w:val="000721FC"/>
    <w:rsid w:val="00076922"/>
    <w:rsid w:val="00077862"/>
    <w:rsid w:val="00082CFF"/>
    <w:rsid w:val="000834FC"/>
    <w:rsid w:val="000839E0"/>
    <w:rsid w:val="00094B7E"/>
    <w:rsid w:val="000A7312"/>
    <w:rsid w:val="000B1FB4"/>
    <w:rsid w:val="000B1FF5"/>
    <w:rsid w:val="000B3B7D"/>
    <w:rsid w:val="000B4919"/>
    <w:rsid w:val="000C1519"/>
    <w:rsid w:val="000C212D"/>
    <w:rsid w:val="000C3F58"/>
    <w:rsid w:val="000C600B"/>
    <w:rsid w:val="000D40CD"/>
    <w:rsid w:val="000E1D4E"/>
    <w:rsid w:val="000F3690"/>
    <w:rsid w:val="00101A23"/>
    <w:rsid w:val="00103F7B"/>
    <w:rsid w:val="001042F8"/>
    <w:rsid w:val="00106645"/>
    <w:rsid w:val="0011199B"/>
    <w:rsid w:val="00114F16"/>
    <w:rsid w:val="001220DF"/>
    <w:rsid w:val="00122C86"/>
    <w:rsid w:val="00130520"/>
    <w:rsid w:val="00133195"/>
    <w:rsid w:val="001403EC"/>
    <w:rsid w:val="00142348"/>
    <w:rsid w:val="00145AB2"/>
    <w:rsid w:val="00154ED5"/>
    <w:rsid w:val="00157056"/>
    <w:rsid w:val="00164811"/>
    <w:rsid w:val="001655BA"/>
    <w:rsid w:val="00167202"/>
    <w:rsid w:val="00184206"/>
    <w:rsid w:val="00192877"/>
    <w:rsid w:val="00192961"/>
    <w:rsid w:val="00195041"/>
    <w:rsid w:val="00196026"/>
    <w:rsid w:val="001960D2"/>
    <w:rsid w:val="001A111D"/>
    <w:rsid w:val="001A1E39"/>
    <w:rsid w:val="001A3A66"/>
    <w:rsid w:val="001A40A0"/>
    <w:rsid w:val="001B1539"/>
    <w:rsid w:val="001B52C3"/>
    <w:rsid w:val="001B6B9B"/>
    <w:rsid w:val="001C5A94"/>
    <w:rsid w:val="001C6341"/>
    <w:rsid w:val="001C6AEF"/>
    <w:rsid w:val="001D2A0B"/>
    <w:rsid w:val="001D4F60"/>
    <w:rsid w:val="001D5D4E"/>
    <w:rsid w:val="001E1518"/>
    <w:rsid w:val="001E2169"/>
    <w:rsid w:val="001E5719"/>
    <w:rsid w:val="001F41BC"/>
    <w:rsid w:val="001F7D9A"/>
    <w:rsid w:val="00201832"/>
    <w:rsid w:val="00201F3F"/>
    <w:rsid w:val="002032B9"/>
    <w:rsid w:val="00205544"/>
    <w:rsid w:val="00206663"/>
    <w:rsid w:val="00215B15"/>
    <w:rsid w:val="00222B72"/>
    <w:rsid w:val="002336C6"/>
    <w:rsid w:val="0023388F"/>
    <w:rsid w:val="00237E57"/>
    <w:rsid w:val="00240563"/>
    <w:rsid w:val="002558DB"/>
    <w:rsid w:val="002576D3"/>
    <w:rsid w:val="002612AE"/>
    <w:rsid w:val="00265366"/>
    <w:rsid w:val="00267D6D"/>
    <w:rsid w:val="00271CEF"/>
    <w:rsid w:val="00273CC5"/>
    <w:rsid w:val="002760F9"/>
    <w:rsid w:val="00276D67"/>
    <w:rsid w:val="0028056F"/>
    <w:rsid w:val="00281077"/>
    <w:rsid w:val="0028187A"/>
    <w:rsid w:val="00282449"/>
    <w:rsid w:val="00293B41"/>
    <w:rsid w:val="002975D0"/>
    <w:rsid w:val="002977D9"/>
    <w:rsid w:val="002A202E"/>
    <w:rsid w:val="002A57FD"/>
    <w:rsid w:val="002A687A"/>
    <w:rsid w:val="002A69E0"/>
    <w:rsid w:val="002D2D3F"/>
    <w:rsid w:val="002D5C47"/>
    <w:rsid w:val="002D6267"/>
    <w:rsid w:val="002E151C"/>
    <w:rsid w:val="002E3103"/>
    <w:rsid w:val="002E4C88"/>
    <w:rsid w:val="002E602B"/>
    <w:rsid w:val="002F16E1"/>
    <w:rsid w:val="002F2F2D"/>
    <w:rsid w:val="00300998"/>
    <w:rsid w:val="003023C2"/>
    <w:rsid w:val="00311CD1"/>
    <w:rsid w:val="003152FA"/>
    <w:rsid w:val="00316189"/>
    <w:rsid w:val="003203C3"/>
    <w:rsid w:val="00320CD4"/>
    <w:rsid w:val="00326281"/>
    <w:rsid w:val="0033330C"/>
    <w:rsid w:val="00346191"/>
    <w:rsid w:val="003475DE"/>
    <w:rsid w:val="00350995"/>
    <w:rsid w:val="00355000"/>
    <w:rsid w:val="00355D55"/>
    <w:rsid w:val="00356799"/>
    <w:rsid w:val="00363FEB"/>
    <w:rsid w:val="00365920"/>
    <w:rsid w:val="00371C43"/>
    <w:rsid w:val="00380B69"/>
    <w:rsid w:val="00383E3A"/>
    <w:rsid w:val="0038646C"/>
    <w:rsid w:val="0038771C"/>
    <w:rsid w:val="003A0BC3"/>
    <w:rsid w:val="003A57CE"/>
    <w:rsid w:val="003A6741"/>
    <w:rsid w:val="003B2324"/>
    <w:rsid w:val="003B4493"/>
    <w:rsid w:val="003B5C0D"/>
    <w:rsid w:val="003B7595"/>
    <w:rsid w:val="003C203E"/>
    <w:rsid w:val="003C3F01"/>
    <w:rsid w:val="003C4065"/>
    <w:rsid w:val="003C54B6"/>
    <w:rsid w:val="003D48E0"/>
    <w:rsid w:val="003F063B"/>
    <w:rsid w:val="003F2E81"/>
    <w:rsid w:val="003F32ED"/>
    <w:rsid w:val="00400AAD"/>
    <w:rsid w:val="00400D14"/>
    <w:rsid w:val="004020B7"/>
    <w:rsid w:val="00403DDA"/>
    <w:rsid w:val="00407BFD"/>
    <w:rsid w:val="00414860"/>
    <w:rsid w:val="00415B87"/>
    <w:rsid w:val="00422292"/>
    <w:rsid w:val="004226BD"/>
    <w:rsid w:val="0042604D"/>
    <w:rsid w:val="00430880"/>
    <w:rsid w:val="00430F5C"/>
    <w:rsid w:val="00431D6E"/>
    <w:rsid w:val="004341FB"/>
    <w:rsid w:val="00437839"/>
    <w:rsid w:val="004467A5"/>
    <w:rsid w:val="0045534B"/>
    <w:rsid w:val="0045778D"/>
    <w:rsid w:val="004631B4"/>
    <w:rsid w:val="00466453"/>
    <w:rsid w:val="0047092A"/>
    <w:rsid w:val="00472923"/>
    <w:rsid w:val="00483B4E"/>
    <w:rsid w:val="00490D44"/>
    <w:rsid w:val="004927E7"/>
    <w:rsid w:val="004929DF"/>
    <w:rsid w:val="00492B03"/>
    <w:rsid w:val="00493963"/>
    <w:rsid w:val="00496D0F"/>
    <w:rsid w:val="00497DB9"/>
    <w:rsid w:val="004A0966"/>
    <w:rsid w:val="004A0EE3"/>
    <w:rsid w:val="004A1418"/>
    <w:rsid w:val="004A4CB8"/>
    <w:rsid w:val="004A4D5C"/>
    <w:rsid w:val="004B2ACD"/>
    <w:rsid w:val="004B3CB2"/>
    <w:rsid w:val="004B7D98"/>
    <w:rsid w:val="004D1BFA"/>
    <w:rsid w:val="004D2674"/>
    <w:rsid w:val="004E5E95"/>
    <w:rsid w:val="004F05E4"/>
    <w:rsid w:val="004F59CB"/>
    <w:rsid w:val="004F5C9D"/>
    <w:rsid w:val="004F629A"/>
    <w:rsid w:val="004F7128"/>
    <w:rsid w:val="005006DE"/>
    <w:rsid w:val="00503385"/>
    <w:rsid w:val="00503D25"/>
    <w:rsid w:val="005058E0"/>
    <w:rsid w:val="00507EC3"/>
    <w:rsid w:val="00516B29"/>
    <w:rsid w:val="005206A8"/>
    <w:rsid w:val="005263ED"/>
    <w:rsid w:val="00530E5E"/>
    <w:rsid w:val="00531D85"/>
    <w:rsid w:val="00532D7D"/>
    <w:rsid w:val="0053617F"/>
    <w:rsid w:val="00543D14"/>
    <w:rsid w:val="005458B8"/>
    <w:rsid w:val="00546DAC"/>
    <w:rsid w:val="005528C9"/>
    <w:rsid w:val="00552BD9"/>
    <w:rsid w:val="005534AD"/>
    <w:rsid w:val="005542B5"/>
    <w:rsid w:val="00554FFC"/>
    <w:rsid w:val="00560C22"/>
    <w:rsid w:val="00565648"/>
    <w:rsid w:val="00572A4D"/>
    <w:rsid w:val="00573CEB"/>
    <w:rsid w:val="00574922"/>
    <w:rsid w:val="00586070"/>
    <w:rsid w:val="00592E30"/>
    <w:rsid w:val="00593157"/>
    <w:rsid w:val="00594203"/>
    <w:rsid w:val="00594DDB"/>
    <w:rsid w:val="00597245"/>
    <w:rsid w:val="005A1289"/>
    <w:rsid w:val="005A148C"/>
    <w:rsid w:val="005A3AD4"/>
    <w:rsid w:val="005A40D7"/>
    <w:rsid w:val="005A6C2B"/>
    <w:rsid w:val="005B13D4"/>
    <w:rsid w:val="005B7AE2"/>
    <w:rsid w:val="005C54CC"/>
    <w:rsid w:val="005C6F60"/>
    <w:rsid w:val="005D016F"/>
    <w:rsid w:val="005E6DF8"/>
    <w:rsid w:val="005F736D"/>
    <w:rsid w:val="005F7821"/>
    <w:rsid w:val="00600583"/>
    <w:rsid w:val="00600DC9"/>
    <w:rsid w:val="006021A6"/>
    <w:rsid w:val="00605138"/>
    <w:rsid w:val="00607017"/>
    <w:rsid w:val="0060740C"/>
    <w:rsid w:val="006127B1"/>
    <w:rsid w:val="00622327"/>
    <w:rsid w:val="00624D85"/>
    <w:rsid w:val="00627BCF"/>
    <w:rsid w:val="00632817"/>
    <w:rsid w:val="0063498E"/>
    <w:rsid w:val="00637684"/>
    <w:rsid w:val="0064237B"/>
    <w:rsid w:val="00650D2D"/>
    <w:rsid w:val="00656740"/>
    <w:rsid w:val="00681012"/>
    <w:rsid w:val="006879A5"/>
    <w:rsid w:val="0069090B"/>
    <w:rsid w:val="00696FB6"/>
    <w:rsid w:val="006A0ACF"/>
    <w:rsid w:val="006B13E7"/>
    <w:rsid w:val="006B3C62"/>
    <w:rsid w:val="006B4EC3"/>
    <w:rsid w:val="006C1013"/>
    <w:rsid w:val="006C2AD2"/>
    <w:rsid w:val="006C3192"/>
    <w:rsid w:val="006C580C"/>
    <w:rsid w:val="006D027B"/>
    <w:rsid w:val="006D2329"/>
    <w:rsid w:val="006D38A1"/>
    <w:rsid w:val="006D5573"/>
    <w:rsid w:val="006E1F5D"/>
    <w:rsid w:val="006E2CB3"/>
    <w:rsid w:val="006E4370"/>
    <w:rsid w:val="006E4EC8"/>
    <w:rsid w:val="006E5A23"/>
    <w:rsid w:val="006E68E0"/>
    <w:rsid w:val="006F20AD"/>
    <w:rsid w:val="006F369E"/>
    <w:rsid w:val="00701934"/>
    <w:rsid w:val="00706E69"/>
    <w:rsid w:val="0071035C"/>
    <w:rsid w:val="00716094"/>
    <w:rsid w:val="007347B2"/>
    <w:rsid w:val="007401CE"/>
    <w:rsid w:val="007402F6"/>
    <w:rsid w:val="007444A6"/>
    <w:rsid w:val="0074589E"/>
    <w:rsid w:val="007534F1"/>
    <w:rsid w:val="007551A5"/>
    <w:rsid w:val="00765CAB"/>
    <w:rsid w:val="007708D3"/>
    <w:rsid w:val="0077316A"/>
    <w:rsid w:val="00777E3F"/>
    <w:rsid w:val="00780624"/>
    <w:rsid w:val="00783D2E"/>
    <w:rsid w:val="00785888"/>
    <w:rsid w:val="00787012"/>
    <w:rsid w:val="00787853"/>
    <w:rsid w:val="00791304"/>
    <w:rsid w:val="007942EB"/>
    <w:rsid w:val="007969E7"/>
    <w:rsid w:val="00797818"/>
    <w:rsid w:val="007A66F5"/>
    <w:rsid w:val="007A7454"/>
    <w:rsid w:val="007B42DA"/>
    <w:rsid w:val="007B78BC"/>
    <w:rsid w:val="007C5669"/>
    <w:rsid w:val="007D23DF"/>
    <w:rsid w:val="007D35DE"/>
    <w:rsid w:val="007E5125"/>
    <w:rsid w:val="007F26B9"/>
    <w:rsid w:val="00803C0C"/>
    <w:rsid w:val="00812C9E"/>
    <w:rsid w:val="008178F8"/>
    <w:rsid w:val="008240D6"/>
    <w:rsid w:val="008262FD"/>
    <w:rsid w:val="008313E2"/>
    <w:rsid w:val="00843002"/>
    <w:rsid w:val="00847429"/>
    <w:rsid w:val="008523E0"/>
    <w:rsid w:val="00852622"/>
    <w:rsid w:val="0086536D"/>
    <w:rsid w:val="00867784"/>
    <w:rsid w:val="008724B6"/>
    <w:rsid w:val="00872D60"/>
    <w:rsid w:val="008753FB"/>
    <w:rsid w:val="00877E69"/>
    <w:rsid w:val="00883B17"/>
    <w:rsid w:val="0088540C"/>
    <w:rsid w:val="00892617"/>
    <w:rsid w:val="008935D0"/>
    <w:rsid w:val="00893F19"/>
    <w:rsid w:val="008975FD"/>
    <w:rsid w:val="00897A44"/>
    <w:rsid w:val="008A02AF"/>
    <w:rsid w:val="008A2ACB"/>
    <w:rsid w:val="008A4BFD"/>
    <w:rsid w:val="008A7220"/>
    <w:rsid w:val="008B031E"/>
    <w:rsid w:val="008B43B0"/>
    <w:rsid w:val="008B5180"/>
    <w:rsid w:val="008B626C"/>
    <w:rsid w:val="008C6D9D"/>
    <w:rsid w:val="008D07DF"/>
    <w:rsid w:val="008D1E76"/>
    <w:rsid w:val="008D2E06"/>
    <w:rsid w:val="008D3703"/>
    <w:rsid w:val="008D47D4"/>
    <w:rsid w:val="008D5FA9"/>
    <w:rsid w:val="008E1901"/>
    <w:rsid w:val="008E5E81"/>
    <w:rsid w:val="008E5E9B"/>
    <w:rsid w:val="008E7E99"/>
    <w:rsid w:val="008F408E"/>
    <w:rsid w:val="00902046"/>
    <w:rsid w:val="00905A35"/>
    <w:rsid w:val="00907825"/>
    <w:rsid w:val="00910288"/>
    <w:rsid w:val="009111BC"/>
    <w:rsid w:val="009268EF"/>
    <w:rsid w:val="00932121"/>
    <w:rsid w:val="00935F46"/>
    <w:rsid w:val="009364E2"/>
    <w:rsid w:val="00936A8A"/>
    <w:rsid w:val="00940EDD"/>
    <w:rsid w:val="00942FBD"/>
    <w:rsid w:val="00947DBB"/>
    <w:rsid w:val="0095448D"/>
    <w:rsid w:val="00954C3A"/>
    <w:rsid w:val="00957B7C"/>
    <w:rsid w:val="0096050A"/>
    <w:rsid w:val="00965236"/>
    <w:rsid w:val="009677A3"/>
    <w:rsid w:val="00973B70"/>
    <w:rsid w:val="00973E03"/>
    <w:rsid w:val="00983447"/>
    <w:rsid w:val="00983BD5"/>
    <w:rsid w:val="00984B51"/>
    <w:rsid w:val="00986141"/>
    <w:rsid w:val="00986AD9"/>
    <w:rsid w:val="00991668"/>
    <w:rsid w:val="00993673"/>
    <w:rsid w:val="00997BE9"/>
    <w:rsid w:val="009A001F"/>
    <w:rsid w:val="009A0156"/>
    <w:rsid w:val="009A25A5"/>
    <w:rsid w:val="009A38BC"/>
    <w:rsid w:val="009A4B9F"/>
    <w:rsid w:val="009A6B36"/>
    <w:rsid w:val="009A767D"/>
    <w:rsid w:val="009A7AB8"/>
    <w:rsid w:val="009B252F"/>
    <w:rsid w:val="009B571A"/>
    <w:rsid w:val="009B6A72"/>
    <w:rsid w:val="009C0D10"/>
    <w:rsid w:val="009C4E3F"/>
    <w:rsid w:val="009D19FF"/>
    <w:rsid w:val="009E3323"/>
    <w:rsid w:val="009E380F"/>
    <w:rsid w:val="00A0275A"/>
    <w:rsid w:val="00A02E80"/>
    <w:rsid w:val="00A067EC"/>
    <w:rsid w:val="00A07396"/>
    <w:rsid w:val="00A1120A"/>
    <w:rsid w:val="00A15107"/>
    <w:rsid w:val="00A1546F"/>
    <w:rsid w:val="00A15A8F"/>
    <w:rsid w:val="00A16ED8"/>
    <w:rsid w:val="00A17FA8"/>
    <w:rsid w:val="00A21339"/>
    <w:rsid w:val="00A22537"/>
    <w:rsid w:val="00A30701"/>
    <w:rsid w:val="00A3784B"/>
    <w:rsid w:val="00A4097C"/>
    <w:rsid w:val="00A40BD4"/>
    <w:rsid w:val="00A41623"/>
    <w:rsid w:val="00A429BF"/>
    <w:rsid w:val="00A44302"/>
    <w:rsid w:val="00A52F86"/>
    <w:rsid w:val="00A6517D"/>
    <w:rsid w:val="00A661B5"/>
    <w:rsid w:val="00A66A42"/>
    <w:rsid w:val="00A67342"/>
    <w:rsid w:val="00A73BD3"/>
    <w:rsid w:val="00A74B91"/>
    <w:rsid w:val="00A81CAE"/>
    <w:rsid w:val="00A85A4F"/>
    <w:rsid w:val="00A94171"/>
    <w:rsid w:val="00AB6399"/>
    <w:rsid w:val="00AB73A2"/>
    <w:rsid w:val="00AB77BC"/>
    <w:rsid w:val="00AC4C7D"/>
    <w:rsid w:val="00AC60B4"/>
    <w:rsid w:val="00AD0562"/>
    <w:rsid w:val="00AD19E0"/>
    <w:rsid w:val="00AD737D"/>
    <w:rsid w:val="00AE1E6F"/>
    <w:rsid w:val="00AE3258"/>
    <w:rsid w:val="00AF1174"/>
    <w:rsid w:val="00AF3534"/>
    <w:rsid w:val="00B02090"/>
    <w:rsid w:val="00B027D9"/>
    <w:rsid w:val="00B077D4"/>
    <w:rsid w:val="00B10F4A"/>
    <w:rsid w:val="00B11111"/>
    <w:rsid w:val="00B14987"/>
    <w:rsid w:val="00B14A86"/>
    <w:rsid w:val="00B164D1"/>
    <w:rsid w:val="00B167F1"/>
    <w:rsid w:val="00B23394"/>
    <w:rsid w:val="00B31D37"/>
    <w:rsid w:val="00B37BDE"/>
    <w:rsid w:val="00B40974"/>
    <w:rsid w:val="00B463C1"/>
    <w:rsid w:val="00B51318"/>
    <w:rsid w:val="00B526F2"/>
    <w:rsid w:val="00B53425"/>
    <w:rsid w:val="00B567C8"/>
    <w:rsid w:val="00B60682"/>
    <w:rsid w:val="00B64A00"/>
    <w:rsid w:val="00B70AC5"/>
    <w:rsid w:val="00B71323"/>
    <w:rsid w:val="00B75AAB"/>
    <w:rsid w:val="00B8291A"/>
    <w:rsid w:val="00B85ACE"/>
    <w:rsid w:val="00B9306C"/>
    <w:rsid w:val="00BA0623"/>
    <w:rsid w:val="00BA37B7"/>
    <w:rsid w:val="00BA3C17"/>
    <w:rsid w:val="00BB3E46"/>
    <w:rsid w:val="00BC0969"/>
    <w:rsid w:val="00BC4591"/>
    <w:rsid w:val="00BC699A"/>
    <w:rsid w:val="00BC7F74"/>
    <w:rsid w:val="00BD6E44"/>
    <w:rsid w:val="00BE5198"/>
    <w:rsid w:val="00BF1CC7"/>
    <w:rsid w:val="00BF55F1"/>
    <w:rsid w:val="00BF7C80"/>
    <w:rsid w:val="00BF7C8D"/>
    <w:rsid w:val="00C05D7D"/>
    <w:rsid w:val="00C06B91"/>
    <w:rsid w:val="00C06D0F"/>
    <w:rsid w:val="00C10D33"/>
    <w:rsid w:val="00C13717"/>
    <w:rsid w:val="00C137FD"/>
    <w:rsid w:val="00C215D2"/>
    <w:rsid w:val="00C24300"/>
    <w:rsid w:val="00C30A9A"/>
    <w:rsid w:val="00C342AF"/>
    <w:rsid w:val="00C36AEB"/>
    <w:rsid w:val="00C3742B"/>
    <w:rsid w:val="00C42D9D"/>
    <w:rsid w:val="00C549B7"/>
    <w:rsid w:val="00C56E84"/>
    <w:rsid w:val="00C64E38"/>
    <w:rsid w:val="00C70165"/>
    <w:rsid w:val="00C76224"/>
    <w:rsid w:val="00C77C12"/>
    <w:rsid w:val="00C819B9"/>
    <w:rsid w:val="00C827D8"/>
    <w:rsid w:val="00C93350"/>
    <w:rsid w:val="00CA5482"/>
    <w:rsid w:val="00CA67D5"/>
    <w:rsid w:val="00CA754D"/>
    <w:rsid w:val="00CA78BC"/>
    <w:rsid w:val="00CB1FAF"/>
    <w:rsid w:val="00CB4E52"/>
    <w:rsid w:val="00CB6ABE"/>
    <w:rsid w:val="00CB702A"/>
    <w:rsid w:val="00CC3ABD"/>
    <w:rsid w:val="00CC42C4"/>
    <w:rsid w:val="00CC7420"/>
    <w:rsid w:val="00CD09A5"/>
    <w:rsid w:val="00CD1E4F"/>
    <w:rsid w:val="00CD6EF0"/>
    <w:rsid w:val="00CD793A"/>
    <w:rsid w:val="00CE1F4F"/>
    <w:rsid w:val="00CE771C"/>
    <w:rsid w:val="00CF0D51"/>
    <w:rsid w:val="00CF7618"/>
    <w:rsid w:val="00D003ED"/>
    <w:rsid w:val="00D018FF"/>
    <w:rsid w:val="00D02DE8"/>
    <w:rsid w:val="00D14779"/>
    <w:rsid w:val="00D15597"/>
    <w:rsid w:val="00D21BA6"/>
    <w:rsid w:val="00D30B77"/>
    <w:rsid w:val="00D3156F"/>
    <w:rsid w:val="00D352AA"/>
    <w:rsid w:val="00D35EC9"/>
    <w:rsid w:val="00D36F6D"/>
    <w:rsid w:val="00D37EE2"/>
    <w:rsid w:val="00D42F92"/>
    <w:rsid w:val="00D472CD"/>
    <w:rsid w:val="00D5036F"/>
    <w:rsid w:val="00D50DDA"/>
    <w:rsid w:val="00D670AD"/>
    <w:rsid w:val="00D67174"/>
    <w:rsid w:val="00D67A5F"/>
    <w:rsid w:val="00D70084"/>
    <w:rsid w:val="00D7239F"/>
    <w:rsid w:val="00D772E8"/>
    <w:rsid w:val="00D80921"/>
    <w:rsid w:val="00D94142"/>
    <w:rsid w:val="00DB13DC"/>
    <w:rsid w:val="00DB2787"/>
    <w:rsid w:val="00DB5D35"/>
    <w:rsid w:val="00DB6D18"/>
    <w:rsid w:val="00DC45EB"/>
    <w:rsid w:val="00DD6B0E"/>
    <w:rsid w:val="00DE6D44"/>
    <w:rsid w:val="00DF1CAF"/>
    <w:rsid w:val="00DF38FD"/>
    <w:rsid w:val="00DF7D7C"/>
    <w:rsid w:val="00E12F45"/>
    <w:rsid w:val="00E15E18"/>
    <w:rsid w:val="00E17AC2"/>
    <w:rsid w:val="00E238A2"/>
    <w:rsid w:val="00E24D14"/>
    <w:rsid w:val="00E367F5"/>
    <w:rsid w:val="00E36C3D"/>
    <w:rsid w:val="00E41AB3"/>
    <w:rsid w:val="00E449B7"/>
    <w:rsid w:val="00E45289"/>
    <w:rsid w:val="00E532B7"/>
    <w:rsid w:val="00E536FA"/>
    <w:rsid w:val="00E609EF"/>
    <w:rsid w:val="00E642A5"/>
    <w:rsid w:val="00E824AA"/>
    <w:rsid w:val="00E85E39"/>
    <w:rsid w:val="00E903DC"/>
    <w:rsid w:val="00E90A01"/>
    <w:rsid w:val="00E933AD"/>
    <w:rsid w:val="00E9769F"/>
    <w:rsid w:val="00EA23D5"/>
    <w:rsid w:val="00EA308D"/>
    <w:rsid w:val="00EB0E3C"/>
    <w:rsid w:val="00EB330C"/>
    <w:rsid w:val="00EB43F2"/>
    <w:rsid w:val="00EB4B31"/>
    <w:rsid w:val="00EC0B57"/>
    <w:rsid w:val="00EC3DED"/>
    <w:rsid w:val="00EC4707"/>
    <w:rsid w:val="00EC553F"/>
    <w:rsid w:val="00ED7D41"/>
    <w:rsid w:val="00EF0D40"/>
    <w:rsid w:val="00EF6B26"/>
    <w:rsid w:val="00F035FA"/>
    <w:rsid w:val="00F04245"/>
    <w:rsid w:val="00F1497C"/>
    <w:rsid w:val="00F14D43"/>
    <w:rsid w:val="00F342FA"/>
    <w:rsid w:val="00F36422"/>
    <w:rsid w:val="00F56725"/>
    <w:rsid w:val="00F57BCC"/>
    <w:rsid w:val="00F668DC"/>
    <w:rsid w:val="00F764C1"/>
    <w:rsid w:val="00F7750C"/>
    <w:rsid w:val="00F81BE7"/>
    <w:rsid w:val="00F8547C"/>
    <w:rsid w:val="00F87769"/>
    <w:rsid w:val="00F971DC"/>
    <w:rsid w:val="00FA146D"/>
    <w:rsid w:val="00FA31BE"/>
    <w:rsid w:val="00FA433B"/>
    <w:rsid w:val="00FB485B"/>
    <w:rsid w:val="00FC35EE"/>
    <w:rsid w:val="00FC48CB"/>
    <w:rsid w:val="00FC5AF2"/>
    <w:rsid w:val="00FC664C"/>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3AD2A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430F5C"/>
    <w:pPr>
      <w:ind w:left="720"/>
      <w:contextualSpacing/>
    </w:pPr>
  </w:style>
  <w:style w:type="table" w:styleId="ColorfulGrid-Accent1">
    <w:name w:val="Colorful Grid Accent 1"/>
    <w:basedOn w:val="TableNormal"/>
    <w:uiPriority w:val="29"/>
    <w:qFormat/>
    <w:rsid w:val="001B52C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63"/>
    <w:rsid w:val="001B52C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6">
    <w:name w:val="Medium Grid 3 Accent 6"/>
    <w:basedOn w:val="TableNormal"/>
    <w:uiPriority w:val="60"/>
    <w:rsid w:val="002E4C8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CommentReference">
    <w:name w:val="annotation reference"/>
    <w:basedOn w:val="DefaultParagraphFont"/>
    <w:uiPriority w:val="99"/>
    <w:semiHidden/>
    <w:unhideWhenUsed/>
    <w:rsid w:val="00503385"/>
    <w:rPr>
      <w:sz w:val="16"/>
      <w:szCs w:val="16"/>
    </w:rPr>
  </w:style>
  <w:style w:type="paragraph" w:styleId="CommentText">
    <w:name w:val="annotation text"/>
    <w:basedOn w:val="Normal"/>
    <w:link w:val="CommentTextChar"/>
    <w:uiPriority w:val="99"/>
    <w:semiHidden/>
    <w:unhideWhenUsed/>
    <w:rsid w:val="00503385"/>
  </w:style>
  <w:style w:type="character" w:customStyle="1" w:styleId="CommentTextChar">
    <w:name w:val="Comment Text Char"/>
    <w:basedOn w:val="DefaultParagraphFont"/>
    <w:link w:val="CommentText"/>
    <w:uiPriority w:val="99"/>
    <w:semiHidden/>
    <w:rsid w:val="00503385"/>
    <w:rPr>
      <w:rFonts w:ascii="Verdana" w:hAnsi="Verdana"/>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430F5C"/>
    <w:pPr>
      <w:ind w:left="720"/>
      <w:contextualSpacing/>
    </w:pPr>
  </w:style>
  <w:style w:type="table" w:styleId="ColorfulGrid-Accent1">
    <w:name w:val="Colorful Grid Accent 1"/>
    <w:basedOn w:val="TableNormal"/>
    <w:uiPriority w:val="29"/>
    <w:qFormat/>
    <w:rsid w:val="001B52C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63"/>
    <w:rsid w:val="001B52C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MediumGrid3-Accent6">
    <w:name w:val="Medium Grid 3 Accent 6"/>
    <w:basedOn w:val="TableNormal"/>
    <w:uiPriority w:val="60"/>
    <w:rsid w:val="002E4C8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CommentReference">
    <w:name w:val="annotation reference"/>
    <w:basedOn w:val="DefaultParagraphFont"/>
    <w:uiPriority w:val="99"/>
    <w:semiHidden/>
    <w:unhideWhenUsed/>
    <w:rsid w:val="00503385"/>
    <w:rPr>
      <w:sz w:val="16"/>
      <w:szCs w:val="16"/>
    </w:rPr>
  </w:style>
  <w:style w:type="paragraph" w:styleId="CommentText">
    <w:name w:val="annotation text"/>
    <w:basedOn w:val="Normal"/>
    <w:link w:val="CommentTextChar"/>
    <w:uiPriority w:val="99"/>
    <w:semiHidden/>
    <w:unhideWhenUsed/>
    <w:rsid w:val="00503385"/>
  </w:style>
  <w:style w:type="character" w:customStyle="1" w:styleId="CommentTextChar">
    <w:name w:val="Comment Text Char"/>
    <w:basedOn w:val="DefaultParagraphFont"/>
    <w:link w:val="CommentText"/>
    <w:uiPriority w:val="99"/>
    <w:semiHidden/>
    <w:rsid w:val="00503385"/>
    <w:rPr>
      <w:rFonts w:ascii="Verdana" w:hAnsi="Verdana"/>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1056</TotalTime>
  <Pages>14</Pages>
  <Words>6449</Words>
  <Characters>36760</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c:creator>
  <cp:lastModifiedBy>Andrew Kohler</cp:lastModifiedBy>
  <cp:revision>37</cp:revision>
  <dcterms:created xsi:type="dcterms:W3CDTF">2015-11-19T21:48:00Z</dcterms:created>
  <dcterms:modified xsi:type="dcterms:W3CDTF">2015-11-25T03:20:00Z</dcterms:modified>
</cp:coreProperties>
</file>