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73DF89" w14:textId="1328D430" w:rsidR="00E422BC" w:rsidRDefault="00332C3A" w:rsidP="00293EA8">
      <w:pPr>
        <w:spacing w:line="480" w:lineRule="auto"/>
        <w:rPr>
          <w:rFonts w:eastAsia="Times New Roman"/>
        </w:rPr>
      </w:pPr>
      <w:r>
        <w:tab/>
        <w:t>Paget’s disease</w:t>
      </w:r>
      <w:r w:rsidR="00D52DF0">
        <w:t xml:space="preserve"> of bone</w:t>
      </w:r>
      <w:r>
        <w:t xml:space="preserve"> has also been called “</w:t>
      </w:r>
      <w:r>
        <w:rPr>
          <w:rFonts w:eastAsia="Times New Roman"/>
        </w:rPr>
        <w:t>Osteitis deformans,” reflective of the name’s originator Sir James Paget</w:t>
      </w:r>
      <w:r w:rsidRPr="00332C3A">
        <w:rPr>
          <w:rFonts w:eastAsia="Times New Roman"/>
          <w:vertAlign w:val="superscript"/>
        </w:rPr>
        <w:t>1</w:t>
      </w:r>
      <w:r>
        <w:rPr>
          <w:rFonts w:eastAsia="Times New Roman"/>
        </w:rPr>
        <w:t>.</w:t>
      </w:r>
      <w:r w:rsidR="00627F0D">
        <w:rPr>
          <w:rFonts w:eastAsia="Times New Roman"/>
        </w:rPr>
        <w:t xml:space="preserve"> Paget published a description of a</w:t>
      </w:r>
      <w:r w:rsidR="002457D0">
        <w:rPr>
          <w:rFonts w:eastAsia="Times New Roman"/>
        </w:rPr>
        <w:t>n observed</w:t>
      </w:r>
      <w:r w:rsidR="00627F0D">
        <w:rPr>
          <w:rFonts w:eastAsia="Times New Roman"/>
        </w:rPr>
        <w:t xml:space="preserve"> bone disorder </w:t>
      </w:r>
      <w:r w:rsidR="002457D0">
        <w:rPr>
          <w:rFonts w:eastAsia="Times New Roman"/>
        </w:rPr>
        <w:t xml:space="preserve">in 1877 in </w:t>
      </w:r>
      <w:r w:rsidR="00627F0D">
        <w:rPr>
          <w:rFonts w:eastAsia="Times New Roman"/>
        </w:rPr>
        <w:t>a man and thought it to be stemming from a chronic inflammation of the bone.</w:t>
      </w:r>
      <w:r w:rsidR="002457D0">
        <w:rPr>
          <w:rFonts w:eastAsia="Times New Roman"/>
        </w:rPr>
        <w:t xml:space="preserve"> While his observations may have been correct, his suggested etiology was not. For purposes of clarity, Paget’s disease of bone (PDB) will be used in this paper. PDB is a “focal disruption in the continuous remodeling of bone through the normal relationship between bone resorption and reformation, resulting in a disorganized mechanical structure and formation of thickened, but structurally weakened bone</w:t>
      </w:r>
      <w:r w:rsidR="002457D0" w:rsidRPr="002457D0">
        <w:rPr>
          <w:rFonts w:eastAsia="Times New Roman"/>
          <w:vertAlign w:val="superscript"/>
        </w:rPr>
        <w:t>1</w:t>
      </w:r>
      <w:r w:rsidR="002457D0">
        <w:rPr>
          <w:rFonts w:eastAsia="Times New Roman"/>
        </w:rPr>
        <w:t xml:space="preserve">.” </w:t>
      </w:r>
      <w:r w:rsidR="001C2751">
        <w:rPr>
          <w:rFonts w:eastAsia="Times New Roman"/>
        </w:rPr>
        <w:t>While the exact cause is unknown, it is hypothesized that the main abnormality is increased osteoclast activity, and an increased</w:t>
      </w:r>
      <w:r w:rsidR="002C1248">
        <w:rPr>
          <w:rFonts w:eastAsia="Times New Roman"/>
        </w:rPr>
        <w:t xml:space="preserve"> number and size of osteoclasts</w:t>
      </w:r>
      <w:r w:rsidR="002C1248" w:rsidRPr="002C1248">
        <w:rPr>
          <w:rFonts w:eastAsia="Times New Roman"/>
          <w:vertAlign w:val="superscript"/>
        </w:rPr>
        <w:t>4</w:t>
      </w:r>
      <w:r w:rsidR="001C2751">
        <w:rPr>
          <w:rFonts w:eastAsia="Times New Roman"/>
        </w:rPr>
        <w:t>.</w:t>
      </w:r>
      <w:r w:rsidR="0033172D">
        <w:rPr>
          <w:rFonts w:eastAsia="Times New Roman"/>
        </w:rPr>
        <w:t xml:space="preserve"> </w:t>
      </w:r>
      <w:r w:rsidR="00AE3B2C">
        <w:rPr>
          <w:rFonts w:eastAsia="Times New Roman"/>
        </w:rPr>
        <w:t>PDB is not typically</w:t>
      </w:r>
      <w:r w:rsidR="00DF0968">
        <w:rPr>
          <w:rFonts w:eastAsia="Times New Roman"/>
        </w:rPr>
        <w:t xml:space="preserve"> systemic;</w:t>
      </w:r>
      <w:r w:rsidR="00144627">
        <w:rPr>
          <w:rFonts w:eastAsia="Times New Roman"/>
        </w:rPr>
        <w:t xml:space="preserve"> rather, it </w:t>
      </w:r>
      <w:r w:rsidR="00DF0968">
        <w:rPr>
          <w:rFonts w:eastAsia="Times New Roman"/>
        </w:rPr>
        <w:t>is typically</w:t>
      </w:r>
      <w:r w:rsidR="00144627">
        <w:rPr>
          <w:rFonts w:eastAsia="Times New Roman"/>
        </w:rPr>
        <w:t xml:space="preserve"> </w:t>
      </w:r>
      <w:r w:rsidR="00DF0968">
        <w:rPr>
          <w:rFonts w:eastAsia="Times New Roman"/>
        </w:rPr>
        <w:t xml:space="preserve">a </w:t>
      </w:r>
      <w:r w:rsidR="00D50C61">
        <w:rPr>
          <w:rFonts w:eastAsia="Times New Roman"/>
        </w:rPr>
        <w:t>localized</w:t>
      </w:r>
      <w:r w:rsidR="00144627">
        <w:rPr>
          <w:rFonts w:eastAsia="Times New Roman"/>
        </w:rPr>
        <w:t xml:space="preserve"> </w:t>
      </w:r>
      <w:r w:rsidR="00DF0968">
        <w:rPr>
          <w:rFonts w:eastAsia="Times New Roman"/>
        </w:rPr>
        <w:t>disease</w:t>
      </w:r>
      <w:r w:rsidR="0079470F">
        <w:rPr>
          <w:rFonts w:eastAsia="Times New Roman"/>
        </w:rPr>
        <w:t xml:space="preserve"> that affects a few bones in the body</w:t>
      </w:r>
      <w:r w:rsidR="00707983" w:rsidRPr="00707983">
        <w:rPr>
          <w:rFonts w:eastAsia="Times New Roman"/>
          <w:vertAlign w:val="superscript"/>
        </w:rPr>
        <w:t>1-3</w:t>
      </w:r>
      <w:r w:rsidR="00A23D90" w:rsidRPr="00707983">
        <w:rPr>
          <w:rFonts w:eastAsia="Times New Roman"/>
          <w:vertAlign w:val="superscript"/>
        </w:rPr>
        <w:t>, 9</w:t>
      </w:r>
      <w:r w:rsidR="00144627">
        <w:rPr>
          <w:rFonts w:eastAsia="Times New Roman"/>
        </w:rPr>
        <w:t xml:space="preserve">. </w:t>
      </w:r>
      <w:r w:rsidR="000D224D">
        <w:rPr>
          <w:rFonts w:eastAsia="Times New Roman"/>
        </w:rPr>
        <w:t>The</w:t>
      </w:r>
      <w:r w:rsidR="002C1248">
        <w:rPr>
          <w:rFonts w:eastAsia="Times New Roman"/>
        </w:rPr>
        <w:t xml:space="preserve"> pathogenesis of PDB</w:t>
      </w:r>
      <w:r w:rsidR="000D224D">
        <w:rPr>
          <w:rFonts w:eastAsia="Times New Roman"/>
        </w:rPr>
        <w:t xml:space="preserve"> can be classified into 3 main stages</w:t>
      </w:r>
      <w:r w:rsidR="000D224D" w:rsidRPr="000D224D">
        <w:rPr>
          <w:rFonts w:eastAsia="Times New Roman"/>
          <w:vertAlign w:val="superscript"/>
        </w:rPr>
        <w:t>2</w:t>
      </w:r>
      <w:r w:rsidR="000D224D">
        <w:rPr>
          <w:rFonts w:eastAsia="Times New Roman"/>
        </w:rPr>
        <w:t>, with some including a fourth</w:t>
      </w:r>
      <w:r w:rsidR="00322906" w:rsidRPr="00322906">
        <w:rPr>
          <w:rFonts w:eastAsia="Times New Roman"/>
          <w:vertAlign w:val="superscript"/>
        </w:rPr>
        <w:t>1</w:t>
      </w:r>
      <w:r w:rsidR="00A23D90" w:rsidRPr="00322906">
        <w:rPr>
          <w:rFonts w:eastAsia="Times New Roman"/>
          <w:vertAlign w:val="superscript"/>
        </w:rPr>
        <w:t>,</w:t>
      </w:r>
      <w:r w:rsidR="00A23D90" w:rsidRPr="000D224D">
        <w:rPr>
          <w:rFonts w:eastAsia="Times New Roman"/>
          <w:vertAlign w:val="superscript"/>
        </w:rPr>
        <w:t xml:space="preserve"> 5</w:t>
      </w:r>
      <w:r w:rsidR="002C1248">
        <w:rPr>
          <w:rFonts w:eastAsia="Times New Roman"/>
        </w:rPr>
        <w:t>. The first represents this initial increase in osteoclastic ac</w:t>
      </w:r>
      <w:r w:rsidR="000D224D">
        <w:rPr>
          <w:rFonts w:eastAsia="Times New Roman"/>
        </w:rPr>
        <w:t>tivity in localiz</w:t>
      </w:r>
      <w:r w:rsidR="00322906">
        <w:rPr>
          <w:rFonts w:eastAsia="Times New Roman"/>
        </w:rPr>
        <w:t>ed areas (described previously) and is termed the osteolytic phase. The 2</w:t>
      </w:r>
      <w:r w:rsidR="00322906" w:rsidRPr="00322906">
        <w:rPr>
          <w:rFonts w:eastAsia="Times New Roman"/>
          <w:vertAlign w:val="superscript"/>
        </w:rPr>
        <w:t>nd</w:t>
      </w:r>
      <w:r w:rsidR="00322906">
        <w:rPr>
          <w:rFonts w:eastAsia="Times New Roman"/>
        </w:rPr>
        <w:t xml:space="preserve"> phase, a mixed phase, is when both osteoclastic and osteoblastic activity is occurring. The 3</w:t>
      </w:r>
      <w:r w:rsidR="00322906" w:rsidRPr="00322906">
        <w:rPr>
          <w:rFonts w:eastAsia="Times New Roman"/>
          <w:vertAlign w:val="superscript"/>
        </w:rPr>
        <w:t>rd</w:t>
      </w:r>
      <w:r w:rsidR="00322906">
        <w:rPr>
          <w:rFonts w:eastAsia="Times New Roman"/>
        </w:rPr>
        <w:t xml:space="preserve"> phase is one of osteoblastic activity, where new bone is stimulated to grow. The final stage is referred to as either an inactive sclerotic phase</w:t>
      </w:r>
      <w:r w:rsidR="00322906" w:rsidRPr="00322906">
        <w:rPr>
          <w:rFonts w:eastAsia="Times New Roman"/>
          <w:vertAlign w:val="superscript"/>
        </w:rPr>
        <w:t>2</w:t>
      </w:r>
      <w:r w:rsidR="00322906">
        <w:rPr>
          <w:rFonts w:eastAsia="Times New Roman"/>
        </w:rPr>
        <w:t xml:space="preserve"> or a malignant degeneration</w:t>
      </w:r>
      <w:r w:rsidR="00814D33">
        <w:rPr>
          <w:rFonts w:eastAsia="Times New Roman"/>
        </w:rPr>
        <w:t xml:space="preserve"> phase</w:t>
      </w:r>
      <w:r w:rsidR="00322906" w:rsidRPr="00322906">
        <w:rPr>
          <w:rFonts w:eastAsia="Times New Roman"/>
          <w:vertAlign w:val="superscript"/>
        </w:rPr>
        <w:t>1</w:t>
      </w:r>
      <w:r w:rsidR="00A23D90" w:rsidRPr="00322906">
        <w:rPr>
          <w:rFonts w:eastAsia="Times New Roman"/>
          <w:vertAlign w:val="superscript"/>
        </w:rPr>
        <w:t>, 5</w:t>
      </w:r>
      <w:r w:rsidR="00322906">
        <w:rPr>
          <w:rFonts w:eastAsia="Times New Roman"/>
        </w:rPr>
        <w:t>.</w:t>
      </w:r>
      <w:r w:rsidR="00EB04FA">
        <w:rPr>
          <w:rFonts w:eastAsia="Times New Roman"/>
        </w:rPr>
        <w:t xml:space="preserve"> To better understand the effect these phases have on bone, a basic understanding of normal bone </w:t>
      </w:r>
      <w:r w:rsidR="00E6118B">
        <w:rPr>
          <w:rFonts w:eastAsia="Times New Roman"/>
        </w:rPr>
        <w:t xml:space="preserve">structure and </w:t>
      </w:r>
      <w:r w:rsidR="00EB04FA">
        <w:rPr>
          <w:rFonts w:eastAsia="Times New Roman"/>
        </w:rPr>
        <w:t xml:space="preserve">formation is needed. </w:t>
      </w:r>
    </w:p>
    <w:p w14:paraId="06577CE0" w14:textId="48958A7A" w:rsidR="002C1248" w:rsidRDefault="00E422BC" w:rsidP="00293EA8">
      <w:pPr>
        <w:spacing w:line="480" w:lineRule="auto"/>
        <w:rPr>
          <w:rFonts w:eastAsia="Times New Roman"/>
        </w:rPr>
      </w:pPr>
      <w:r>
        <w:rPr>
          <w:rFonts w:eastAsia="Times New Roman"/>
        </w:rPr>
        <w:tab/>
      </w:r>
      <w:r w:rsidR="009567FE">
        <w:rPr>
          <w:rFonts w:eastAsia="Times New Roman"/>
        </w:rPr>
        <w:t xml:space="preserve">We know that the fiber component of bone is approximately 90% </w:t>
      </w:r>
      <w:r w:rsidR="00455EEA">
        <w:rPr>
          <w:rFonts w:eastAsia="Times New Roman"/>
        </w:rPr>
        <w:t>organic matrix of type I collagen</w:t>
      </w:r>
      <w:r w:rsidR="00455EEA" w:rsidRPr="00455EEA">
        <w:rPr>
          <w:rFonts w:eastAsia="Times New Roman"/>
          <w:vertAlign w:val="superscript"/>
        </w:rPr>
        <w:t>6</w:t>
      </w:r>
      <w:r w:rsidR="00455EEA">
        <w:rPr>
          <w:rFonts w:eastAsia="Times New Roman"/>
        </w:rPr>
        <w:t>. T</w:t>
      </w:r>
      <w:r w:rsidR="009567FE">
        <w:rPr>
          <w:rFonts w:eastAsia="Times New Roman"/>
        </w:rPr>
        <w:t>he ground substance is composed of glycosaminoglycans, cal</w:t>
      </w:r>
      <w:r w:rsidR="00455EEA">
        <w:rPr>
          <w:rFonts w:eastAsia="Times New Roman"/>
        </w:rPr>
        <w:t>cium salts and hyaluronic acid</w:t>
      </w:r>
      <w:r w:rsidR="0062394F" w:rsidRPr="0062394F">
        <w:rPr>
          <w:rFonts w:eastAsia="Times New Roman"/>
          <w:vertAlign w:val="superscript"/>
        </w:rPr>
        <w:t>6</w:t>
      </w:r>
      <w:r w:rsidR="00455EEA">
        <w:rPr>
          <w:rFonts w:eastAsia="Times New Roman"/>
        </w:rPr>
        <w:t>. T</w:t>
      </w:r>
      <w:r w:rsidR="009567FE">
        <w:rPr>
          <w:rFonts w:eastAsia="Times New Roman"/>
        </w:rPr>
        <w:t>he cellular component</w:t>
      </w:r>
      <w:r w:rsidR="00455EEA">
        <w:rPr>
          <w:rFonts w:eastAsia="Times New Roman"/>
        </w:rPr>
        <w:t xml:space="preserve"> of bone consists mainly of osteoblasts and osteoclasts</w:t>
      </w:r>
      <w:r w:rsidR="00455EEA" w:rsidRPr="00455EEA">
        <w:rPr>
          <w:rFonts w:eastAsia="Times New Roman"/>
          <w:vertAlign w:val="superscript"/>
        </w:rPr>
        <w:t>6</w:t>
      </w:r>
      <w:r w:rsidR="00455EEA">
        <w:rPr>
          <w:rFonts w:eastAsia="Times New Roman"/>
        </w:rPr>
        <w:t>.</w:t>
      </w:r>
      <w:r w:rsidR="00502C40">
        <w:rPr>
          <w:rFonts w:eastAsia="Times New Roman"/>
        </w:rPr>
        <w:t xml:space="preserve"> </w:t>
      </w:r>
      <w:r w:rsidR="00ED4BCD">
        <w:rPr>
          <w:rFonts w:eastAsia="Times New Roman"/>
        </w:rPr>
        <w:t>The outer layer of bone, called cortical bone, accounts of about 80% of the total bone mas of an adult skeleton</w:t>
      </w:r>
      <w:r w:rsidR="00ED4BCD" w:rsidRPr="00ED4BCD">
        <w:rPr>
          <w:rFonts w:eastAsia="Times New Roman"/>
          <w:vertAlign w:val="superscript"/>
        </w:rPr>
        <w:t>5</w:t>
      </w:r>
      <w:r w:rsidR="00ED4BCD">
        <w:rPr>
          <w:rFonts w:eastAsia="Times New Roman"/>
        </w:rPr>
        <w:t>. The interior of bone is filled with cancellous or trabecular bone, comprised of bone marrow and stem cells</w:t>
      </w:r>
      <w:r w:rsidR="00ED4BCD" w:rsidRPr="00ED4BCD">
        <w:rPr>
          <w:rFonts w:eastAsia="Times New Roman"/>
          <w:vertAlign w:val="superscript"/>
        </w:rPr>
        <w:t>5</w:t>
      </w:r>
      <w:r w:rsidR="00ED4BCD">
        <w:rPr>
          <w:rFonts w:eastAsia="Times New Roman"/>
        </w:rPr>
        <w:t xml:space="preserve">. </w:t>
      </w:r>
      <w:r w:rsidR="000F78E1">
        <w:rPr>
          <w:rFonts w:eastAsia="Times New Roman"/>
        </w:rPr>
        <w:t xml:space="preserve">When looking at normal bone through a microscope, 2 types can </w:t>
      </w:r>
      <w:r w:rsidR="000F78E1">
        <w:rPr>
          <w:rFonts w:eastAsia="Times New Roman"/>
        </w:rPr>
        <w:lastRenderedPageBreak/>
        <w:t>be identified according to the pattern of collagen</w:t>
      </w:r>
      <w:r w:rsidR="000F78E1" w:rsidRPr="000F78E1">
        <w:rPr>
          <w:rFonts w:eastAsia="Times New Roman"/>
          <w:vertAlign w:val="superscript"/>
        </w:rPr>
        <w:t>7</w:t>
      </w:r>
      <w:r w:rsidR="000F78E1">
        <w:rPr>
          <w:rFonts w:eastAsia="Times New Roman"/>
        </w:rPr>
        <w:t>. Woven bone is mechanically weak due to a “haphazard” organization of collagen fibers</w:t>
      </w:r>
      <w:r w:rsidR="000F78E1" w:rsidRPr="000F78E1">
        <w:rPr>
          <w:rFonts w:eastAsia="Times New Roman"/>
          <w:vertAlign w:val="superscript"/>
        </w:rPr>
        <w:t>7</w:t>
      </w:r>
      <w:r w:rsidR="000F78E1">
        <w:rPr>
          <w:rFonts w:eastAsia="Times New Roman"/>
        </w:rPr>
        <w:t>. Lamellar bone is mechanically stronger due to a parallel arrangement of collagen fibers into sheets</w:t>
      </w:r>
      <w:r w:rsidR="000F78E1" w:rsidRPr="000F78E1">
        <w:rPr>
          <w:rFonts w:eastAsia="Times New Roman"/>
          <w:vertAlign w:val="superscript"/>
        </w:rPr>
        <w:t>7</w:t>
      </w:r>
      <w:r w:rsidR="000F78E1">
        <w:rPr>
          <w:rFonts w:eastAsia="Times New Roman"/>
        </w:rPr>
        <w:t xml:space="preserve">. </w:t>
      </w:r>
      <w:r w:rsidR="00E96717">
        <w:rPr>
          <w:rFonts w:eastAsia="Times New Roman"/>
        </w:rPr>
        <w:t xml:space="preserve">PDB, with </w:t>
      </w:r>
      <w:r w:rsidR="008438A1">
        <w:rPr>
          <w:rFonts w:eastAsia="Times New Roman"/>
        </w:rPr>
        <w:t xml:space="preserve">its </w:t>
      </w:r>
      <w:r w:rsidR="00E96717">
        <w:rPr>
          <w:rFonts w:eastAsia="Times New Roman"/>
        </w:rPr>
        <w:t>characteristic</w:t>
      </w:r>
      <w:r w:rsidR="008438A1">
        <w:rPr>
          <w:rFonts w:eastAsia="Times New Roman"/>
        </w:rPr>
        <w:t>ally</w:t>
      </w:r>
      <w:r w:rsidR="00E96717">
        <w:rPr>
          <w:rFonts w:eastAsia="Times New Roman"/>
        </w:rPr>
        <w:t xml:space="preserve"> </w:t>
      </w:r>
      <w:r w:rsidR="00F52AE9">
        <w:rPr>
          <w:rFonts w:eastAsia="Times New Roman"/>
        </w:rPr>
        <w:t xml:space="preserve">high turnover and constant remodeling of bone, </w:t>
      </w:r>
      <w:r w:rsidR="00E96717">
        <w:rPr>
          <w:rFonts w:eastAsia="Times New Roman"/>
        </w:rPr>
        <w:t xml:space="preserve">causes </w:t>
      </w:r>
      <w:r w:rsidR="00ED4BCD">
        <w:rPr>
          <w:rFonts w:eastAsia="Times New Roman"/>
        </w:rPr>
        <w:t xml:space="preserve">trabecular numbers </w:t>
      </w:r>
      <w:r w:rsidR="00E96717">
        <w:rPr>
          <w:rFonts w:eastAsia="Times New Roman"/>
        </w:rPr>
        <w:t xml:space="preserve">to </w:t>
      </w:r>
      <w:r w:rsidR="00ED4BCD">
        <w:rPr>
          <w:rFonts w:eastAsia="Times New Roman"/>
        </w:rPr>
        <w:t>increase rather than thickness</w:t>
      </w:r>
      <w:r w:rsidR="00ED4BCD" w:rsidRPr="00ED4BCD">
        <w:rPr>
          <w:rFonts w:eastAsia="Times New Roman"/>
          <w:vertAlign w:val="superscript"/>
        </w:rPr>
        <w:t>1</w:t>
      </w:r>
      <w:r w:rsidR="00ED4BCD">
        <w:rPr>
          <w:rFonts w:eastAsia="Times New Roman"/>
        </w:rPr>
        <w:t>. This results in an increase in cancellous bone volume and fibrosis at the trabecular bone surface, in addition to hypervasularity</w:t>
      </w:r>
      <w:r w:rsidR="00ED4BCD" w:rsidRPr="00ED4BCD">
        <w:rPr>
          <w:rFonts w:eastAsia="Times New Roman"/>
          <w:vertAlign w:val="superscript"/>
        </w:rPr>
        <w:t>1</w:t>
      </w:r>
      <w:r w:rsidR="00ED4BCD">
        <w:rPr>
          <w:rFonts w:eastAsia="Times New Roman"/>
        </w:rPr>
        <w:t xml:space="preserve">. </w:t>
      </w:r>
      <w:r w:rsidR="00811444">
        <w:rPr>
          <w:rFonts w:eastAsia="Times New Roman"/>
        </w:rPr>
        <w:t xml:space="preserve">The fibrous connective tissue </w:t>
      </w:r>
      <w:r w:rsidR="00BE1BA3">
        <w:rPr>
          <w:rFonts w:eastAsia="Times New Roman"/>
        </w:rPr>
        <w:t xml:space="preserve">that </w:t>
      </w:r>
      <w:r w:rsidR="00811444">
        <w:rPr>
          <w:rFonts w:eastAsia="Times New Roman"/>
        </w:rPr>
        <w:t>is laid down</w:t>
      </w:r>
      <w:r w:rsidR="003A26C5">
        <w:rPr>
          <w:rFonts w:eastAsia="Times New Roman"/>
        </w:rPr>
        <w:t xml:space="preserve"> by osteoblasts</w:t>
      </w:r>
      <w:r w:rsidR="00811444">
        <w:rPr>
          <w:rFonts w:eastAsia="Times New Roman"/>
        </w:rPr>
        <w:t xml:space="preserve"> i</w:t>
      </w:r>
      <w:r w:rsidR="003A26C5">
        <w:rPr>
          <w:rFonts w:eastAsia="Times New Roman"/>
        </w:rPr>
        <w:t>s done so i</w:t>
      </w:r>
      <w:r w:rsidR="00811444">
        <w:rPr>
          <w:rFonts w:eastAsia="Times New Roman"/>
        </w:rPr>
        <w:t xml:space="preserve">n a </w:t>
      </w:r>
      <w:r w:rsidR="003A26C5">
        <w:rPr>
          <w:rFonts w:eastAsia="Times New Roman"/>
        </w:rPr>
        <w:t>more random,</w:t>
      </w:r>
      <w:r w:rsidR="002B282B">
        <w:rPr>
          <w:rFonts w:eastAsia="Times New Roman"/>
        </w:rPr>
        <w:t xml:space="preserve"> </w:t>
      </w:r>
      <w:r w:rsidR="00811444">
        <w:rPr>
          <w:rFonts w:eastAsia="Times New Roman"/>
        </w:rPr>
        <w:t>“mosaic” pattern</w:t>
      </w:r>
      <w:r w:rsidR="003A26C5">
        <w:rPr>
          <w:rFonts w:eastAsia="Times New Roman"/>
        </w:rPr>
        <w:t>. The fibrous tissue</w:t>
      </w:r>
      <w:r w:rsidR="00811444">
        <w:rPr>
          <w:rFonts w:eastAsia="Times New Roman"/>
        </w:rPr>
        <w:t xml:space="preserve"> </w:t>
      </w:r>
      <w:r w:rsidR="00BE1BA3">
        <w:rPr>
          <w:rFonts w:eastAsia="Times New Roman"/>
        </w:rPr>
        <w:t xml:space="preserve">fills in the spaces where the resorbed bone </w:t>
      </w:r>
      <w:r w:rsidR="003A26C5">
        <w:rPr>
          <w:rFonts w:eastAsia="Times New Roman"/>
        </w:rPr>
        <w:t xml:space="preserve">once </w:t>
      </w:r>
      <w:r w:rsidR="00BE1BA3">
        <w:rPr>
          <w:rFonts w:eastAsia="Times New Roman"/>
        </w:rPr>
        <w:t xml:space="preserve">was </w:t>
      </w:r>
      <w:r w:rsidR="0087338F">
        <w:rPr>
          <w:rFonts w:eastAsia="Times New Roman"/>
        </w:rPr>
        <w:t xml:space="preserve">and </w:t>
      </w:r>
      <w:r w:rsidR="00717C10">
        <w:rPr>
          <w:rFonts w:eastAsia="Times New Roman"/>
        </w:rPr>
        <w:t xml:space="preserve">is </w:t>
      </w:r>
      <w:r w:rsidR="00BE1BA3">
        <w:rPr>
          <w:rFonts w:eastAsia="Times New Roman"/>
        </w:rPr>
        <w:t>structurally</w:t>
      </w:r>
      <w:r w:rsidR="00717C10">
        <w:rPr>
          <w:rFonts w:eastAsia="Times New Roman"/>
        </w:rPr>
        <w:t xml:space="preserve"> </w:t>
      </w:r>
      <w:r w:rsidR="00696783">
        <w:rPr>
          <w:rFonts w:eastAsia="Times New Roman"/>
        </w:rPr>
        <w:t>weak</w:t>
      </w:r>
      <w:r w:rsidR="003A26C5">
        <w:rPr>
          <w:rFonts w:eastAsia="Times New Roman"/>
        </w:rPr>
        <w:t>er</w:t>
      </w:r>
      <w:r w:rsidR="00696783">
        <w:rPr>
          <w:rFonts w:eastAsia="Times New Roman"/>
        </w:rPr>
        <w:t xml:space="preserve"> and </w:t>
      </w:r>
      <w:r w:rsidR="00717C10">
        <w:rPr>
          <w:rFonts w:eastAsia="Times New Roman"/>
        </w:rPr>
        <w:t>similar to woven bone</w:t>
      </w:r>
      <w:r w:rsidR="00717C10" w:rsidRPr="00717C10">
        <w:rPr>
          <w:rFonts w:eastAsia="Times New Roman"/>
          <w:vertAlign w:val="superscript"/>
        </w:rPr>
        <w:t>1,</w:t>
      </w:r>
      <w:r w:rsidR="00696783">
        <w:rPr>
          <w:rFonts w:eastAsia="Times New Roman"/>
          <w:vertAlign w:val="superscript"/>
        </w:rPr>
        <w:t>4,</w:t>
      </w:r>
      <w:r w:rsidR="00717C10" w:rsidRPr="00717C10">
        <w:rPr>
          <w:rFonts w:eastAsia="Times New Roman"/>
          <w:vertAlign w:val="superscript"/>
        </w:rPr>
        <w:t>7</w:t>
      </w:r>
      <w:r w:rsidR="00717C10">
        <w:rPr>
          <w:rFonts w:eastAsia="Times New Roman"/>
        </w:rPr>
        <w:t xml:space="preserve">. </w:t>
      </w:r>
      <w:r w:rsidR="00C86159">
        <w:rPr>
          <w:rFonts w:eastAsia="Times New Roman"/>
        </w:rPr>
        <w:t xml:space="preserve">Figure 1 shows the differences between healthy trabecular bone (bottom) compared with a bone affected by PDB. Of significance </w:t>
      </w:r>
      <w:r w:rsidR="00BE6789">
        <w:rPr>
          <w:rFonts w:eastAsia="Times New Roman"/>
        </w:rPr>
        <w:t>are the very high numbers</w:t>
      </w:r>
      <w:r w:rsidR="00C86159">
        <w:rPr>
          <w:rFonts w:eastAsia="Times New Roman"/>
        </w:rPr>
        <w:t xml:space="preserve"> of osteoblasts surrounding the unorganized and misshapen trabeculae in the bone affected by PDB. </w:t>
      </w:r>
      <w:r w:rsidR="00717C10">
        <w:rPr>
          <w:rFonts w:eastAsia="Times New Roman"/>
        </w:rPr>
        <w:t xml:space="preserve">This contributes to the overall decrease in strength of </w:t>
      </w:r>
      <w:r w:rsidR="00B26677">
        <w:rPr>
          <w:rFonts w:eastAsia="Times New Roman"/>
        </w:rPr>
        <w:t>remodeled</w:t>
      </w:r>
      <w:r w:rsidR="00717C10">
        <w:rPr>
          <w:rFonts w:eastAsia="Times New Roman"/>
        </w:rPr>
        <w:t xml:space="preserve"> bone from PDB.</w:t>
      </w:r>
      <w:r w:rsidR="00811444">
        <w:rPr>
          <w:rFonts w:eastAsia="Times New Roman"/>
        </w:rPr>
        <w:t xml:space="preserve"> </w:t>
      </w:r>
      <w:r w:rsidR="002B282B">
        <w:rPr>
          <w:rFonts w:eastAsia="Times New Roman"/>
        </w:rPr>
        <w:t>If you ever find yourself having trouble remembering how PDB is caused, just think “Osteoblasts Gone Wild” (not to be confused with a popular DVD series that can be bought online).</w:t>
      </w:r>
    </w:p>
    <w:p w14:paraId="39504307" w14:textId="56528A3B" w:rsidR="004825AB" w:rsidRDefault="004825AB" w:rsidP="00293EA8">
      <w:pPr>
        <w:spacing w:line="480" w:lineRule="auto"/>
        <w:rPr>
          <w:rFonts w:eastAsia="Times New Roman"/>
        </w:rPr>
      </w:pPr>
      <w:r>
        <w:rPr>
          <w:rFonts w:eastAsia="Times New Roman"/>
        </w:rPr>
        <w:tab/>
        <w:t xml:space="preserve">Interestingly, there appears to be </w:t>
      </w:r>
      <w:r w:rsidR="003E7624">
        <w:rPr>
          <w:rFonts w:eastAsia="Times New Roman"/>
        </w:rPr>
        <w:t xml:space="preserve">both </w:t>
      </w:r>
      <w:r w:rsidR="0014310C">
        <w:rPr>
          <w:rFonts w:eastAsia="Times New Roman"/>
        </w:rPr>
        <w:t xml:space="preserve">a </w:t>
      </w:r>
      <w:r>
        <w:rPr>
          <w:rFonts w:eastAsia="Times New Roman"/>
        </w:rPr>
        <w:t>genetic</w:t>
      </w:r>
      <w:r w:rsidR="0014310C">
        <w:rPr>
          <w:rFonts w:eastAsia="Times New Roman"/>
        </w:rPr>
        <w:t xml:space="preserve"> (or hereditary)</w:t>
      </w:r>
      <w:r>
        <w:rPr>
          <w:rFonts w:eastAsia="Times New Roman"/>
        </w:rPr>
        <w:t xml:space="preserve"> </w:t>
      </w:r>
      <w:r w:rsidR="003E7624">
        <w:rPr>
          <w:rFonts w:eastAsia="Times New Roman"/>
        </w:rPr>
        <w:t xml:space="preserve">and environmental </w:t>
      </w:r>
      <w:r>
        <w:rPr>
          <w:rFonts w:eastAsia="Times New Roman"/>
        </w:rPr>
        <w:t>component to this disease</w:t>
      </w:r>
      <w:r w:rsidR="006B2C4D">
        <w:rPr>
          <w:rFonts w:eastAsia="Times New Roman"/>
          <w:vertAlign w:val="superscript"/>
        </w:rPr>
        <w:t>1-</w:t>
      </w:r>
      <w:r w:rsidRPr="004825AB">
        <w:rPr>
          <w:rFonts w:eastAsia="Times New Roman"/>
          <w:vertAlign w:val="superscript"/>
        </w:rPr>
        <w:t>5</w:t>
      </w:r>
      <w:r>
        <w:rPr>
          <w:rFonts w:eastAsia="Times New Roman"/>
        </w:rPr>
        <w:t>.</w:t>
      </w:r>
      <w:r w:rsidR="003E7624">
        <w:rPr>
          <w:rFonts w:eastAsia="Times New Roman"/>
        </w:rPr>
        <w:t xml:space="preserve"> </w:t>
      </w:r>
      <w:r w:rsidR="00A561A4">
        <w:rPr>
          <w:rFonts w:eastAsia="Times New Roman"/>
        </w:rPr>
        <w:t xml:space="preserve">A family history of PDB has been found in about 15% of positive cases and the risk of developing the disease increases </w:t>
      </w:r>
      <w:r w:rsidR="00C60D31">
        <w:rPr>
          <w:rFonts w:eastAsia="Times New Roman"/>
        </w:rPr>
        <w:t xml:space="preserve">by </w:t>
      </w:r>
      <w:r w:rsidR="00A561A4">
        <w:rPr>
          <w:rFonts w:eastAsia="Times New Roman"/>
        </w:rPr>
        <w:t>7-10 times the general population</w:t>
      </w:r>
      <w:r w:rsidR="00A561A4" w:rsidRPr="00A561A4">
        <w:rPr>
          <w:rFonts w:eastAsia="Times New Roman"/>
          <w:vertAlign w:val="superscript"/>
        </w:rPr>
        <w:t>1</w:t>
      </w:r>
      <w:r w:rsidR="00AC42E0">
        <w:rPr>
          <w:rFonts w:eastAsia="Times New Roman"/>
          <w:vertAlign w:val="superscript"/>
        </w:rPr>
        <w:t>,5</w:t>
      </w:r>
      <w:r w:rsidR="00A561A4">
        <w:rPr>
          <w:rFonts w:eastAsia="Times New Roman"/>
        </w:rPr>
        <w:t xml:space="preserve">. </w:t>
      </w:r>
      <w:r w:rsidR="008B7852">
        <w:rPr>
          <w:rFonts w:eastAsia="Times New Roman"/>
        </w:rPr>
        <w:t>The gene</w:t>
      </w:r>
      <w:r w:rsidR="003E7624">
        <w:rPr>
          <w:rFonts w:eastAsia="Times New Roman"/>
        </w:rPr>
        <w:t xml:space="preserve"> SQSTM1 and</w:t>
      </w:r>
      <w:r w:rsidR="008B7852">
        <w:rPr>
          <w:rFonts w:eastAsia="Times New Roman"/>
        </w:rPr>
        <w:t xml:space="preserve"> the receptor</w:t>
      </w:r>
      <w:r w:rsidR="003E7624">
        <w:rPr>
          <w:rFonts w:eastAsia="Times New Roman"/>
        </w:rPr>
        <w:t xml:space="preserve"> RANK, along with certain regions of chromosome 5 and 6, are have been studied and identified as </w:t>
      </w:r>
      <w:r w:rsidR="00024FCD">
        <w:rPr>
          <w:rFonts w:eastAsia="Times New Roman"/>
        </w:rPr>
        <w:t>factors in the development</w:t>
      </w:r>
      <w:r w:rsidR="003E7624">
        <w:rPr>
          <w:rFonts w:eastAsia="Times New Roman"/>
        </w:rPr>
        <w:t xml:space="preserve"> </w:t>
      </w:r>
      <w:r w:rsidR="00024FCD">
        <w:rPr>
          <w:rFonts w:eastAsia="Times New Roman"/>
        </w:rPr>
        <w:t xml:space="preserve">of </w:t>
      </w:r>
      <w:r w:rsidR="003E7624">
        <w:rPr>
          <w:rFonts w:eastAsia="Times New Roman"/>
        </w:rPr>
        <w:t>PDB</w:t>
      </w:r>
      <w:r w:rsidR="00CE63E7" w:rsidRPr="00CE63E7">
        <w:rPr>
          <w:rFonts w:eastAsia="Times New Roman"/>
          <w:vertAlign w:val="superscript"/>
        </w:rPr>
        <w:t>1,4,5</w:t>
      </w:r>
      <w:r w:rsidR="003E7624">
        <w:rPr>
          <w:rFonts w:eastAsia="Times New Roman"/>
        </w:rPr>
        <w:t xml:space="preserve">. The gene SQSTM1 encodes a protein called p62 that is involved in regulating the </w:t>
      </w:r>
      <w:r w:rsidR="003C4970">
        <w:rPr>
          <w:rFonts w:eastAsia="Times New Roman"/>
        </w:rPr>
        <w:t>activity</w:t>
      </w:r>
      <w:r w:rsidR="003E7624">
        <w:rPr>
          <w:rFonts w:eastAsia="Times New Roman"/>
        </w:rPr>
        <w:t xml:space="preserve"> of osteoclasts</w:t>
      </w:r>
      <w:r w:rsidR="003C4970">
        <w:rPr>
          <w:rFonts w:eastAsia="Times New Roman"/>
        </w:rPr>
        <w:t xml:space="preserve">. Around 25-50% of those with familial </w:t>
      </w:r>
      <w:r w:rsidR="00A561A4">
        <w:rPr>
          <w:rFonts w:eastAsia="Times New Roman"/>
        </w:rPr>
        <w:t xml:space="preserve">PDB </w:t>
      </w:r>
      <w:r w:rsidR="003C4970">
        <w:rPr>
          <w:rFonts w:eastAsia="Times New Roman"/>
        </w:rPr>
        <w:t xml:space="preserve">and 10-20% of </w:t>
      </w:r>
      <w:r w:rsidR="008B47FB">
        <w:rPr>
          <w:rFonts w:eastAsia="Times New Roman"/>
        </w:rPr>
        <w:t>those without a family history develop this gene mutation</w:t>
      </w:r>
      <w:r w:rsidR="008B47FB" w:rsidRPr="008B47FB">
        <w:rPr>
          <w:rFonts w:eastAsia="Times New Roman"/>
          <w:vertAlign w:val="superscript"/>
        </w:rPr>
        <w:t>1</w:t>
      </w:r>
      <w:r w:rsidR="008B47FB">
        <w:rPr>
          <w:rFonts w:eastAsia="Times New Roman"/>
        </w:rPr>
        <w:t>.</w:t>
      </w:r>
      <w:r w:rsidR="008B7852">
        <w:rPr>
          <w:rFonts w:eastAsia="Times New Roman"/>
        </w:rPr>
        <w:t xml:space="preserve"> The RANK receptor is a type I membrane protein that is housed on the surface of osteoclasts</w:t>
      </w:r>
      <w:r w:rsidR="008B7852" w:rsidRPr="008B7852">
        <w:rPr>
          <w:rFonts w:eastAsia="Times New Roman"/>
          <w:vertAlign w:val="superscript"/>
        </w:rPr>
        <w:t>1,4</w:t>
      </w:r>
      <w:r w:rsidR="008B7852">
        <w:rPr>
          <w:rFonts w:eastAsia="Times New Roman"/>
        </w:rPr>
        <w:t>. It is involved in their activation once ligand binding has occured</w:t>
      </w:r>
      <w:r w:rsidR="008B7852" w:rsidRPr="008B7852">
        <w:rPr>
          <w:rFonts w:eastAsia="Times New Roman"/>
          <w:vertAlign w:val="superscript"/>
        </w:rPr>
        <w:t>1</w:t>
      </w:r>
      <w:r w:rsidR="008B7852">
        <w:rPr>
          <w:rFonts w:eastAsia="Times New Roman"/>
        </w:rPr>
        <w:t>.</w:t>
      </w:r>
      <w:r w:rsidR="00AC42E0">
        <w:rPr>
          <w:rFonts w:eastAsia="Times New Roman"/>
        </w:rPr>
        <w:t xml:space="preserve"> Low-quality evidence has suggested the following environmental influences</w:t>
      </w:r>
      <w:r w:rsidR="007147EC">
        <w:rPr>
          <w:rFonts w:eastAsia="Times New Roman"/>
        </w:rPr>
        <w:t xml:space="preserve"> on PDB formation:</w:t>
      </w:r>
      <w:r w:rsidR="00AC42E0">
        <w:rPr>
          <w:rFonts w:eastAsia="Times New Roman"/>
        </w:rPr>
        <w:t xml:space="preserve"> low dietary calcium intake or vitamin D deficiency during childhood, zoonotic (</w:t>
      </w:r>
      <w:r w:rsidR="007147EC">
        <w:rPr>
          <w:rFonts w:eastAsia="Times New Roman"/>
        </w:rPr>
        <w:t>spread from animal to human</w:t>
      </w:r>
      <w:r w:rsidR="00AC42E0">
        <w:rPr>
          <w:rFonts w:eastAsia="Times New Roman"/>
        </w:rPr>
        <w:t>) infections, viral infections, and occupational exposure to toxins</w:t>
      </w:r>
      <w:r w:rsidR="007147EC" w:rsidRPr="007147EC">
        <w:rPr>
          <w:rFonts w:eastAsia="Times New Roman"/>
          <w:vertAlign w:val="superscript"/>
        </w:rPr>
        <w:t>1,5</w:t>
      </w:r>
      <w:r w:rsidR="007147EC">
        <w:rPr>
          <w:rFonts w:eastAsia="Times New Roman"/>
        </w:rPr>
        <w:t>.</w:t>
      </w:r>
      <w:r w:rsidR="006D05B5">
        <w:rPr>
          <w:rFonts w:eastAsia="Times New Roman"/>
        </w:rPr>
        <w:t xml:space="preserve"> The only environmental trigger that has been studied in-depth enough to form any conclusion is paramyxovirus infection</w:t>
      </w:r>
      <w:r w:rsidR="006B2C4D">
        <w:rPr>
          <w:rFonts w:eastAsia="Times New Roman"/>
          <w:vertAlign w:val="superscript"/>
        </w:rPr>
        <w:t>1-</w:t>
      </w:r>
      <w:r w:rsidR="006D05B5" w:rsidRPr="006D05B5">
        <w:rPr>
          <w:rFonts w:eastAsia="Times New Roman"/>
          <w:vertAlign w:val="superscript"/>
        </w:rPr>
        <w:t>5</w:t>
      </w:r>
      <w:r w:rsidR="006D05B5">
        <w:rPr>
          <w:rFonts w:eastAsia="Times New Roman"/>
        </w:rPr>
        <w:t>.</w:t>
      </w:r>
      <w:r w:rsidR="00CB3A39">
        <w:rPr>
          <w:rFonts w:eastAsia="Times New Roman"/>
        </w:rPr>
        <w:t xml:space="preserve"> These are slow-virus infections and are composed of a single-strand of RNA (similar to mumps or measles)</w:t>
      </w:r>
      <w:r w:rsidR="00CB3A39" w:rsidRPr="00CB3A39">
        <w:rPr>
          <w:rFonts w:eastAsia="Times New Roman"/>
          <w:vertAlign w:val="superscript"/>
        </w:rPr>
        <w:t>1,4</w:t>
      </w:r>
      <w:r w:rsidR="00CB3A39">
        <w:rPr>
          <w:rFonts w:eastAsia="Times New Roman"/>
        </w:rPr>
        <w:t>. These viruses have been found inside the nuclei and cytoplasm of osteoclasts in PDB, suggesting their possible involvement with this disease. However, published evidence has been inconclusive and controversial</w:t>
      </w:r>
      <w:r w:rsidR="00C659C1">
        <w:rPr>
          <w:rFonts w:eastAsia="Times New Roman"/>
        </w:rPr>
        <w:t xml:space="preserve"> up to this point</w:t>
      </w:r>
      <w:r w:rsidR="00CB3A39" w:rsidRPr="00CB3A39">
        <w:rPr>
          <w:rFonts w:eastAsia="Times New Roman"/>
          <w:vertAlign w:val="superscript"/>
        </w:rPr>
        <w:t>1,4</w:t>
      </w:r>
      <w:r w:rsidR="00CB3A39">
        <w:rPr>
          <w:rFonts w:eastAsia="Times New Roman"/>
        </w:rPr>
        <w:t>.</w:t>
      </w:r>
    </w:p>
    <w:p w14:paraId="56309BF9" w14:textId="7226855D" w:rsidR="00692FC5" w:rsidRDefault="00692FC5" w:rsidP="00293EA8">
      <w:pPr>
        <w:spacing w:line="480" w:lineRule="auto"/>
        <w:rPr>
          <w:rFonts w:eastAsia="Times New Roman"/>
        </w:rPr>
      </w:pPr>
      <w:r>
        <w:rPr>
          <w:rFonts w:eastAsia="Times New Roman"/>
        </w:rPr>
        <w:tab/>
      </w:r>
      <w:r w:rsidR="00DC6701">
        <w:rPr>
          <w:rFonts w:eastAsia="Times New Roman"/>
        </w:rPr>
        <w:t xml:space="preserve">It has been reported that </w:t>
      </w:r>
      <w:r w:rsidR="00EE2CF6">
        <w:rPr>
          <w:rFonts w:eastAsia="Times New Roman"/>
        </w:rPr>
        <w:t>PDB is the second most common skeletal disorder after osteoporosis</w:t>
      </w:r>
      <w:r w:rsidR="009F1EDF">
        <w:rPr>
          <w:rFonts w:eastAsia="Times New Roman"/>
        </w:rPr>
        <w:t xml:space="preserve"> and that it affects men more than women (3:2)</w:t>
      </w:r>
      <w:r w:rsidR="006B2C4D">
        <w:rPr>
          <w:rFonts w:eastAsia="Times New Roman"/>
          <w:vertAlign w:val="superscript"/>
        </w:rPr>
        <w:t>1-</w:t>
      </w:r>
      <w:r w:rsidR="009F1EDF" w:rsidRPr="009F1EDF">
        <w:rPr>
          <w:rFonts w:eastAsia="Times New Roman"/>
          <w:vertAlign w:val="superscript"/>
        </w:rPr>
        <w:t>5</w:t>
      </w:r>
      <w:r w:rsidR="009F1EDF">
        <w:rPr>
          <w:rFonts w:eastAsia="Times New Roman"/>
        </w:rPr>
        <w:t xml:space="preserve">. </w:t>
      </w:r>
      <w:r w:rsidR="00244E67">
        <w:rPr>
          <w:rFonts w:eastAsia="Times New Roman"/>
        </w:rPr>
        <w:t>Estimates of</w:t>
      </w:r>
      <w:r w:rsidR="00D11BBE">
        <w:rPr>
          <w:rFonts w:eastAsia="Times New Roman"/>
        </w:rPr>
        <w:t xml:space="preserve"> 1</w:t>
      </w:r>
      <w:r w:rsidR="00244E67">
        <w:rPr>
          <w:rFonts w:eastAsia="Times New Roman"/>
        </w:rPr>
        <w:t>-2</w:t>
      </w:r>
      <w:r w:rsidR="00D11BBE">
        <w:rPr>
          <w:rFonts w:eastAsia="Times New Roman"/>
        </w:rPr>
        <w:t xml:space="preserve"> million people in the US have Paget’s disease</w:t>
      </w:r>
      <w:r w:rsidR="00D11BBE" w:rsidRPr="00D11BBE">
        <w:rPr>
          <w:rFonts w:eastAsia="Times New Roman"/>
          <w:vertAlign w:val="superscript"/>
        </w:rPr>
        <w:t>9</w:t>
      </w:r>
      <w:r w:rsidR="00D11BBE">
        <w:rPr>
          <w:rFonts w:eastAsia="Times New Roman"/>
        </w:rPr>
        <w:t xml:space="preserve">. </w:t>
      </w:r>
      <w:r w:rsidR="009F1EDF">
        <w:rPr>
          <w:rFonts w:eastAsia="Times New Roman"/>
        </w:rPr>
        <w:t>Estimates for prevalence in the US range from 1%-4% in individuals under the age of 50 and up to 11% in those over 70 years old</w:t>
      </w:r>
      <w:r w:rsidR="009F1EDF" w:rsidRPr="009F1EDF">
        <w:rPr>
          <w:rFonts w:eastAsia="Times New Roman"/>
          <w:vertAlign w:val="superscript"/>
        </w:rPr>
        <w:t>1,3,4</w:t>
      </w:r>
      <w:r w:rsidR="009F1EDF">
        <w:rPr>
          <w:rFonts w:eastAsia="Times New Roman"/>
        </w:rPr>
        <w:t xml:space="preserve">. </w:t>
      </w:r>
      <w:r w:rsidR="006B2C4D">
        <w:rPr>
          <w:rFonts w:eastAsia="Times New Roman"/>
        </w:rPr>
        <w:t>However, discrepancies exist in prevalence estimates, as one recent study showed estimates of 1-2% of the US population with almost identical distribution between whites and blacks, as well as between the sexes as well</w:t>
      </w:r>
      <w:r w:rsidR="006B2C4D" w:rsidRPr="006B2C4D">
        <w:rPr>
          <w:rFonts w:eastAsia="Times New Roman"/>
          <w:vertAlign w:val="superscript"/>
        </w:rPr>
        <w:t>3</w:t>
      </w:r>
      <w:r w:rsidR="006B2C4D">
        <w:rPr>
          <w:rFonts w:eastAsia="Times New Roman"/>
        </w:rPr>
        <w:t>.</w:t>
      </w:r>
      <w:r w:rsidR="0025031F">
        <w:rPr>
          <w:rFonts w:eastAsia="Times New Roman"/>
        </w:rPr>
        <w:t xml:space="preserve"> This could be due to the nature of diagnosing PDB, which will be discussed later. </w:t>
      </w:r>
      <w:r w:rsidR="009D3E63">
        <w:rPr>
          <w:rFonts w:eastAsia="Times New Roman"/>
        </w:rPr>
        <w:t>Patterns of geographic variation in PDB exist, with more people affected in Western Europe, Australia and New Zealand</w:t>
      </w:r>
      <w:r w:rsidR="009D3E63" w:rsidRPr="009D3E63">
        <w:rPr>
          <w:rFonts w:eastAsia="Times New Roman"/>
          <w:vertAlign w:val="superscript"/>
        </w:rPr>
        <w:t>4,5</w:t>
      </w:r>
      <w:r w:rsidR="009D3E63">
        <w:rPr>
          <w:rFonts w:eastAsia="Times New Roman"/>
        </w:rPr>
        <w:t xml:space="preserve">. It is thought that British migrants to Australia and New Zealand brought the disease over with them in years past. </w:t>
      </w:r>
      <w:r w:rsidR="00721947">
        <w:rPr>
          <w:rFonts w:eastAsia="Times New Roman"/>
        </w:rPr>
        <w:t xml:space="preserve">Particular towns or regions with much higher prevalence </w:t>
      </w:r>
      <w:r w:rsidR="009D3E63">
        <w:rPr>
          <w:rFonts w:eastAsia="Times New Roman"/>
        </w:rPr>
        <w:t>Africa, Asia, Scandinavia, India and Japan have the lowest rates of PDB on the planet</w:t>
      </w:r>
      <w:r w:rsidR="009D3E63" w:rsidRPr="009D3E63">
        <w:rPr>
          <w:rFonts w:eastAsia="Times New Roman"/>
          <w:vertAlign w:val="superscript"/>
        </w:rPr>
        <w:t>1,2,4,5</w:t>
      </w:r>
      <w:r w:rsidR="009D3E63">
        <w:rPr>
          <w:rFonts w:eastAsia="Times New Roman"/>
        </w:rPr>
        <w:t>.</w:t>
      </w:r>
      <w:r w:rsidR="00C9632D">
        <w:rPr>
          <w:rFonts w:eastAsia="Times New Roman"/>
        </w:rPr>
        <w:t xml:space="preserve"> A recent systematic review discussed 9 paired surveys and the prevalence of PDB compared between surveys</w:t>
      </w:r>
      <w:r w:rsidR="00625BAA" w:rsidRPr="00625BAA">
        <w:rPr>
          <w:rFonts w:eastAsia="Times New Roman"/>
          <w:vertAlign w:val="superscript"/>
        </w:rPr>
        <w:t>8</w:t>
      </w:r>
      <w:r w:rsidR="00625BAA">
        <w:rPr>
          <w:rFonts w:eastAsia="Times New Roman"/>
        </w:rPr>
        <w:t>.</w:t>
      </w:r>
      <w:r w:rsidR="004D6E23">
        <w:rPr>
          <w:rFonts w:eastAsia="Times New Roman"/>
        </w:rPr>
        <w:t xml:space="preserve"> The authors found that prevalence had decreased </w:t>
      </w:r>
      <w:r w:rsidR="00DD6191">
        <w:rPr>
          <w:rFonts w:eastAsia="Times New Roman"/>
        </w:rPr>
        <w:t>by 36% over 8-19 years, with changes being most marked in areas with the highest prevalence</w:t>
      </w:r>
      <w:r w:rsidR="00DD6191" w:rsidRPr="00DD6191">
        <w:rPr>
          <w:rFonts w:eastAsia="Times New Roman"/>
          <w:vertAlign w:val="superscript"/>
        </w:rPr>
        <w:t>1,8</w:t>
      </w:r>
      <w:r w:rsidR="00DD6191">
        <w:rPr>
          <w:rFonts w:eastAsia="Times New Roman"/>
        </w:rPr>
        <w:t>. This suggests that environmental factors may have changed over</w:t>
      </w:r>
      <w:r w:rsidR="00837AD3">
        <w:rPr>
          <w:rFonts w:eastAsia="Times New Roman"/>
        </w:rPr>
        <w:t xml:space="preserve"> the years in these countries and that there is interaction between genetic factors and environmental </w:t>
      </w:r>
      <w:r w:rsidR="0058308E">
        <w:rPr>
          <w:rFonts w:eastAsia="Times New Roman"/>
        </w:rPr>
        <w:t>triggers, which may differ</w:t>
      </w:r>
      <w:r w:rsidR="00837AD3">
        <w:rPr>
          <w:rFonts w:eastAsia="Times New Roman"/>
        </w:rPr>
        <w:t xml:space="preserve"> in different regions</w:t>
      </w:r>
      <w:r w:rsidR="00837AD3" w:rsidRPr="00837AD3">
        <w:rPr>
          <w:rFonts w:eastAsia="Times New Roman"/>
          <w:vertAlign w:val="superscript"/>
        </w:rPr>
        <w:t>8</w:t>
      </w:r>
      <w:r w:rsidR="00837AD3">
        <w:rPr>
          <w:rFonts w:eastAsia="Times New Roman"/>
        </w:rPr>
        <w:t>.</w:t>
      </w:r>
    </w:p>
    <w:p w14:paraId="1358BC3A" w14:textId="730769EA" w:rsidR="00D12E08" w:rsidRDefault="00D12E08" w:rsidP="00293EA8">
      <w:pPr>
        <w:spacing w:line="480" w:lineRule="auto"/>
        <w:rPr>
          <w:rFonts w:eastAsia="Times New Roman"/>
        </w:rPr>
      </w:pPr>
      <w:r>
        <w:rPr>
          <w:rFonts w:eastAsia="Times New Roman"/>
        </w:rPr>
        <w:tab/>
        <w:t>There are a few standard methods for detection and diagnosis of PDB. The most common method of diagnosis is through the use of radiographic imaging</w:t>
      </w:r>
      <w:r w:rsidRPr="00D12E08">
        <w:rPr>
          <w:rFonts w:eastAsia="Times New Roman"/>
          <w:vertAlign w:val="superscript"/>
        </w:rPr>
        <w:t>1-4</w:t>
      </w:r>
      <w:r>
        <w:rPr>
          <w:rFonts w:eastAsia="Times New Roman"/>
        </w:rPr>
        <w:t>.</w:t>
      </w:r>
      <w:r w:rsidR="006F6380">
        <w:rPr>
          <w:rFonts w:eastAsia="Times New Roman"/>
        </w:rPr>
        <w:t xml:space="preserve"> An x-ray is normally taken in at least one skeletal area (normally a painful spot); these can also help with the detection of fractures or other secondary conditions</w:t>
      </w:r>
      <w:r w:rsidR="006F6380" w:rsidRPr="006F6380">
        <w:rPr>
          <w:rFonts w:eastAsia="Times New Roman"/>
          <w:vertAlign w:val="superscript"/>
        </w:rPr>
        <w:t>3</w:t>
      </w:r>
      <w:r w:rsidR="006F6380">
        <w:rPr>
          <w:rFonts w:eastAsia="Times New Roman"/>
        </w:rPr>
        <w:t>. An isotopic bone scan, or Scintigraphy, is a highly sensitive but not necessarily a specific method of diagnosis</w:t>
      </w:r>
      <w:r w:rsidR="006F6380" w:rsidRPr="006F6380">
        <w:rPr>
          <w:rFonts w:eastAsia="Times New Roman"/>
          <w:vertAlign w:val="superscript"/>
        </w:rPr>
        <w:t>1-4</w:t>
      </w:r>
      <w:r w:rsidR="006F6380">
        <w:rPr>
          <w:rFonts w:eastAsia="Times New Roman"/>
        </w:rPr>
        <w:t>. Scintigraphy will cause osteoblasts and osteoclasts to demonstrate increased uptake of the marker in all phases of the disease</w:t>
      </w:r>
      <w:r w:rsidR="006F6380" w:rsidRPr="006F6380">
        <w:rPr>
          <w:rFonts w:eastAsia="Times New Roman"/>
          <w:vertAlign w:val="superscript"/>
        </w:rPr>
        <w:t>2</w:t>
      </w:r>
      <w:r w:rsidR="006F6380">
        <w:rPr>
          <w:rFonts w:eastAsia="Times New Roman"/>
        </w:rPr>
        <w:t>. PDB does not normally create new lesions over time, so scintigraph</w:t>
      </w:r>
      <w:r w:rsidR="00B04098">
        <w:rPr>
          <w:rFonts w:eastAsia="Times New Roman"/>
        </w:rPr>
        <w:t>y can help track disease extent</w:t>
      </w:r>
      <w:r w:rsidR="006F6380" w:rsidRPr="006F6380">
        <w:rPr>
          <w:rFonts w:eastAsia="Times New Roman"/>
          <w:vertAlign w:val="superscript"/>
        </w:rPr>
        <w:t>4</w:t>
      </w:r>
      <w:r w:rsidR="006F6380">
        <w:rPr>
          <w:rFonts w:eastAsia="Times New Roman"/>
        </w:rPr>
        <w:t>. In addition, bone scintigraphy can detect lesions that are metabolically active, while those that are inactive will only show up on x-ray</w:t>
      </w:r>
      <w:r w:rsidR="006F6380" w:rsidRPr="006F6380">
        <w:rPr>
          <w:rFonts w:eastAsia="Times New Roman"/>
          <w:vertAlign w:val="superscript"/>
        </w:rPr>
        <w:t>1</w:t>
      </w:r>
      <w:r w:rsidR="006F6380">
        <w:rPr>
          <w:rFonts w:eastAsia="Times New Roman"/>
        </w:rPr>
        <w:t>. This is why these two methods are commonly the primary means of detection in individuals suspected of having PDB. CT and MRIs are not used as commonly in this population, even though their resolutions are fairly high</w:t>
      </w:r>
      <w:r w:rsidR="006F6380" w:rsidRPr="006F6380">
        <w:rPr>
          <w:rFonts w:eastAsia="Times New Roman"/>
          <w:vertAlign w:val="superscript"/>
        </w:rPr>
        <w:t>1</w:t>
      </w:r>
      <w:r w:rsidR="006F6380">
        <w:rPr>
          <w:rFonts w:eastAsia="Times New Roman"/>
        </w:rPr>
        <w:t xml:space="preserve">. </w:t>
      </w:r>
      <w:r w:rsidR="004E7ED1">
        <w:rPr>
          <w:rFonts w:eastAsia="Times New Roman"/>
        </w:rPr>
        <w:t xml:space="preserve">Figure 2 shows numerous radiographic images of bones affected by PDB. </w:t>
      </w:r>
      <w:r w:rsidR="006F6380">
        <w:rPr>
          <w:rFonts w:eastAsia="Times New Roman"/>
        </w:rPr>
        <w:t>They are used to help rule out possible differential diagnoses.</w:t>
      </w:r>
      <w:r w:rsidR="007C3B66">
        <w:rPr>
          <w:rFonts w:eastAsia="Times New Roman"/>
        </w:rPr>
        <w:t xml:space="preserve"> It is not uncommon for the results of these radiographic image studies to be inconclusive, so a bone biopsy may also be performed to help confirm or rule out PDB</w:t>
      </w:r>
      <w:r w:rsidR="007C3B66" w:rsidRPr="007C3B66">
        <w:rPr>
          <w:rFonts w:eastAsia="Times New Roman"/>
          <w:vertAlign w:val="superscript"/>
        </w:rPr>
        <w:t>1,3,4</w:t>
      </w:r>
      <w:r w:rsidR="007C3B66">
        <w:rPr>
          <w:rFonts w:eastAsia="Times New Roman"/>
        </w:rPr>
        <w:t>.</w:t>
      </w:r>
      <w:r w:rsidR="00327E5A">
        <w:rPr>
          <w:rFonts w:eastAsia="Times New Roman"/>
        </w:rPr>
        <w:t xml:space="preserve"> A fairly simple test to aid in the diagnosis of PDB is a blood test; PDB causes increased amounts of the enzyme serum alkaline phosphatase (ALP) to be produced</w:t>
      </w:r>
      <w:r w:rsidR="00327E5A" w:rsidRPr="00327E5A">
        <w:rPr>
          <w:rFonts w:eastAsia="Times New Roman"/>
          <w:vertAlign w:val="superscript"/>
        </w:rPr>
        <w:t>1-5</w:t>
      </w:r>
      <w:r w:rsidR="00327E5A">
        <w:rPr>
          <w:rFonts w:eastAsia="Times New Roman"/>
        </w:rPr>
        <w:t xml:space="preserve">. </w:t>
      </w:r>
      <w:r w:rsidR="004D2096">
        <w:rPr>
          <w:rFonts w:eastAsia="Times New Roman"/>
        </w:rPr>
        <w:t>ALP is synthesized by osteoblasts and is thought to be involved with the calcification of bone matrix</w:t>
      </w:r>
      <w:r w:rsidR="004D2096" w:rsidRPr="004D2096">
        <w:rPr>
          <w:rFonts w:eastAsia="Times New Roman"/>
          <w:vertAlign w:val="superscript"/>
        </w:rPr>
        <w:t>9</w:t>
      </w:r>
      <w:r w:rsidR="004D2096">
        <w:rPr>
          <w:rFonts w:eastAsia="Times New Roman"/>
        </w:rPr>
        <w:t xml:space="preserve">. </w:t>
      </w:r>
      <w:r w:rsidR="00327E5A">
        <w:rPr>
          <w:rFonts w:eastAsia="Times New Roman"/>
        </w:rPr>
        <w:t>An elevated ALP, in combination with normal levels of calcium, phosphate, and aminotransferase in elderly patients is suggestive of PDB</w:t>
      </w:r>
      <w:r w:rsidR="00327E5A" w:rsidRPr="00327E5A">
        <w:rPr>
          <w:rFonts w:eastAsia="Times New Roman"/>
          <w:vertAlign w:val="superscript"/>
        </w:rPr>
        <w:t>1</w:t>
      </w:r>
      <w:r w:rsidR="00327E5A">
        <w:rPr>
          <w:rFonts w:eastAsia="Times New Roman"/>
        </w:rPr>
        <w:t>. Around 85% of patients with PDB have elevated levels of ALP, making it a fairly common test to use</w:t>
      </w:r>
      <w:r w:rsidR="00327E5A" w:rsidRPr="00327E5A">
        <w:rPr>
          <w:rFonts w:eastAsia="Times New Roman"/>
          <w:vertAlign w:val="superscript"/>
        </w:rPr>
        <w:t>3</w:t>
      </w:r>
      <w:r w:rsidR="007B45E5">
        <w:rPr>
          <w:rFonts w:eastAsia="Times New Roman"/>
        </w:rPr>
        <w:t>.</w:t>
      </w:r>
    </w:p>
    <w:p w14:paraId="23E8ACBD" w14:textId="1AA39EBC" w:rsidR="00D54517" w:rsidRDefault="007B45E5" w:rsidP="00293EA8">
      <w:pPr>
        <w:spacing w:line="480" w:lineRule="auto"/>
        <w:rPr>
          <w:rFonts w:eastAsia="Times New Roman"/>
        </w:rPr>
      </w:pPr>
      <w:r>
        <w:rPr>
          <w:rFonts w:eastAsia="Times New Roman"/>
        </w:rPr>
        <w:tab/>
      </w:r>
      <w:r w:rsidR="00961DF9">
        <w:rPr>
          <w:rFonts w:eastAsia="Times New Roman"/>
        </w:rPr>
        <w:t>Often times, a patient with Paget’s disease will not know that they have it</w:t>
      </w:r>
      <w:r w:rsidR="008B4051">
        <w:rPr>
          <w:rFonts w:eastAsia="Times New Roman"/>
        </w:rPr>
        <w:t xml:space="preserve"> (</w:t>
      </w:r>
      <w:r w:rsidR="00731E96">
        <w:rPr>
          <w:rFonts w:eastAsia="Times New Roman"/>
        </w:rPr>
        <w:t xml:space="preserve">around </w:t>
      </w:r>
      <w:r w:rsidR="008B4051">
        <w:rPr>
          <w:rFonts w:eastAsia="Times New Roman"/>
        </w:rPr>
        <w:t>75%)</w:t>
      </w:r>
      <w:r w:rsidR="008B4051" w:rsidRPr="008B4051">
        <w:rPr>
          <w:rFonts w:eastAsia="Times New Roman"/>
          <w:vertAlign w:val="superscript"/>
        </w:rPr>
        <w:t>2</w:t>
      </w:r>
      <w:r w:rsidR="00961DF9">
        <w:rPr>
          <w:rFonts w:eastAsia="Times New Roman"/>
        </w:rPr>
        <w:t>. They can remain asymptomatic for years, well into their 50’s and 60’s</w:t>
      </w:r>
      <w:r w:rsidR="008B7CF3" w:rsidRPr="008B7CF3">
        <w:rPr>
          <w:rFonts w:eastAsia="Times New Roman"/>
          <w:vertAlign w:val="superscript"/>
        </w:rPr>
        <w:t>1-4</w:t>
      </w:r>
      <w:r w:rsidR="008B7CF3">
        <w:rPr>
          <w:rFonts w:eastAsia="Times New Roman"/>
        </w:rPr>
        <w:t>. Patients typically see their PCP for either a related or unrelated symptom, have an x-ray, and find out they have PDB.</w:t>
      </w:r>
      <w:r w:rsidR="004C228D">
        <w:rPr>
          <w:rFonts w:eastAsia="Times New Roman"/>
        </w:rPr>
        <w:t xml:space="preserve"> Characteristics and clinical presentations of this disease are highly variable, as there are different levels of severity</w:t>
      </w:r>
      <w:r w:rsidR="004C228D" w:rsidRPr="004C228D">
        <w:rPr>
          <w:rFonts w:eastAsia="Times New Roman"/>
          <w:vertAlign w:val="superscript"/>
        </w:rPr>
        <w:t>1,3</w:t>
      </w:r>
      <w:r w:rsidR="004C228D">
        <w:rPr>
          <w:rFonts w:eastAsia="Times New Roman"/>
        </w:rPr>
        <w:t>. The number one symptom characteristic of PDB is pain</w:t>
      </w:r>
      <w:r w:rsidR="004C228D" w:rsidRPr="004C228D">
        <w:rPr>
          <w:rFonts w:eastAsia="Times New Roman"/>
          <w:vertAlign w:val="superscript"/>
        </w:rPr>
        <w:t>1-6, 9</w:t>
      </w:r>
      <w:r w:rsidR="004C228D">
        <w:rPr>
          <w:rFonts w:eastAsia="Times New Roman"/>
        </w:rPr>
        <w:t xml:space="preserve">. </w:t>
      </w:r>
      <w:r w:rsidR="000007AE">
        <w:rPr>
          <w:rFonts w:eastAsia="Times New Roman"/>
        </w:rPr>
        <w:t xml:space="preserve">Common pain descriptors </w:t>
      </w:r>
      <w:r w:rsidR="00A945A6">
        <w:rPr>
          <w:rFonts w:eastAsia="Times New Roman"/>
        </w:rPr>
        <w:t>include “constant, deep, and aching</w:t>
      </w:r>
      <w:r w:rsidR="00A945A6" w:rsidRPr="00C47C6D">
        <w:rPr>
          <w:rFonts w:eastAsia="Times New Roman"/>
          <w:vertAlign w:val="superscript"/>
        </w:rPr>
        <w:t>3</w:t>
      </w:r>
      <w:r w:rsidR="00A945A6">
        <w:rPr>
          <w:rFonts w:eastAsia="Times New Roman"/>
        </w:rPr>
        <w:t>.”</w:t>
      </w:r>
      <w:r w:rsidR="00C47C6D">
        <w:rPr>
          <w:rFonts w:eastAsia="Times New Roman"/>
        </w:rPr>
        <w:t xml:space="preserve"> Joint pain involving swelling and stiffness can damage cartilage surrounding the joints</w:t>
      </w:r>
      <w:r w:rsidR="00C47C6D" w:rsidRPr="00C47C6D">
        <w:rPr>
          <w:rFonts w:eastAsia="Times New Roman"/>
          <w:vertAlign w:val="superscript"/>
        </w:rPr>
        <w:t>3</w:t>
      </w:r>
      <w:r w:rsidR="00C47C6D">
        <w:rPr>
          <w:rFonts w:eastAsia="Times New Roman"/>
        </w:rPr>
        <w:t>. Muscular pain may surface as referred pain from bony structures involved or as associated with mechanical changes from bone deficits</w:t>
      </w:r>
      <w:r w:rsidR="00C47C6D" w:rsidRPr="00C47C6D">
        <w:rPr>
          <w:rFonts w:eastAsia="Times New Roman"/>
          <w:vertAlign w:val="superscript"/>
        </w:rPr>
        <w:t>3</w:t>
      </w:r>
      <w:r w:rsidR="00C47C6D">
        <w:rPr>
          <w:rFonts w:eastAsia="Times New Roman"/>
        </w:rPr>
        <w:t xml:space="preserve">. </w:t>
      </w:r>
      <w:r w:rsidR="00C5040F">
        <w:rPr>
          <w:rFonts w:eastAsia="Times New Roman"/>
        </w:rPr>
        <w:t>Neurological pain due to a compressed spinal cord or nerve root may cause sharp pain, numbness, weakness, hearing loss</w:t>
      </w:r>
      <w:r w:rsidR="0082492B">
        <w:rPr>
          <w:rFonts w:eastAsia="Times New Roman"/>
        </w:rPr>
        <w:t>, and double vision</w:t>
      </w:r>
      <w:r w:rsidR="0082492B" w:rsidRPr="0082492B">
        <w:rPr>
          <w:rFonts w:eastAsia="Times New Roman"/>
          <w:vertAlign w:val="superscript"/>
        </w:rPr>
        <w:t>3</w:t>
      </w:r>
      <w:r w:rsidR="0082492B">
        <w:rPr>
          <w:rFonts w:eastAsia="Times New Roman"/>
        </w:rPr>
        <w:t xml:space="preserve">. </w:t>
      </w:r>
      <w:r w:rsidR="004D1EB8">
        <w:rPr>
          <w:rFonts w:eastAsia="Times New Roman"/>
        </w:rPr>
        <w:t>Common presenting symptoms are bone tenderness, increased focal t</w:t>
      </w:r>
      <w:r w:rsidR="00A23D90">
        <w:rPr>
          <w:rFonts w:eastAsia="Times New Roman"/>
        </w:rPr>
        <w:t>emperature (due to hypervascularit</w:t>
      </w:r>
      <w:r w:rsidR="004D1EB8">
        <w:rPr>
          <w:rFonts w:eastAsia="Times New Roman"/>
        </w:rPr>
        <w:t>y), increased bone size, bowing deformities, kyphosis of the spine, decreased range of motion, fractures, and neurological involvement</w:t>
      </w:r>
      <w:r w:rsidR="004D1EB8" w:rsidRPr="004D1EB8">
        <w:rPr>
          <w:rFonts w:eastAsia="Times New Roman"/>
          <w:vertAlign w:val="superscript"/>
        </w:rPr>
        <w:t>1-5</w:t>
      </w:r>
      <w:r w:rsidR="004D1EB8">
        <w:rPr>
          <w:rFonts w:eastAsia="Times New Roman"/>
        </w:rPr>
        <w:t xml:space="preserve">. As you can </w:t>
      </w:r>
      <w:r w:rsidR="000007AE">
        <w:rPr>
          <w:rFonts w:eastAsia="Times New Roman"/>
        </w:rPr>
        <w:t>imagine</w:t>
      </w:r>
      <w:r w:rsidR="004D1EB8">
        <w:rPr>
          <w:rFonts w:eastAsia="Times New Roman"/>
        </w:rPr>
        <w:t>, the multitude of symptoms can make it difficult to know which are caused by PDB and which are associated with complications from aging.</w:t>
      </w:r>
      <w:r w:rsidR="00D54517">
        <w:rPr>
          <w:rFonts w:eastAsia="Times New Roman"/>
        </w:rPr>
        <w:t xml:space="preserve"> The bones that are typically affected by PDB include all levels of the spine, pelvis, femur, tibia, skull, and ribs</w:t>
      </w:r>
      <w:r w:rsidR="00D54517" w:rsidRPr="002457D0">
        <w:rPr>
          <w:rFonts w:eastAsia="Times New Roman"/>
          <w:vertAlign w:val="superscript"/>
        </w:rPr>
        <w:t>1,2,3</w:t>
      </w:r>
      <w:r w:rsidR="00D54517">
        <w:rPr>
          <w:rFonts w:eastAsia="Times New Roman"/>
        </w:rPr>
        <w:t>.</w:t>
      </w:r>
      <w:r w:rsidR="002A51ED">
        <w:rPr>
          <w:rFonts w:eastAsia="Times New Roman"/>
        </w:rPr>
        <w:t xml:space="preserve"> </w:t>
      </w:r>
      <w:r w:rsidR="004E7ED1">
        <w:rPr>
          <w:rFonts w:eastAsia="Times New Roman"/>
        </w:rPr>
        <w:t xml:space="preserve">Refer to </w:t>
      </w:r>
      <w:r w:rsidR="002A51ED">
        <w:rPr>
          <w:rFonts w:eastAsia="Times New Roman"/>
        </w:rPr>
        <w:t xml:space="preserve">Figure 2 </w:t>
      </w:r>
      <w:r w:rsidR="004E7ED1">
        <w:rPr>
          <w:rFonts w:eastAsia="Times New Roman"/>
        </w:rPr>
        <w:t xml:space="preserve">for </w:t>
      </w:r>
      <w:r w:rsidR="00B450EB">
        <w:rPr>
          <w:rFonts w:eastAsia="Times New Roman"/>
        </w:rPr>
        <w:t xml:space="preserve">radiographs demonstrating how PDB affects many </w:t>
      </w:r>
      <w:r w:rsidR="00947C2A">
        <w:rPr>
          <w:rFonts w:eastAsia="Times New Roman"/>
        </w:rPr>
        <w:t xml:space="preserve">different bones and Figure 3 for </w:t>
      </w:r>
      <w:r w:rsidR="00021690">
        <w:rPr>
          <w:rFonts w:eastAsia="Times New Roman"/>
        </w:rPr>
        <w:t>photographs</w:t>
      </w:r>
      <w:r w:rsidR="00947C2A">
        <w:rPr>
          <w:rFonts w:eastAsia="Times New Roman"/>
        </w:rPr>
        <w:t xml:space="preserve"> of clinical presentations of PDB.</w:t>
      </w:r>
    </w:p>
    <w:p w14:paraId="5B27CC31" w14:textId="6FC82E57" w:rsidR="00C5040F" w:rsidRDefault="004B6BEB" w:rsidP="00293EA8">
      <w:pPr>
        <w:spacing w:line="480" w:lineRule="auto"/>
        <w:rPr>
          <w:rFonts w:eastAsia="Times New Roman"/>
        </w:rPr>
      </w:pPr>
      <w:r>
        <w:rPr>
          <w:rFonts w:eastAsia="Times New Roman"/>
        </w:rPr>
        <w:tab/>
        <w:t xml:space="preserve">PDB has many associated co-morbidities and can lead </w:t>
      </w:r>
      <w:bookmarkStart w:id="0" w:name="_GoBack"/>
      <w:bookmarkEnd w:id="0"/>
      <w:r>
        <w:rPr>
          <w:rFonts w:eastAsia="Times New Roman"/>
        </w:rPr>
        <w:t xml:space="preserve">to the development of other harmful conditions. </w:t>
      </w:r>
      <w:r w:rsidR="0082492B">
        <w:rPr>
          <w:rFonts w:eastAsia="Times New Roman"/>
        </w:rPr>
        <w:t xml:space="preserve">Involvement of the skull can cause narrowing of the cranial nerve foramina, resulting in deafness (~50%), seizures, brainstem syndromes, </w:t>
      </w:r>
      <w:r>
        <w:rPr>
          <w:rFonts w:eastAsia="Times New Roman"/>
        </w:rPr>
        <w:t xml:space="preserve">dizziness, </w:t>
      </w:r>
      <w:r w:rsidR="0082492B">
        <w:rPr>
          <w:rFonts w:eastAsia="Times New Roman"/>
        </w:rPr>
        <w:t>and/or headaches</w:t>
      </w:r>
      <w:r w:rsidR="0082492B" w:rsidRPr="0082492B">
        <w:rPr>
          <w:rFonts w:eastAsia="Times New Roman"/>
          <w:vertAlign w:val="superscript"/>
        </w:rPr>
        <w:t>1</w:t>
      </w:r>
      <w:r>
        <w:rPr>
          <w:rFonts w:eastAsia="Times New Roman"/>
          <w:vertAlign w:val="superscript"/>
        </w:rPr>
        <w:t>,5</w:t>
      </w:r>
      <w:r w:rsidR="0082492B">
        <w:rPr>
          <w:rFonts w:eastAsia="Times New Roman"/>
        </w:rPr>
        <w:t>.</w:t>
      </w:r>
      <w:r w:rsidR="00C5040F">
        <w:rPr>
          <w:rFonts w:eastAsia="Times New Roman"/>
        </w:rPr>
        <w:t xml:space="preserve"> </w:t>
      </w:r>
      <w:r w:rsidR="000F1133">
        <w:rPr>
          <w:rFonts w:eastAsia="Times New Roman"/>
        </w:rPr>
        <w:t>Deafness is common due to cranial nerve 8 compression. Cardiovascular problems may occur when 1/3 to 1/2 of the skeleton is involved</w:t>
      </w:r>
      <w:r w:rsidR="000F1133" w:rsidRPr="000F1133">
        <w:rPr>
          <w:rFonts w:eastAsia="Times New Roman"/>
          <w:vertAlign w:val="superscript"/>
        </w:rPr>
        <w:t>1,3</w:t>
      </w:r>
      <w:r w:rsidR="007C63AD">
        <w:rPr>
          <w:rFonts w:eastAsia="Times New Roman"/>
          <w:vertAlign w:val="superscript"/>
        </w:rPr>
        <w:t>,9</w:t>
      </w:r>
      <w:r w:rsidR="000F1133">
        <w:rPr>
          <w:rFonts w:eastAsia="Times New Roman"/>
        </w:rPr>
        <w:t>. This is due to the increased arteriovenous connections (hypervascularity) that form in the bone</w:t>
      </w:r>
      <w:r w:rsidR="000F1133" w:rsidRPr="000F1133">
        <w:rPr>
          <w:rFonts w:eastAsia="Times New Roman"/>
          <w:vertAlign w:val="superscript"/>
        </w:rPr>
        <w:t>3</w:t>
      </w:r>
      <w:r w:rsidR="000F1133">
        <w:rPr>
          <w:rFonts w:eastAsia="Times New Roman"/>
        </w:rPr>
        <w:t>. The heart must pump harder to ensure adequate perfusion. Increased cardiac output can cause aortic valve calcification, with resulting stenosis and left ventricular hypertrophy, and eventually congestive heart failure</w:t>
      </w:r>
      <w:r w:rsidR="000F1133">
        <w:rPr>
          <w:rFonts w:eastAsia="Times New Roman"/>
          <w:vertAlign w:val="superscript"/>
        </w:rPr>
        <w:t>1,</w:t>
      </w:r>
      <w:r w:rsidR="00853FC8">
        <w:rPr>
          <w:rFonts w:eastAsia="Times New Roman"/>
          <w:vertAlign w:val="superscript"/>
        </w:rPr>
        <w:t>2,</w:t>
      </w:r>
      <w:r w:rsidR="000F1133" w:rsidRPr="000F1133">
        <w:rPr>
          <w:rFonts w:eastAsia="Times New Roman"/>
          <w:vertAlign w:val="superscript"/>
        </w:rPr>
        <w:t>3</w:t>
      </w:r>
      <w:r w:rsidR="007C63AD">
        <w:rPr>
          <w:rFonts w:eastAsia="Times New Roman"/>
          <w:vertAlign w:val="superscript"/>
        </w:rPr>
        <w:t>,9</w:t>
      </w:r>
      <w:r w:rsidR="000F1133">
        <w:rPr>
          <w:rFonts w:eastAsia="Times New Roman"/>
        </w:rPr>
        <w:t>.</w:t>
      </w:r>
      <w:r w:rsidR="007C63AD">
        <w:rPr>
          <w:rFonts w:eastAsia="Times New Roman"/>
        </w:rPr>
        <w:t xml:space="preserve"> Arthritis in the leg can develop from bowing of bones and associated joint surface damage</w:t>
      </w:r>
      <w:r w:rsidR="007C63AD" w:rsidRPr="007C63AD">
        <w:rPr>
          <w:rFonts w:eastAsia="Times New Roman"/>
          <w:vertAlign w:val="superscript"/>
        </w:rPr>
        <w:t>3,9</w:t>
      </w:r>
      <w:r w:rsidR="007C63AD">
        <w:rPr>
          <w:rFonts w:eastAsia="Times New Roman"/>
        </w:rPr>
        <w:t xml:space="preserve">. </w:t>
      </w:r>
      <w:r w:rsidR="003D4858">
        <w:rPr>
          <w:rFonts w:eastAsia="Times New Roman"/>
        </w:rPr>
        <w:t>As discussed, individuals with PDB have a much higher risk of fracturing involved bones. An epidemiological study in 2002 found that elderly patients with PDB are 3 times more likely to need a hip replacement and 7 times more likely to need a knee replacement than age-matched controls without the disease</w:t>
      </w:r>
      <w:r w:rsidR="003D4858" w:rsidRPr="007E76E8">
        <w:rPr>
          <w:rFonts w:eastAsia="Times New Roman"/>
          <w:vertAlign w:val="superscript"/>
        </w:rPr>
        <w:t>10</w:t>
      </w:r>
      <w:r w:rsidR="003D4858">
        <w:rPr>
          <w:rFonts w:eastAsia="Times New Roman"/>
        </w:rPr>
        <w:t>.</w:t>
      </w:r>
      <w:r w:rsidR="00C12E87">
        <w:rPr>
          <w:rFonts w:eastAsia="Times New Roman"/>
        </w:rPr>
        <w:t xml:space="preserve"> Vertebral compression fractures can occur in this population</w:t>
      </w:r>
      <w:r w:rsidR="00C12E87" w:rsidRPr="00C12E87">
        <w:rPr>
          <w:rFonts w:eastAsia="Times New Roman"/>
          <w:vertAlign w:val="superscript"/>
        </w:rPr>
        <w:t>3</w:t>
      </w:r>
      <w:r w:rsidR="00C12E87">
        <w:rPr>
          <w:rFonts w:eastAsia="Times New Roman"/>
        </w:rPr>
        <w:t xml:space="preserve">. </w:t>
      </w:r>
      <w:r w:rsidR="007C63AD">
        <w:rPr>
          <w:rFonts w:eastAsia="Times New Roman"/>
        </w:rPr>
        <w:t xml:space="preserve">Kidney stones </w:t>
      </w:r>
      <w:r w:rsidR="008354CC">
        <w:rPr>
          <w:rFonts w:eastAsia="Times New Roman"/>
        </w:rPr>
        <w:t xml:space="preserve">and hyperparathyroidism </w:t>
      </w:r>
      <w:r w:rsidR="007C63AD">
        <w:rPr>
          <w:rFonts w:eastAsia="Times New Roman"/>
        </w:rPr>
        <w:t>are more common in patients with PDB</w:t>
      </w:r>
      <w:r w:rsidR="00853FC8" w:rsidRPr="00853FC8">
        <w:rPr>
          <w:rFonts w:eastAsia="Times New Roman"/>
          <w:vertAlign w:val="superscript"/>
        </w:rPr>
        <w:t>2,</w:t>
      </w:r>
      <w:r w:rsidR="007C63AD" w:rsidRPr="007C63AD">
        <w:rPr>
          <w:rFonts w:eastAsia="Times New Roman"/>
          <w:vertAlign w:val="superscript"/>
        </w:rPr>
        <w:t>3,9</w:t>
      </w:r>
      <w:r w:rsidR="007C63AD">
        <w:rPr>
          <w:rFonts w:eastAsia="Times New Roman"/>
        </w:rPr>
        <w:t>. When PDB affects the face and jaw, it may loosen teeth and make chewing more difficult</w:t>
      </w:r>
      <w:r w:rsidR="007C63AD" w:rsidRPr="007C63AD">
        <w:rPr>
          <w:rFonts w:eastAsia="Times New Roman"/>
          <w:vertAlign w:val="superscript"/>
        </w:rPr>
        <w:t>3,9</w:t>
      </w:r>
      <w:r w:rsidR="007C63AD">
        <w:rPr>
          <w:rFonts w:eastAsia="Times New Roman"/>
        </w:rPr>
        <w:t>. In some rare cases, PDB is associated with osteosarcoma (less than 1%)</w:t>
      </w:r>
      <w:r w:rsidR="007C63AD" w:rsidRPr="007C63AD">
        <w:rPr>
          <w:rFonts w:eastAsia="Times New Roman"/>
          <w:vertAlign w:val="superscript"/>
        </w:rPr>
        <w:t>1,9</w:t>
      </w:r>
      <w:r w:rsidR="007C63AD">
        <w:rPr>
          <w:rFonts w:eastAsia="Times New Roman"/>
        </w:rPr>
        <w:t>. It tends to affect men more, has a mean diagnosis of 66 years, and mostly involves the axial skeleton</w:t>
      </w:r>
      <w:r w:rsidR="007C63AD" w:rsidRPr="007C63AD">
        <w:rPr>
          <w:rFonts w:eastAsia="Times New Roman"/>
          <w:vertAlign w:val="superscript"/>
        </w:rPr>
        <w:t>1</w:t>
      </w:r>
      <w:r w:rsidR="007C63AD">
        <w:rPr>
          <w:rFonts w:eastAsia="Times New Roman"/>
        </w:rPr>
        <w:t>.</w:t>
      </w:r>
    </w:p>
    <w:p w14:paraId="63A0DC87" w14:textId="7C173829" w:rsidR="00DE15A8" w:rsidRDefault="00DE15A8" w:rsidP="00293EA8">
      <w:pPr>
        <w:spacing w:line="480" w:lineRule="auto"/>
        <w:rPr>
          <w:rFonts w:eastAsia="Times New Roman"/>
        </w:rPr>
      </w:pPr>
      <w:r>
        <w:rPr>
          <w:rFonts w:eastAsia="Times New Roman"/>
        </w:rPr>
        <w:tab/>
        <w:t>There are a few differential diagnoses that are typically ruled out when attempting to diagnose PDB.</w:t>
      </w:r>
      <w:r w:rsidR="005B0CB3">
        <w:rPr>
          <w:rFonts w:eastAsia="Times New Roman"/>
        </w:rPr>
        <w:t xml:space="preserve"> If there are skull lesions, hyperostosis frontalis interna should be ruled out</w:t>
      </w:r>
      <w:r w:rsidR="005B0CB3" w:rsidRPr="005B0CB3">
        <w:rPr>
          <w:rFonts w:eastAsia="Times New Roman"/>
          <w:vertAlign w:val="superscript"/>
        </w:rPr>
        <w:t>2</w:t>
      </w:r>
      <w:r w:rsidR="005B0CB3">
        <w:rPr>
          <w:rFonts w:eastAsia="Times New Roman"/>
        </w:rPr>
        <w:t xml:space="preserve">. This is a </w:t>
      </w:r>
      <w:r w:rsidR="007238D1">
        <w:rPr>
          <w:rFonts w:eastAsia="Times New Roman"/>
        </w:rPr>
        <w:t xml:space="preserve">benign </w:t>
      </w:r>
      <w:r w:rsidR="005B0CB3">
        <w:rPr>
          <w:rFonts w:eastAsia="Times New Roman"/>
        </w:rPr>
        <w:t>thickening of the internal table of the frontal bone</w:t>
      </w:r>
      <w:r w:rsidR="007238D1">
        <w:rPr>
          <w:rFonts w:eastAsia="Times New Roman"/>
        </w:rPr>
        <w:t xml:space="preserve"> and is generally of no clinical significance</w:t>
      </w:r>
      <w:r w:rsidR="007238D1" w:rsidRPr="007238D1">
        <w:rPr>
          <w:rFonts w:eastAsia="Times New Roman"/>
          <w:vertAlign w:val="superscript"/>
        </w:rPr>
        <w:t>2</w:t>
      </w:r>
      <w:r w:rsidR="007238D1">
        <w:rPr>
          <w:rFonts w:eastAsia="Times New Roman"/>
        </w:rPr>
        <w:t>. Another condition called fibrosus dysplagia usually affects the outer table more predominantly and typically affects children and young adults</w:t>
      </w:r>
      <w:r w:rsidR="007238D1" w:rsidRPr="007238D1">
        <w:rPr>
          <w:rFonts w:eastAsia="Times New Roman"/>
          <w:vertAlign w:val="superscript"/>
        </w:rPr>
        <w:t>2</w:t>
      </w:r>
      <w:r w:rsidR="007238D1">
        <w:rPr>
          <w:rFonts w:eastAsia="Times New Roman"/>
        </w:rPr>
        <w:t>. This disease normally results in cranial asymmetry, nasal stuffiness, and unilateral blindness</w:t>
      </w:r>
      <w:r w:rsidR="007238D1" w:rsidRPr="007238D1">
        <w:rPr>
          <w:rFonts w:eastAsia="Times New Roman"/>
          <w:vertAlign w:val="superscript"/>
        </w:rPr>
        <w:t>2</w:t>
      </w:r>
      <w:r w:rsidR="007238D1">
        <w:rPr>
          <w:rFonts w:eastAsia="Times New Roman"/>
        </w:rPr>
        <w:t>. Other differential diagnoses include multiple myelo</w:t>
      </w:r>
      <w:r w:rsidR="00E1064A">
        <w:rPr>
          <w:rFonts w:eastAsia="Times New Roman"/>
        </w:rPr>
        <w:t xml:space="preserve">ma, osteomalacia, </w:t>
      </w:r>
      <w:r w:rsidR="00B728D8">
        <w:rPr>
          <w:rFonts w:eastAsia="Times New Roman"/>
        </w:rPr>
        <w:t xml:space="preserve">pseudogout, tuberous sclerosis, ankylosing spondylitis, osteoarthritis </w:t>
      </w:r>
      <w:r w:rsidR="00E1064A">
        <w:rPr>
          <w:rFonts w:eastAsia="Times New Roman"/>
        </w:rPr>
        <w:t>and osteoporosis</w:t>
      </w:r>
      <w:r w:rsidR="00E1064A" w:rsidRPr="00E1064A">
        <w:rPr>
          <w:rFonts w:eastAsia="Times New Roman"/>
          <w:vertAlign w:val="superscript"/>
        </w:rPr>
        <w:t>1-4</w:t>
      </w:r>
      <w:r w:rsidR="00E1064A">
        <w:rPr>
          <w:rFonts w:eastAsia="Times New Roman"/>
          <w:vertAlign w:val="superscript"/>
        </w:rPr>
        <w:t>,</w:t>
      </w:r>
      <w:r w:rsidR="00E1064A" w:rsidRPr="00E1064A">
        <w:rPr>
          <w:rFonts w:eastAsia="Times New Roman"/>
          <w:vertAlign w:val="superscript"/>
        </w:rPr>
        <w:t>9</w:t>
      </w:r>
      <w:r w:rsidR="00E1064A">
        <w:rPr>
          <w:rFonts w:eastAsia="Times New Roman"/>
        </w:rPr>
        <w:t>.</w:t>
      </w:r>
    </w:p>
    <w:p w14:paraId="5C0A63AB" w14:textId="7BD71358" w:rsidR="000C69A8" w:rsidRPr="0084474B" w:rsidRDefault="00A52D9A" w:rsidP="00293EA8">
      <w:pPr>
        <w:widowControl w:val="0"/>
        <w:autoSpaceDE w:val="0"/>
        <w:autoSpaceDN w:val="0"/>
        <w:adjustRightInd w:val="0"/>
        <w:spacing w:line="480" w:lineRule="auto"/>
        <w:rPr>
          <w:sz w:val="21"/>
          <w:szCs w:val="21"/>
        </w:rPr>
      </w:pPr>
      <w:r>
        <w:rPr>
          <w:rFonts w:eastAsia="Times New Roman"/>
        </w:rPr>
        <w:tab/>
        <w:t>Prognosis for patients with this disease is generally good, especially if treatment is given before major changes in affected bones have occured</w:t>
      </w:r>
      <w:r w:rsidRPr="00A52D9A">
        <w:rPr>
          <w:rFonts w:eastAsia="Times New Roman"/>
          <w:vertAlign w:val="superscript"/>
        </w:rPr>
        <w:t>9</w:t>
      </w:r>
      <w:r>
        <w:rPr>
          <w:rFonts w:eastAsia="Times New Roman"/>
        </w:rPr>
        <w:t>. The short-term objective of PDB treatment is to control disease activity; the long-term objective</w:t>
      </w:r>
      <w:r w:rsidR="00AA2467">
        <w:rPr>
          <w:rFonts w:eastAsia="Times New Roman"/>
        </w:rPr>
        <w:t>s are to minimize or prevent disease progression and to decrease complications stemming from it</w:t>
      </w:r>
      <w:r w:rsidR="00AA2467" w:rsidRPr="00AA2467">
        <w:rPr>
          <w:rFonts w:eastAsia="Times New Roman"/>
          <w:vertAlign w:val="superscript"/>
        </w:rPr>
        <w:t>1,9</w:t>
      </w:r>
      <w:r w:rsidR="00AA2467">
        <w:rPr>
          <w:rFonts w:eastAsia="Times New Roman"/>
        </w:rPr>
        <w:t xml:space="preserve">. </w:t>
      </w:r>
      <w:r>
        <w:rPr>
          <w:rFonts w:eastAsia="Times New Roman"/>
        </w:rPr>
        <w:t xml:space="preserve">The “gold standard” </w:t>
      </w:r>
      <w:r w:rsidR="00AA2467">
        <w:rPr>
          <w:rFonts w:eastAsia="Times New Roman"/>
        </w:rPr>
        <w:t>and first line of treatment for</w:t>
      </w:r>
      <w:r>
        <w:rPr>
          <w:rFonts w:eastAsia="Times New Roman"/>
        </w:rPr>
        <w:t xml:space="preserve"> PDB is the use of biphosphonates</w:t>
      </w:r>
      <w:r w:rsidR="00AA2467" w:rsidRPr="00AA2467">
        <w:rPr>
          <w:rFonts w:eastAsia="Times New Roman"/>
          <w:vertAlign w:val="superscript"/>
        </w:rPr>
        <w:t>1,3,9</w:t>
      </w:r>
      <w:r w:rsidR="00AA2467">
        <w:rPr>
          <w:rFonts w:eastAsia="Times New Roman"/>
        </w:rPr>
        <w:t>. These drugs affect osteoclasts and inhibit bone resorption, improve bone density, and increase the strength of the bone itself</w:t>
      </w:r>
      <w:r w:rsidR="00AA2467" w:rsidRPr="00AA2467">
        <w:rPr>
          <w:rFonts w:eastAsia="Times New Roman"/>
          <w:vertAlign w:val="superscript"/>
        </w:rPr>
        <w:t>1,3</w:t>
      </w:r>
      <w:r w:rsidR="00AA2467">
        <w:rPr>
          <w:rFonts w:eastAsia="Times New Roman"/>
        </w:rPr>
        <w:t xml:space="preserve">. </w:t>
      </w:r>
      <w:r w:rsidR="00472B06">
        <w:rPr>
          <w:rFonts w:eastAsia="Times New Roman"/>
        </w:rPr>
        <w:t xml:space="preserve">Levels of ALP are monitored and these drugs can be administered when levels become too high. </w:t>
      </w:r>
      <w:r w:rsidR="00D14DC1">
        <w:rPr>
          <w:rFonts w:eastAsia="Times New Roman"/>
        </w:rPr>
        <w:t xml:space="preserve">Therefore, these drugs are used more for symptomatic, as opposed to asymptomatic patients. </w:t>
      </w:r>
      <w:r w:rsidR="00AA2467">
        <w:rPr>
          <w:rFonts w:eastAsia="Times New Roman"/>
        </w:rPr>
        <w:t>There are currently 5 bisphosphonates available, with the most comm</w:t>
      </w:r>
      <w:r w:rsidR="00A56E09">
        <w:rPr>
          <w:rFonts w:eastAsia="Times New Roman"/>
        </w:rPr>
        <w:t xml:space="preserve">only prescribed being risedronate, alendronate, </w:t>
      </w:r>
      <w:r w:rsidR="00A56E09" w:rsidRPr="0084474B">
        <w:rPr>
          <w:rFonts w:eastAsia="Times New Roman"/>
        </w:rPr>
        <w:t>and pamidronate</w:t>
      </w:r>
      <w:r w:rsidR="00A56E09" w:rsidRPr="0084474B">
        <w:rPr>
          <w:rFonts w:eastAsia="Times New Roman"/>
          <w:vertAlign w:val="superscript"/>
        </w:rPr>
        <w:t>3</w:t>
      </w:r>
      <w:r w:rsidR="00AA2467" w:rsidRPr="0084474B">
        <w:rPr>
          <w:rFonts w:eastAsia="Times New Roman"/>
        </w:rPr>
        <w:t xml:space="preserve">. However, intravenous pamidronate and zoledronate are </w:t>
      </w:r>
      <w:r w:rsidR="00A56E09" w:rsidRPr="0084474B">
        <w:rPr>
          <w:rFonts w:eastAsia="Times New Roman"/>
        </w:rPr>
        <w:t>beginning</w:t>
      </w:r>
      <w:r w:rsidR="00AA2467" w:rsidRPr="0084474B">
        <w:rPr>
          <w:rFonts w:eastAsia="Times New Roman"/>
        </w:rPr>
        <w:t xml:space="preserve"> to be</w:t>
      </w:r>
      <w:r w:rsidR="00A56E09" w:rsidRPr="0084474B">
        <w:rPr>
          <w:rFonts w:eastAsia="Times New Roman"/>
        </w:rPr>
        <w:t>come more favorable</w:t>
      </w:r>
      <w:r w:rsidR="00AA2467" w:rsidRPr="0084474B">
        <w:rPr>
          <w:rFonts w:eastAsia="Times New Roman"/>
        </w:rPr>
        <w:t xml:space="preserve"> due to their greater effectiveness in reducing bone turnover</w:t>
      </w:r>
      <w:r w:rsidR="00AA2467" w:rsidRPr="0084474B">
        <w:rPr>
          <w:rFonts w:eastAsia="Times New Roman"/>
          <w:vertAlign w:val="superscript"/>
        </w:rPr>
        <w:t>1</w:t>
      </w:r>
      <w:r w:rsidR="00AA2467" w:rsidRPr="0084474B">
        <w:rPr>
          <w:rFonts w:eastAsia="Times New Roman"/>
        </w:rPr>
        <w:t xml:space="preserve">. </w:t>
      </w:r>
      <w:r w:rsidR="00B922F5" w:rsidRPr="0084474B">
        <w:rPr>
          <w:rFonts w:eastAsia="Times New Roman"/>
        </w:rPr>
        <w:t xml:space="preserve">One </w:t>
      </w:r>
      <w:r w:rsidR="00DA3E64" w:rsidRPr="0084474B">
        <w:rPr>
          <w:rFonts w:eastAsia="Times New Roman"/>
        </w:rPr>
        <w:t xml:space="preserve">randomized controlled </w:t>
      </w:r>
      <w:r w:rsidR="00B922F5" w:rsidRPr="0084474B">
        <w:rPr>
          <w:rFonts w:eastAsia="Times New Roman"/>
        </w:rPr>
        <w:t>study confirmed that a</w:t>
      </w:r>
      <w:r w:rsidR="00AA2467" w:rsidRPr="0084474B">
        <w:rPr>
          <w:rFonts w:eastAsia="Times New Roman"/>
        </w:rPr>
        <w:t xml:space="preserve"> single infusion of zoledronate produced a more rapid and complete response </w:t>
      </w:r>
      <w:r w:rsidR="00A56E09" w:rsidRPr="0084474B">
        <w:rPr>
          <w:rFonts w:eastAsia="Times New Roman"/>
        </w:rPr>
        <w:t>in PDB than daily treatments of risedronate</w:t>
      </w:r>
      <w:r w:rsidR="00B60BE8" w:rsidRPr="0084474B">
        <w:rPr>
          <w:rFonts w:eastAsia="Times New Roman"/>
          <w:vertAlign w:val="superscript"/>
        </w:rPr>
        <w:t>11</w:t>
      </w:r>
      <w:r w:rsidR="00B60BE8" w:rsidRPr="0084474B">
        <w:rPr>
          <w:rFonts w:eastAsia="Times New Roman"/>
        </w:rPr>
        <w:t>.</w:t>
      </w:r>
      <w:r w:rsidR="00DA3E64" w:rsidRPr="0084474B">
        <w:rPr>
          <w:rFonts w:eastAsia="Times New Roman"/>
        </w:rPr>
        <w:t xml:space="preserve"> The authors </w:t>
      </w:r>
      <w:r w:rsidR="00472B06" w:rsidRPr="0084474B">
        <w:rPr>
          <w:rFonts w:eastAsia="Times New Roman"/>
        </w:rPr>
        <w:t>compared a single does of 5 mg of zoledronate with a 2-month course of oral risedronate. After 2 years of treatment, only 2% of those treated with zoledronate had an ALP above normal range</w:t>
      </w:r>
      <w:r w:rsidR="00D14DC1" w:rsidRPr="0084474B">
        <w:rPr>
          <w:rFonts w:eastAsia="Times New Roman"/>
        </w:rPr>
        <w:t xml:space="preserve"> (&gt; 200 IU/L is considered too high</w:t>
      </w:r>
      <w:r w:rsidR="002A15DD" w:rsidRPr="0084474B">
        <w:rPr>
          <w:rFonts w:eastAsia="Times New Roman"/>
          <w:vertAlign w:val="superscript"/>
        </w:rPr>
        <w:t>1</w:t>
      </w:r>
      <w:r w:rsidR="00D14DC1" w:rsidRPr="0084474B">
        <w:rPr>
          <w:rFonts w:eastAsia="Times New Roman"/>
        </w:rPr>
        <w:t xml:space="preserve">) </w:t>
      </w:r>
      <w:r w:rsidR="00472B06" w:rsidRPr="0084474B">
        <w:rPr>
          <w:rFonts w:eastAsia="Times New Roman"/>
        </w:rPr>
        <w:t>, compared with 43% treated with risedronate</w:t>
      </w:r>
      <w:r w:rsidR="00472B06" w:rsidRPr="0084474B">
        <w:rPr>
          <w:rFonts w:eastAsia="Times New Roman"/>
          <w:vertAlign w:val="superscript"/>
        </w:rPr>
        <w:t>11</w:t>
      </w:r>
      <w:r w:rsidR="00472B06" w:rsidRPr="0084474B">
        <w:rPr>
          <w:rFonts w:eastAsia="Times New Roman"/>
        </w:rPr>
        <w:t>.</w:t>
      </w:r>
      <w:r w:rsidR="002A15DD" w:rsidRPr="0084474B">
        <w:rPr>
          <w:rFonts w:eastAsia="Times New Roman"/>
        </w:rPr>
        <w:t xml:space="preserve"> </w:t>
      </w:r>
      <w:r w:rsidR="003531C4" w:rsidRPr="0084474B">
        <w:rPr>
          <w:rFonts w:eastAsia="Times New Roman"/>
        </w:rPr>
        <w:t>It is important to note that patients taking these medications should be taking 1000-1500 mg of calcium and at least 400 units of vitamin D daily</w:t>
      </w:r>
      <w:r w:rsidR="003531C4" w:rsidRPr="0084474B">
        <w:rPr>
          <w:rFonts w:eastAsia="Times New Roman"/>
          <w:vertAlign w:val="superscript"/>
        </w:rPr>
        <w:t>5,9</w:t>
      </w:r>
      <w:r w:rsidR="003531C4" w:rsidRPr="0084474B">
        <w:rPr>
          <w:rFonts w:eastAsia="Times New Roman"/>
        </w:rPr>
        <w:t>. These patients typically already have a deficiency in these substances and this needs to be corrected prior to starting these drugs; otherwise, hypocalcemia or focal osteomalacia can occur</w:t>
      </w:r>
      <w:r w:rsidR="003531C4" w:rsidRPr="0084474B">
        <w:rPr>
          <w:rFonts w:eastAsia="Times New Roman"/>
          <w:vertAlign w:val="superscript"/>
        </w:rPr>
        <w:t>1</w:t>
      </w:r>
      <w:r w:rsidR="003531C4" w:rsidRPr="0084474B">
        <w:rPr>
          <w:rFonts w:eastAsia="Times New Roman"/>
        </w:rPr>
        <w:t xml:space="preserve">. </w:t>
      </w:r>
      <w:r w:rsidR="0077509B" w:rsidRPr="0084474B">
        <w:rPr>
          <w:rFonts w:eastAsia="Times New Roman"/>
        </w:rPr>
        <w:t>A cost-effective way to measure the success of these drug therapies is with an ALP measured 3 months after therapy and a decision to retreat by an ALP level at 6 months</w:t>
      </w:r>
      <w:r w:rsidR="0077509B" w:rsidRPr="0084474B">
        <w:rPr>
          <w:rFonts w:eastAsia="Times New Roman"/>
          <w:vertAlign w:val="superscript"/>
        </w:rPr>
        <w:t>1</w:t>
      </w:r>
      <w:r w:rsidR="0077509B" w:rsidRPr="0084474B">
        <w:rPr>
          <w:rFonts w:eastAsia="Times New Roman"/>
        </w:rPr>
        <w:t>. With newer bisphosphonates, retreatment is often not necessary for a number of years</w:t>
      </w:r>
      <w:r w:rsidR="0077509B" w:rsidRPr="0084474B">
        <w:rPr>
          <w:rFonts w:eastAsia="Times New Roman"/>
          <w:vertAlign w:val="superscript"/>
        </w:rPr>
        <w:t>1</w:t>
      </w:r>
      <w:r w:rsidR="0077509B" w:rsidRPr="0084474B">
        <w:rPr>
          <w:rFonts w:eastAsia="Times New Roman"/>
        </w:rPr>
        <w:t>.</w:t>
      </w:r>
      <w:r w:rsidR="0084474B" w:rsidRPr="0084474B">
        <w:rPr>
          <w:rFonts w:eastAsia="Times New Roman"/>
        </w:rPr>
        <w:t xml:space="preserve"> </w:t>
      </w:r>
      <w:r w:rsidR="0084474B" w:rsidRPr="0084474B">
        <w:t>Remission is considered to have been achieved when normal levels of alkaline phosphatase are attained, and partial remission when there is a decrease in levels greater than 75% after three to six months of treatment</w:t>
      </w:r>
      <w:r w:rsidR="00F2515F" w:rsidRPr="00F2515F">
        <w:rPr>
          <w:vertAlign w:val="superscript"/>
        </w:rPr>
        <w:t>12</w:t>
      </w:r>
      <w:r w:rsidR="0084474B" w:rsidRPr="0084474B">
        <w:t>.</w:t>
      </w:r>
    </w:p>
    <w:p w14:paraId="3843557B" w14:textId="672F267D" w:rsidR="00A52D9A" w:rsidRDefault="000C69A8" w:rsidP="00293EA8">
      <w:pPr>
        <w:spacing w:line="480" w:lineRule="auto"/>
        <w:rPr>
          <w:rFonts w:eastAsia="Times New Roman"/>
        </w:rPr>
      </w:pPr>
      <w:r>
        <w:rPr>
          <w:rFonts w:eastAsia="Times New Roman"/>
        </w:rPr>
        <w:tab/>
      </w:r>
      <w:r w:rsidR="002A15DD">
        <w:rPr>
          <w:rFonts w:eastAsia="Times New Roman"/>
        </w:rPr>
        <w:t xml:space="preserve">Depending on the severity of changes and degree of pain, the second line of treatment </w:t>
      </w:r>
      <w:r w:rsidR="00E36C26">
        <w:rPr>
          <w:rFonts w:eastAsia="Times New Roman"/>
        </w:rPr>
        <w:t>often</w:t>
      </w:r>
      <w:r w:rsidR="002A15DD">
        <w:rPr>
          <w:rFonts w:eastAsia="Times New Roman"/>
        </w:rPr>
        <w:t xml:space="preserve"> consist</w:t>
      </w:r>
      <w:r w:rsidR="00E36C26">
        <w:rPr>
          <w:rFonts w:eastAsia="Times New Roman"/>
        </w:rPr>
        <w:t>s</w:t>
      </w:r>
      <w:r w:rsidR="002A15DD">
        <w:rPr>
          <w:rFonts w:eastAsia="Times New Roman"/>
        </w:rPr>
        <w:t xml:space="preserve"> of NSAIDS and other anti-inflammatories to control pain</w:t>
      </w:r>
      <w:r w:rsidR="002A15DD" w:rsidRPr="002A15DD">
        <w:rPr>
          <w:rFonts w:eastAsia="Times New Roman"/>
          <w:vertAlign w:val="superscript"/>
        </w:rPr>
        <w:t>1,3,9</w:t>
      </w:r>
      <w:r w:rsidR="002A15DD">
        <w:rPr>
          <w:rFonts w:eastAsia="Times New Roman"/>
        </w:rPr>
        <w:t>. Orthopedic assistive devices such as shoe lifts and canes can be used, as well as hydrotherapy, physical therapy, and TENS</w:t>
      </w:r>
      <w:r w:rsidR="002A15DD" w:rsidRPr="003531C4">
        <w:rPr>
          <w:rFonts w:eastAsia="Times New Roman"/>
          <w:vertAlign w:val="superscript"/>
        </w:rPr>
        <w:t>3,4,</w:t>
      </w:r>
      <w:r w:rsidR="003531C4" w:rsidRPr="003531C4">
        <w:rPr>
          <w:rFonts w:eastAsia="Times New Roman"/>
          <w:vertAlign w:val="superscript"/>
        </w:rPr>
        <w:t>5</w:t>
      </w:r>
      <w:r w:rsidR="003531C4">
        <w:rPr>
          <w:rFonts w:eastAsia="Times New Roman"/>
        </w:rPr>
        <w:t xml:space="preserve">. </w:t>
      </w:r>
      <w:r w:rsidR="00083E02">
        <w:rPr>
          <w:rFonts w:eastAsia="Times New Roman"/>
        </w:rPr>
        <w:t>While the effectiveness of these strategies has not been assessed specifically in patients with PDB, these interventions have been shown to improve health-related quality of life, pain, and functional independence in patients with similar clinical presentation</w:t>
      </w:r>
      <w:r w:rsidR="00102E10">
        <w:rPr>
          <w:rFonts w:eastAsia="Times New Roman"/>
        </w:rPr>
        <w:t>s</w:t>
      </w:r>
      <w:r w:rsidR="00102E10" w:rsidRPr="00102E10">
        <w:rPr>
          <w:rFonts w:eastAsia="Times New Roman"/>
          <w:vertAlign w:val="superscript"/>
        </w:rPr>
        <w:t>5</w:t>
      </w:r>
      <w:r w:rsidR="00102E10">
        <w:rPr>
          <w:rFonts w:eastAsia="Times New Roman"/>
        </w:rPr>
        <w:t>.</w:t>
      </w:r>
      <w:r w:rsidR="0082569D">
        <w:rPr>
          <w:rFonts w:eastAsia="Times New Roman"/>
        </w:rPr>
        <w:t xml:space="preserve"> While there is no specific exercise program for patients with PDB, exercise has been shown to preserve skeletal health, prevent weight gain, and maintain joint mobility</w:t>
      </w:r>
      <w:r w:rsidR="0082569D" w:rsidRPr="0082569D">
        <w:rPr>
          <w:rFonts w:eastAsia="Times New Roman"/>
          <w:vertAlign w:val="superscript"/>
        </w:rPr>
        <w:t>9</w:t>
      </w:r>
      <w:r w:rsidR="0082569D">
        <w:rPr>
          <w:rFonts w:eastAsia="Times New Roman"/>
        </w:rPr>
        <w:t>.</w:t>
      </w:r>
      <w:r w:rsidR="00161A29">
        <w:rPr>
          <w:rFonts w:eastAsia="Times New Roman"/>
        </w:rPr>
        <w:t xml:space="preserve"> </w:t>
      </w:r>
      <w:r w:rsidR="00601BB2">
        <w:rPr>
          <w:rFonts w:eastAsia="Times New Roman"/>
        </w:rPr>
        <w:t>To avoid any harmful stress on affected bones, affected patients should talk with their doctor or physical therapist before starting any new exercise program or physical activity.</w:t>
      </w:r>
      <w:r w:rsidR="000A138E">
        <w:rPr>
          <w:rFonts w:eastAsia="Times New Roman"/>
        </w:rPr>
        <w:t xml:space="preserve"> Specific physical therapy interventions will be discussed at the end of this review.</w:t>
      </w:r>
    </w:p>
    <w:p w14:paraId="203D415D" w14:textId="7619E142" w:rsidR="00BD5585" w:rsidRDefault="00BD5585" w:rsidP="00293EA8">
      <w:pPr>
        <w:spacing w:line="480" w:lineRule="auto"/>
        <w:rPr>
          <w:rFonts w:eastAsia="Times New Roman"/>
        </w:rPr>
      </w:pPr>
      <w:r>
        <w:rPr>
          <w:rFonts w:eastAsia="Times New Roman"/>
        </w:rPr>
        <w:tab/>
      </w:r>
      <w:r w:rsidR="0073189A">
        <w:rPr>
          <w:rFonts w:eastAsia="Times New Roman"/>
        </w:rPr>
        <w:t xml:space="preserve">Surgical intervention </w:t>
      </w:r>
      <w:r>
        <w:rPr>
          <w:rFonts w:eastAsia="Times New Roman"/>
        </w:rPr>
        <w:t xml:space="preserve">is indicated if a patient is resistant to pharmacological or </w:t>
      </w:r>
      <w:r w:rsidR="002C21CF">
        <w:rPr>
          <w:rFonts w:eastAsia="Times New Roman"/>
        </w:rPr>
        <w:t xml:space="preserve">conservative </w:t>
      </w:r>
      <w:r>
        <w:rPr>
          <w:rFonts w:eastAsia="Times New Roman"/>
        </w:rPr>
        <w:t>orthopedic interventions and/or if severe joint or bone breakdown is present</w:t>
      </w:r>
      <w:r w:rsidR="0073189A" w:rsidRPr="00D61585">
        <w:rPr>
          <w:rFonts w:eastAsia="Times New Roman"/>
          <w:vertAlign w:val="superscript"/>
        </w:rPr>
        <w:t>1,</w:t>
      </w:r>
      <w:r w:rsidRPr="00BD5585">
        <w:rPr>
          <w:rFonts w:eastAsia="Times New Roman"/>
          <w:vertAlign w:val="superscript"/>
        </w:rPr>
        <w:t>3</w:t>
      </w:r>
      <w:r w:rsidR="0073189A">
        <w:rPr>
          <w:rFonts w:eastAsia="Times New Roman"/>
          <w:vertAlign w:val="superscript"/>
        </w:rPr>
        <w:t>,5</w:t>
      </w:r>
      <w:r w:rsidR="00D61585">
        <w:rPr>
          <w:rFonts w:eastAsia="Times New Roman"/>
          <w:vertAlign w:val="superscript"/>
        </w:rPr>
        <w:t>,9</w:t>
      </w:r>
      <w:r>
        <w:rPr>
          <w:rFonts w:eastAsia="Times New Roman"/>
        </w:rPr>
        <w:t>.</w:t>
      </w:r>
      <w:r w:rsidR="0073189A">
        <w:rPr>
          <w:rFonts w:eastAsia="Times New Roman"/>
        </w:rPr>
        <w:t xml:space="preserve"> </w:t>
      </w:r>
      <w:r w:rsidR="00161A29">
        <w:rPr>
          <w:rFonts w:eastAsia="Times New Roman"/>
        </w:rPr>
        <w:t>Osteoarthritis of the hip and knee j</w:t>
      </w:r>
      <w:r w:rsidR="0073189A">
        <w:rPr>
          <w:rFonts w:eastAsia="Times New Roman"/>
        </w:rPr>
        <w:t>oint</w:t>
      </w:r>
      <w:r w:rsidR="00161A29">
        <w:rPr>
          <w:rFonts w:eastAsia="Times New Roman"/>
        </w:rPr>
        <w:t>s</w:t>
      </w:r>
      <w:r w:rsidR="0073189A">
        <w:rPr>
          <w:rFonts w:eastAsia="Times New Roman"/>
        </w:rPr>
        <w:t xml:space="preserve"> </w:t>
      </w:r>
      <w:r w:rsidR="00161A29">
        <w:rPr>
          <w:rFonts w:eastAsia="Times New Roman"/>
        </w:rPr>
        <w:t>is the most common indication for surgical replacement of these joints</w:t>
      </w:r>
      <w:r w:rsidR="00161A29">
        <w:rPr>
          <w:rFonts w:eastAsia="Times New Roman"/>
          <w:vertAlign w:val="superscript"/>
        </w:rPr>
        <w:t>1,</w:t>
      </w:r>
      <w:r w:rsidR="0073189A" w:rsidRPr="0073189A">
        <w:rPr>
          <w:rFonts w:eastAsia="Times New Roman"/>
          <w:vertAlign w:val="superscript"/>
        </w:rPr>
        <w:t>5</w:t>
      </w:r>
      <w:r w:rsidR="0073189A">
        <w:rPr>
          <w:rFonts w:eastAsia="Times New Roman"/>
        </w:rPr>
        <w:t>.</w:t>
      </w:r>
      <w:r w:rsidR="00B03B50">
        <w:rPr>
          <w:rFonts w:eastAsia="Times New Roman"/>
        </w:rPr>
        <w:t xml:space="preserve"> Other common surgeries may include tibial </w:t>
      </w:r>
      <w:r w:rsidR="00161A29">
        <w:rPr>
          <w:rFonts w:eastAsia="Times New Roman"/>
        </w:rPr>
        <w:t>and fibular osteotomies</w:t>
      </w:r>
      <w:r w:rsidR="00B03B50">
        <w:rPr>
          <w:rFonts w:eastAsia="Times New Roman"/>
        </w:rPr>
        <w:t xml:space="preserve">, </w:t>
      </w:r>
      <w:r w:rsidR="009D6C86">
        <w:rPr>
          <w:rFonts w:eastAsia="Times New Roman"/>
        </w:rPr>
        <w:t>surgeries to repair fractures, relieve neurological symptoms from nerve/spinal cord impingement, and prophylactic surgery in those with painful pseudofractures</w:t>
      </w:r>
      <w:r w:rsidR="009D6C86" w:rsidRPr="009D6C86">
        <w:rPr>
          <w:rFonts w:eastAsia="Times New Roman"/>
          <w:vertAlign w:val="superscript"/>
        </w:rPr>
        <w:t>1,3,5,11</w:t>
      </w:r>
      <w:r w:rsidR="009D6C86">
        <w:rPr>
          <w:rFonts w:eastAsia="Times New Roman"/>
        </w:rPr>
        <w:t xml:space="preserve">. </w:t>
      </w:r>
      <w:r w:rsidR="00C30E23">
        <w:rPr>
          <w:rFonts w:eastAsia="Times New Roman"/>
        </w:rPr>
        <w:t>It is important that patients with PDB get treated with bisphosphonates prior to major surgery to help reduce bone vascularity</w:t>
      </w:r>
      <w:r w:rsidR="00C30E23" w:rsidRPr="00C30E23">
        <w:rPr>
          <w:rFonts w:eastAsia="Times New Roman"/>
          <w:vertAlign w:val="superscript"/>
        </w:rPr>
        <w:t>4</w:t>
      </w:r>
      <w:r w:rsidR="00C30E23">
        <w:rPr>
          <w:rFonts w:eastAsia="Times New Roman"/>
        </w:rPr>
        <w:t>. The reason for this lies in the fact that bones with active PDB have increased metabolism (overactive osteoclasts and osteoblasts) and increased blood flow</w:t>
      </w:r>
      <w:r w:rsidR="00C30E23" w:rsidRPr="00C30E23">
        <w:rPr>
          <w:rFonts w:eastAsia="Times New Roman"/>
          <w:vertAlign w:val="superscript"/>
        </w:rPr>
        <w:t>4</w:t>
      </w:r>
      <w:r w:rsidR="00C30E23">
        <w:rPr>
          <w:rFonts w:eastAsia="Times New Roman"/>
        </w:rPr>
        <w:t>. Surgeries can cause substantial amounts of blood loss if the infected bone is hypervascular. Bisphosphonates can help protect against potentially harmful amounts of blood loss</w:t>
      </w:r>
      <w:r w:rsidR="00DB1CA0">
        <w:rPr>
          <w:rFonts w:eastAsia="Times New Roman"/>
        </w:rPr>
        <w:t xml:space="preserve"> in these patients undergoing corrective or joint replacement surgery</w:t>
      </w:r>
      <w:r w:rsidR="00C30E23" w:rsidRPr="00C30E23">
        <w:rPr>
          <w:rFonts w:eastAsia="Times New Roman"/>
          <w:vertAlign w:val="superscript"/>
        </w:rPr>
        <w:t>4</w:t>
      </w:r>
      <w:r w:rsidR="00724F39">
        <w:rPr>
          <w:rFonts w:eastAsia="Times New Roman"/>
          <w:vertAlign w:val="superscript"/>
        </w:rPr>
        <w:t>,5</w:t>
      </w:r>
      <w:r w:rsidR="00C30E23">
        <w:rPr>
          <w:rFonts w:eastAsia="Times New Roman"/>
        </w:rPr>
        <w:t>.</w:t>
      </w:r>
      <w:r w:rsidR="00724F39">
        <w:rPr>
          <w:rFonts w:eastAsia="Times New Roman"/>
        </w:rPr>
        <w:t xml:space="preserve"> For those patients who develop osteosarcoma, surgery may be needed and in rare cases, amputation</w:t>
      </w:r>
      <w:r w:rsidR="00724F39" w:rsidRPr="00724F39">
        <w:rPr>
          <w:rFonts w:eastAsia="Times New Roman"/>
          <w:vertAlign w:val="superscript"/>
        </w:rPr>
        <w:t>5</w:t>
      </w:r>
      <w:r w:rsidR="00724F39">
        <w:rPr>
          <w:rFonts w:eastAsia="Times New Roman"/>
        </w:rPr>
        <w:t>.</w:t>
      </w:r>
      <w:r w:rsidR="00F12EE6">
        <w:rPr>
          <w:rFonts w:eastAsia="Times New Roman"/>
        </w:rPr>
        <w:t xml:space="preserve"> </w:t>
      </w:r>
      <w:r w:rsidR="00B27A69">
        <w:rPr>
          <w:rFonts w:eastAsia="Times New Roman"/>
        </w:rPr>
        <w:t>Amputation is needed with neoplams due to the aggressive nature of this type of sarcoma</w:t>
      </w:r>
      <w:r w:rsidR="00B27A69" w:rsidRPr="00B27A69">
        <w:rPr>
          <w:rFonts w:eastAsia="Times New Roman"/>
          <w:vertAlign w:val="superscript"/>
        </w:rPr>
        <w:t>9</w:t>
      </w:r>
      <w:r w:rsidR="00B27A69">
        <w:rPr>
          <w:rFonts w:eastAsia="Times New Roman"/>
        </w:rPr>
        <w:t xml:space="preserve">. </w:t>
      </w:r>
      <w:r w:rsidR="00F12EE6">
        <w:rPr>
          <w:rFonts w:eastAsia="Times New Roman"/>
        </w:rPr>
        <w:t>The prognosis is poor for those who develop osteosarcoma; even with aggressive operative treatment, these patients have around a 5-year survival rate of 6%</w:t>
      </w:r>
      <w:r w:rsidR="00F12EE6" w:rsidRPr="00F12EE6">
        <w:rPr>
          <w:rFonts w:eastAsia="Times New Roman"/>
          <w:vertAlign w:val="superscript"/>
        </w:rPr>
        <w:t>5</w:t>
      </w:r>
      <w:r w:rsidR="00F12EE6">
        <w:rPr>
          <w:rFonts w:eastAsia="Times New Roman"/>
        </w:rPr>
        <w:t>.</w:t>
      </w:r>
      <w:r w:rsidR="00197C23">
        <w:rPr>
          <w:rFonts w:eastAsia="Times New Roman"/>
        </w:rPr>
        <w:t xml:space="preserve"> In cases of pagetic spinal stenosis and osseous compression, bisphosphonates can be used to help treat symptoms</w:t>
      </w:r>
      <w:r w:rsidR="00197C23" w:rsidRPr="00197C23">
        <w:rPr>
          <w:rFonts w:eastAsia="Times New Roman"/>
          <w:vertAlign w:val="superscript"/>
        </w:rPr>
        <w:t>9</w:t>
      </w:r>
      <w:r w:rsidR="00197C23">
        <w:rPr>
          <w:rFonts w:eastAsia="Times New Roman"/>
        </w:rPr>
        <w:t>. However, decompressive laminectomies have been used for persistent mechanical pain that is unresponsive to nonsurgical treatment</w:t>
      </w:r>
      <w:r w:rsidR="00197C23" w:rsidRPr="00197C23">
        <w:rPr>
          <w:rFonts w:eastAsia="Times New Roman"/>
          <w:vertAlign w:val="superscript"/>
        </w:rPr>
        <w:t>9</w:t>
      </w:r>
      <w:r w:rsidR="00197C23">
        <w:rPr>
          <w:rFonts w:eastAsia="Times New Roman"/>
        </w:rPr>
        <w:t>.</w:t>
      </w:r>
    </w:p>
    <w:p w14:paraId="5CA8E86C" w14:textId="09481973" w:rsidR="00975994" w:rsidRDefault="00975994" w:rsidP="00293EA8">
      <w:pPr>
        <w:spacing w:line="480" w:lineRule="auto"/>
        <w:rPr>
          <w:rFonts w:eastAsia="Times New Roman"/>
        </w:rPr>
      </w:pPr>
      <w:r>
        <w:rPr>
          <w:rFonts w:eastAsia="Times New Roman"/>
        </w:rPr>
        <w:tab/>
      </w:r>
      <w:r w:rsidR="00E43026">
        <w:rPr>
          <w:rFonts w:eastAsia="Times New Roman"/>
        </w:rPr>
        <w:t xml:space="preserve">Because PDB </w:t>
      </w:r>
      <w:r w:rsidR="00357067">
        <w:rPr>
          <w:rFonts w:eastAsia="Times New Roman"/>
        </w:rPr>
        <w:t>has been said to be</w:t>
      </w:r>
      <w:r w:rsidR="00E43026">
        <w:rPr>
          <w:rFonts w:eastAsia="Times New Roman"/>
        </w:rPr>
        <w:t xml:space="preserve"> the 2</w:t>
      </w:r>
      <w:r w:rsidR="00E43026" w:rsidRPr="00E43026">
        <w:rPr>
          <w:rFonts w:eastAsia="Times New Roman"/>
          <w:vertAlign w:val="superscript"/>
        </w:rPr>
        <w:t>nd</w:t>
      </w:r>
      <w:r w:rsidR="00E43026">
        <w:rPr>
          <w:rFonts w:eastAsia="Times New Roman"/>
        </w:rPr>
        <w:t xml:space="preserve"> most common skeletal disorder, there is </w:t>
      </w:r>
      <w:r w:rsidR="00357067">
        <w:rPr>
          <w:rFonts w:eastAsia="Times New Roman"/>
        </w:rPr>
        <w:t>a chance that we as physical therapists could encounter a patient with this disease. Understanding the pathophysiology behind PDB, as well as treatment options, can equip us with the best available knowledge and skills to help these patients.</w:t>
      </w:r>
      <w:r w:rsidR="001E5CE4">
        <w:rPr>
          <w:rFonts w:eastAsia="Times New Roman"/>
        </w:rPr>
        <w:t xml:space="preserve"> As mentioned previously, physical therapists are one of many heath care professionals who can provide services to patients with PDB. </w:t>
      </w:r>
      <w:r w:rsidR="006E785D">
        <w:rPr>
          <w:rFonts w:eastAsia="Times New Roman"/>
        </w:rPr>
        <w:t>One of the most important interventions we can provide to our patients is education. Patients will be dealing with the complications of this disease for the rest of their lives and the complications will likely get worse over time as well</w:t>
      </w:r>
      <w:r w:rsidR="006E785D" w:rsidRPr="006E785D">
        <w:rPr>
          <w:rFonts w:eastAsia="Times New Roman"/>
          <w:vertAlign w:val="superscript"/>
        </w:rPr>
        <w:t>1,13</w:t>
      </w:r>
      <w:r w:rsidR="006E785D">
        <w:rPr>
          <w:rFonts w:eastAsia="Times New Roman"/>
        </w:rPr>
        <w:t xml:space="preserve">. Ensuring that they understand the disease and the possible complications associated with it will help them identify when they require increased </w:t>
      </w:r>
      <w:r w:rsidR="00784220">
        <w:rPr>
          <w:rFonts w:eastAsia="Times New Roman"/>
        </w:rPr>
        <w:t xml:space="preserve">support and </w:t>
      </w:r>
      <w:r w:rsidR="006E785D">
        <w:rPr>
          <w:rFonts w:eastAsia="Times New Roman"/>
        </w:rPr>
        <w:t>assistance</w:t>
      </w:r>
      <w:r w:rsidR="00784220">
        <w:rPr>
          <w:rFonts w:eastAsia="Times New Roman"/>
        </w:rPr>
        <w:t>. For example, sudden increase of localized pain should be reported to a physician immediately as this could be a sarcoma</w:t>
      </w:r>
      <w:r w:rsidR="00784220" w:rsidRPr="00784220">
        <w:rPr>
          <w:rFonts w:eastAsia="Times New Roman"/>
          <w:vertAlign w:val="superscript"/>
        </w:rPr>
        <w:t>11</w:t>
      </w:r>
      <w:r w:rsidR="00784220">
        <w:rPr>
          <w:rFonts w:eastAsia="Times New Roman"/>
        </w:rPr>
        <w:t xml:space="preserve">. Topics should include proper posture, body mechanics, avoidance of trauma, living in a clutter-free home to reduce falls risk, </w:t>
      </w:r>
      <w:r w:rsidR="0057237C">
        <w:rPr>
          <w:rFonts w:eastAsia="Times New Roman"/>
        </w:rPr>
        <w:t>information on bone healing expectations and weight-bearing restrictions post-surgical interventions</w:t>
      </w:r>
      <w:r w:rsidR="0057237C" w:rsidRPr="0057237C">
        <w:rPr>
          <w:rFonts w:eastAsia="Times New Roman"/>
          <w:vertAlign w:val="superscript"/>
        </w:rPr>
        <w:t>5,9,11</w:t>
      </w:r>
      <w:r w:rsidR="0057237C">
        <w:rPr>
          <w:rFonts w:eastAsia="Times New Roman"/>
        </w:rPr>
        <w:t>. Things to look out for during a PT physical examination are: skeletal deformities, abnormal gait, elevated temperature/</w:t>
      </w:r>
      <w:r w:rsidR="0049527C">
        <w:rPr>
          <w:rFonts w:eastAsia="Times New Roman"/>
        </w:rPr>
        <w:t>erythema</w:t>
      </w:r>
      <w:r w:rsidR="0057237C">
        <w:rPr>
          <w:rFonts w:eastAsia="Times New Roman"/>
        </w:rPr>
        <w:t>/tenderness over affected bones, hearing loss, dilated scalp veins, high output cardiac failure, and neurological findings</w:t>
      </w:r>
      <w:r w:rsidR="001C4D9E" w:rsidRPr="001C4D9E">
        <w:rPr>
          <w:rFonts w:eastAsia="Times New Roman"/>
          <w:vertAlign w:val="superscript"/>
        </w:rPr>
        <w:t>14</w:t>
      </w:r>
      <w:r w:rsidR="001C4D9E">
        <w:rPr>
          <w:rFonts w:eastAsia="Times New Roman"/>
        </w:rPr>
        <w:t>.</w:t>
      </w:r>
      <w:r w:rsidR="0057237C">
        <w:rPr>
          <w:rFonts w:eastAsia="Times New Roman"/>
        </w:rPr>
        <w:t xml:space="preserve"> </w:t>
      </w:r>
      <w:r w:rsidR="002E1583">
        <w:rPr>
          <w:rFonts w:eastAsia="Times New Roman"/>
        </w:rPr>
        <w:t>While many of these symptoms or signs can be associated with other potential diagnoses, many individuals living with PDB are unaware that they have the disease and we may be one of the first to suspect it.</w:t>
      </w:r>
    </w:p>
    <w:p w14:paraId="7B4E6365" w14:textId="262E6115" w:rsidR="002E1583" w:rsidRDefault="002E1583" w:rsidP="00293EA8">
      <w:pPr>
        <w:spacing w:line="480" w:lineRule="auto"/>
        <w:rPr>
          <w:rFonts w:eastAsia="Times New Roman"/>
        </w:rPr>
      </w:pPr>
      <w:r>
        <w:rPr>
          <w:rFonts w:eastAsia="Times New Roman"/>
        </w:rPr>
        <w:tab/>
        <w:t xml:space="preserve">Assessing the quality of life in this population is important and lead </w:t>
      </w:r>
      <w:r w:rsidR="00647D17">
        <w:rPr>
          <w:rFonts w:eastAsia="Times New Roman"/>
        </w:rPr>
        <w:t xml:space="preserve">to important referrals such as a psychologist, physician, or occupational therapist. One study conducted in 2007 used the </w:t>
      </w:r>
      <w:r w:rsidR="00A23D90">
        <w:rPr>
          <w:rFonts w:eastAsia="Times New Roman"/>
        </w:rPr>
        <w:t>Short</w:t>
      </w:r>
      <w:r w:rsidR="00647D17">
        <w:rPr>
          <w:rFonts w:eastAsia="Times New Roman"/>
        </w:rPr>
        <w:t>-Form 36 questionnaire and Health Assessment Questionnaire Disability Index in 1,324 subjects with PDB in order to look at quality of life and its determinants</w:t>
      </w:r>
      <w:r w:rsidR="00647D17" w:rsidRPr="00647D17">
        <w:rPr>
          <w:rFonts w:eastAsia="Times New Roman"/>
          <w:vertAlign w:val="superscript"/>
        </w:rPr>
        <w:t>15</w:t>
      </w:r>
      <w:r w:rsidR="00647D17">
        <w:rPr>
          <w:rFonts w:eastAsia="Times New Roman"/>
        </w:rPr>
        <w:t>. They categorized patients’ ALP levels into 4 distinct groups in order to account for variation in reference ranges: low normal, normal, elevated and greatly elevated</w:t>
      </w:r>
      <w:r w:rsidR="00647D17" w:rsidRPr="00647D17">
        <w:rPr>
          <w:rFonts w:eastAsia="Times New Roman"/>
          <w:vertAlign w:val="superscript"/>
        </w:rPr>
        <w:t>15</w:t>
      </w:r>
      <w:r w:rsidR="00647D17">
        <w:rPr>
          <w:rFonts w:eastAsia="Times New Roman"/>
        </w:rPr>
        <w:t>. Physicians assessed whether patient-reported bone pain was due to PDB; commonly used criteria for this task included localization of pain to an affected site, response of pain at that site to previous treatment with bisphosphonates, pain at rest, and pain at night</w:t>
      </w:r>
      <w:r w:rsidR="00647D17" w:rsidRPr="00647D17">
        <w:rPr>
          <w:rFonts w:eastAsia="Times New Roman"/>
          <w:vertAlign w:val="superscript"/>
        </w:rPr>
        <w:t>15</w:t>
      </w:r>
      <w:r w:rsidR="00647D17">
        <w:rPr>
          <w:rFonts w:eastAsia="Times New Roman"/>
        </w:rPr>
        <w:t>. They found that increasing age, bone pain due to PDB and previous bisphosphonate therapy identified as negative predictors of the SF36 physical summary score</w:t>
      </w:r>
      <w:r w:rsidR="00EC4A60">
        <w:rPr>
          <w:rFonts w:eastAsia="Times New Roman"/>
        </w:rPr>
        <w:t>, while ALP levels did not predict physical summary scores</w:t>
      </w:r>
      <w:r w:rsidR="00EC4A60" w:rsidRPr="00EC4A60">
        <w:rPr>
          <w:rFonts w:eastAsia="Times New Roman"/>
          <w:vertAlign w:val="superscript"/>
        </w:rPr>
        <w:t>15</w:t>
      </w:r>
      <w:r w:rsidR="00EC4A60">
        <w:rPr>
          <w:rFonts w:eastAsia="Times New Roman"/>
        </w:rPr>
        <w:t>. The overall mental summary score of the SF36 was only slightly reduced (but statistically significant) in those with PDB compared with the expected population norm, while the physical summary score was substantially reduced</w:t>
      </w:r>
      <w:r w:rsidR="00A2041A" w:rsidRPr="00A2041A">
        <w:rPr>
          <w:rFonts w:eastAsia="Times New Roman"/>
          <w:vertAlign w:val="superscript"/>
        </w:rPr>
        <w:t>15</w:t>
      </w:r>
      <w:r w:rsidR="00A2041A">
        <w:rPr>
          <w:rFonts w:eastAsia="Times New Roman"/>
        </w:rPr>
        <w:t xml:space="preserve">. The general lack of correlation between ALP and quality of life discovered in this study reinforces the notion that health care professionals should be focusing on issues </w:t>
      </w:r>
      <w:r w:rsidR="00B07091">
        <w:rPr>
          <w:rFonts w:eastAsia="Times New Roman"/>
        </w:rPr>
        <w:t xml:space="preserve">related to quality of life </w:t>
      </w:r>
      <w:r w:rsidR="00A2041A">
        <w:rPr>
          <w:rFonts w:eastAsia="Times New Roman"/>
        </w:rPr>
        <w:t xml:space="preserve">for those with PDB and not </w:t>
      </w:r>
      <w:r w:rsidR="00526EAF">
        <w:rPr>
          <w:rFonts w:eastAsia="Times New Roman"/>
        </w:rPr>
        <w:t xml:space="preserve">an individual’s </w:t>
      </w:r>
      <w:r w:rsidR="00A2041A">
        <w:rPr>
          <w:rFonts w:eastAsia="Times New Roman"/>
        </w:rPr>
        <w:t>ALP level</w:t>
      </w:r>
      <w:r w:rsidR="00A2041A" w:rsidRPr="00A2041A">
        <w:rPr>
          <w:rFonts w:eastAsia="Times New Roman"/>
          <w:vertAlign w:val="superscript"/>
        </w:rPr>
        <w:t>15</w:t>
      </w:r>
      <w:r w:rsidR="00A2041A">
        <w:rPr>
          <w:rFonts w:eastAsia="Times New Roman"/>
        </w:rPr>
        <w:t>.</w:t>
      </w:r>
    </w:p>
    <w:p w14:paraId="3D0A5A3A" w14:textId="62128FD7" w:rsidR="00A94153" w:rsidRDefault="006E1B02" w:rsidP="00A94153">
      <w:pPr>
        <w:spacing w:line="480" w:lineRule="auto"/>
        <w:rPr>
          <w:rFonts w:eastAsia="Times New Roman"/>
        </w:rPr>
      </w:pPr>
      <w:r>
        <w:rPr>
          <w:rFonts w:eastAsia="Times New Roman"/>
        </w:rPr>
        <w:tab/>
        <w:t>The main o</w:t>
      </w:r>
      <w:r w:rsidR="00FA0647">
        <w:rPr>
          <w:rFonts w:eastAsia="Times New Roman"/>
        </w:rPr>
        <w:t xml:space="preserve">bjectives for treatment of PDB </w:t>
      </w:r>
      <w:r>
        <w:rPr>
          <w:rFonts w:eastAsia="Times New Roman"/>
        </w:rPr>
        <w:t>are to relieve current symptoms, prevent progression of the disease, and help avoid future complications.</w:t>
      </w:r>
      <w:r w:rsidR="00FA0647">
        <w:rPr>
          <w:rFonts w:eastAsia="Times New Roman"/>
        </w:rPr>
        <w:t xml:space="preserve"> Many of the treatment strategies discussed previously are aimed at one or more of these objectives. </w:t>
      </w:r>
      <w:r w:rsidR="00A6525A">
        <w:rPr>
          <w:rFonts w:eastAsia="Times New Roman"/>
        </w:rPr>
        <w:t>Physical therapists can help address these goals by helping to maintain or improve muscle strength, maintain joint range of motion and flexibility, increase endurance, and avoid deconditioning</w:t>
      </w:r>
      <w:r w:rsidR="002D79C0" w:rsidRPr="002D79C0">
        <w:rPr>
          <w:rFonts w:eastAsia="Times New Roman"/>
          <w:vertAlign w:val="superscript"/>
        </w:rPr>
        <w:t>16</w:t>
      </w:r>
      <w:r w:rsidR="00A6525A">
        <w:rPr>
          <w:rFonts w:eastAsia="Times New Roman"/>
        </w:rPr>
        <w:t>.</w:t>
      </w:r>
      <w:r w:rsidR="002D79C0">
        <w:rPr>
          <w:rFonts w:eastAsia="Times New Roman"/>
        </w:rPr>
        <w:t xml:space="preserve"> Physical therapists would obviously be involved in post-surgical interventions such as joint replacements, fracture repair, laminectomy or other corrective surgeries</w:t>
      </w:r>
      <w:r w:rsidR="002D79C0" w:rsidRPr="002D79C0">
        <w:rPr>
          <w:rFonts w:eastAsia="Times New Roman"/>
          <w:vertAlign w:val="superscript"/>
        </w:rPr>
        <w:t>15</w:t>
      </w:r>
      <w:r w:rsidR="002D79C0">
        <w:rPr>
          <w:rFonts w:eastAsia="Times New Roman"/>
        </w:rPr>
        <w:t>. For extremely weak or ataxic patients, gait and balance training would be beneficial</w:t>
      </w:r>
      <w:r w:rsidR="002D79C0" w:rsidRPr="002D79C0">
        <w:rPr>
          <w:rFonts w:eastAsia="Times New Roman"/>
          <w:vertAlign w:val="superscript"/>
        </w:rPr>
        <w:t>1,15</w:t>
      </w:r>
      <w:r w:rsidR="002D79C0">
        <w:rPr>
          <w:rFonts w:eastAsia="Times New Roman"/>
        </w:rPr>
        <w:t>.</w:t>
      </w:r>
      <w:r w:rsidR="008F571F">
        <w:rPr>
          <w:rFonts w:eastAsia="Times New Roman"/>
        </w:rPr>
        <w:t xml:space="preserve"> </w:t>
      </w:r>
      <w:r w:rsidR="00A23D90">
        <w:rPr>
          <w:rFonts w:eastAsia="Times New Roman"/>
        </w:rPr>
        <w:t>Other important interventions therapists can provide are shoe inserts or orthotics to help correct leg length discrepancies or improper surface area/contact pressures between the ground and patients’ feet</w:t>
      </w:r>
      <w:r w:rsidR="00A23D90" w:rsidRPr="008843E4">
        <w:rPr>
          <w:rFonts w:eastAsia="Times New Roman"/>
          <w:vertAlign w:val="superscript"/>
        </w:rPr>
        <w:t>1,9,16</w:t>
      </w:r>
      <w:r w:rsidR="00A23D90">
        <w:rPr>
          <w:rFonts w:eastAsia="Times New Roman"/>
        </w:rPr>
        <w:t xml:space="preserve">. </w:t>
      </w:r>
      <w:r w:rsidR="008843E4">
        <w:rPr>
          <w:rFonts w:eastAsia="Times New Roman"/>
        </w:rPr>
        <w:t xml:space="preserve">While there is no standard exercise plan for PDB, encouraging patients to remain active and helping them identify physical activities fun for them is important. This will help them to keep excess weight off their joints, which can further complicate their condition. Increased weight </w:t>
      </w:r>
      <w:r w:rsidR="0032129A">
        <w:rPr>
          <w:rFonts w:eastAsia="Times New Roman"/>
        </w:rPr>
        <w:t xml:space="preserve">gain </w:t>
      </w:r>
      <w:r w:rsidR="008843E4">
        <w:rPr>
          <w:rFonts w:eastAsia="Times New Roman"/>
        </w:rPr>
        <w:t xml:space="preserve">can lead to increased joint damage, increased risk for </w:t>
      </w:r>
      <w:r w:rsidR="0032129A">
        <w:rPr>
          <w:rFonts w:eastAsia="Times New Roman"/>
        </w:rPr>
        <w:t xml:space="preserve">bone </w:t>
      </w:r>
      <w:r w:rsidR="008843E4">
        <w:rPr>
          <w:rFonts w:eastAsia="Times New Roman"/>
        </w:rPr>
        <w:t>fractures, and</w:t>
      </w:r>
      <w:r w:rsidR="00A94153">
        <w:rPr>
          <w:rFonts w:eastAsia="Times New Roman"/>
        </w:rPr>
        <w:t xml:space="preserve"> increased chance of immobility.</w:t>
      </w:r>
    </w:p>
    <w:p w14:paraId="0772596C" w14:textId="17FCE86C" w:rsidR="00A94153" w:rsidRDefault="00A94153" w:rsidP="00A94153">
      <w:pPr>
        <w:spacing w:line="480" w:lineRule="auto"/>
        <w:rPr>
          <w:rFonts w:eastAsia="Times New Roman"/>
        </w:rPr>
      </w:pPr>
      <w:r>
        <w:rPr>
          <w:rFonts w:eastAsia="Times New Roman"/>
        </w:rPr>
        <w:tab/>
        <w:t>Paget’s disease of bone is a very serious skeletal disorder, characterized by overactive periods of bone resorption and deposition, constant bone pain, and can have very different manifestations in different individuals. The prevalence of this disease has decreased over recent years, but those who suffer from it must deal with their complications for life. With careful monitoring, successful drug therapy, and skilled physical therapy interventions, individuals affected by PDB can still live a fairly independent lifestyle.</w:t>
      </w:r>
      <w:r w:rsidR="002E037F">
        <w:rPr>
          <w:rFonts w:eastAsia="Times New Roman"/>
        </w:rPr>
        <w:t xml:space="preserve"> </w:t>
      </w:r>
      <w:r w:rsidR="0034506E">
        <w:rPr>
          <w:rFonts w:eastAsia="Times New Roman"/>
        </w:rPr>
        <w:t>Future high-quality research is needed for pharmacological treatment options; prophylactic treatment to prevent complications is one area that researchers are investigating, as there is currently very limited evidence in this area</w:t>
      </w:r>
      <w:r w:rsidR="0034506E" w:rsidRPr="0034506E">
        <w:rPr>
          <w:rFonts w:eastAsia="Times New Roman"/>
          <w:vertAlign w:val="superscript"/>
        </w:rPr>
        <w:t>5</w:t>
      </w:r>
      <w:r w:rsidR="0034506E">
        <w:rPr>
          <w:rFonts w:eastAsia="Times New Roman"/>
        </w:rPr>
        <w:t>.</w:t>
      </w:r>
      <w:r w:rsidR="0096094E">
        <w:rPr>
          <w:rFonts w:eastAsia="Times New Roman"/>
        </w:rPr>
        <w:t xml:space="preserve"> Physical therapists are in a position to possibly be one of the first health care professionals to recognize signs and symptoms of PDB in their patients and should provide both skilled interventions and appropriate referrals to ensure optimal </w:t>
      </w:r>
      <w:r w:rsidR="003E2F5F">
        <w:rPr>
          <w:rFonts w:eastAsia="Times New Roman"/>
        </w:rPr>
        <w:t>functional outcomes.</w:t>
      </w:r>
      <w:r w:rsidR="0096094E">
        <w:rPr>
          <w:rFonts w:eastAsia="Times New Roman"/>
        </w:rPr>
        <w:t xml:space="preserve"> </w:t>
      </w:r>
    </w:p>
    <w:p w14:paraId="5876D1D4" w14:textId="77777777" w:rsidR="00A94153" w:rsidRDefault="00A94153" w:rsidP="00A94153">
      <w:pPr>
        <w:spacing w:line="480" w:lineRule="auto"/>
        <w:rPr>
          <w:rFonts w:eastAsia="Times New Roman"/>
        </w:rPr>
      </w:pPr>
    </w:p>
    <w:p w14:paraId="615C9DE9" w14:textId="77777777" w:rsidR="00A94153" w:rsidRDefault="00A94153" w:rsidP="00A94153">
      <w:pPr>
        <w:spacing w:line="480" w:lineRule="auto"/>
        <w:rPr>
          <w:rFonts w:eastAsia="Times New Roman"/>
        </w:rPr>
      </w:pPr>
    </w:p>
    <w:p w14:paraId="3922E310" w14:textId="77777777" w:rsidR="00A94153" w:rsidRDefault="00A94153" w:rsidP="00A94153">
      <w:pPr>
        <w:spacing w:line="480" w:lineRule="auto"/>
        <w:rPr>
          <w:rFonts w:eastAsia="Times New Roman"/>
        </w:rPr>
      </w:pPr>
    </w:p>
    <w:p w14:paraId="2E978FBF" w14:textId="77777777" w:rsidR="00A94153" w:rsidRDefault="00A94153" w:rsidP="00A94153">
      <w:pPr>
        <w:spacing w:line="480" w:lineRule="auto"/>
        <w:rPr>
          <w:rFonts w:eastAsia="Times New Roman"/>
        </w:rPr>
      </w:pPr>
    </w:p>
    <w:p w14:paraId="60E71644" w14:textId="77777777" w:rsidR="004A17B3" w:rsidRDefault="004A17B3" w:rsidP="00A94153">
      <w:pPr>
        <w:spacing w:line="480" w:lineRule="auto"/>
        <w:rPr>
          <w:rFonts w:eastAsia="Times New Roman"/>
        </w:rPr>
      </w:pPr>
    </w:p>
    <w:p w14:paraId="2BE3FCC7" w14:textId="2529B112" w:rsidR="005C071D" w:rsidRDefault="00A94153" w:rsidP="00B04621">
      <w:pPr>
        <w:spacing w:line="480" w:lineRule="auto"/>
      </w:pPr>
      <w:r w:rsidRPr="00C86159">
        <w:rPr>
          <w:b/>
        </w:rPr>
        <w:t xml:space="preserve"> </w:t>
      </w:r>
      <w:r w:rsidR="00C86159" w:rsidRPr="00C86159">
        <w:rPr>
          <w:b/>
        </w:rPr>
        <w:t>Figures</w:t>
      </w:r>
    </w:p>
    <w:p w14:paraId="35F7AE93" w14:textId="09DD559C" w:rsidR="00C86159" w:rsidRDefault="00C86159">
      <w:r w:rsidRPr="00793C08">
        <w:rPr>
          <w:b/>
        </w:rPr>
        <w:t>Figure 1</w:t>
      </w:r>
      <w:r>
        <w:t>: Comparison of Bone Affected by PDB (top) and Healthy Bone (bottom)</w:t>
      </w:r>
    </w:p>
    <w:p w14:paraId="2CDCA7D3" w14:textId="6EE181EB" w:rsidR="00C86159" w:rsidRDefault="00C86159">
      <w:r>
        <w:rPr>
          <w:noProof/>
        </w:rPr>
        <mc:AlternateContent>
          <mc:Choice Requires="wps">
            <w:drawing>
              <wp:anchor distT="0" distB="0" distL="114300" distR="114300" simplePos="0" relativeHeight="251656192" behindDoc="0" locked="0" layoutInCell="1" allowOverlap="1" wp14:anchorId="5C41F7E0" wp14:editId="2148FF98">
                <wp:simplePos x="0" y="0"/>
                <wp:positionH relativeFrom="column">
                  <wp:posOffset>914400</wp:posOffset>
                </wp:positionH>
                <wp:positionV relativeFrom="paragraph">
                  <wp:posOffset>1066800</wp:posOffset>
                </wp:positionV>
                <wp:extent cx="1943100" cy="571500"/>
                <wp:effectExtent l="50800" t="101600" r="38100" b="139700"/>
                <wp:wrapNone/>
                <wp:docPr id="2" name="Oval 2"/>
                <wp:cNvGraphicFramePr/>
                <a:graphic xmlns:a="http://schemas.openxmlformats.org/drawingml/2006/main">
                  <a:graphicData uri="http://schemas.microsoft.com/office/word/2010/wordprocessingShape">
                    <wps:wsp>
                      <wps:cNvSpPr/>
                      <wps:spPr>
                        <a:xfrm rot="691218">
                          <a:off x="0" y="0"/>
                          <a:ext cx="1943100" cy="571500"/>
                        </a:xfrm>
                        <a:prstGeom prst="ellipse">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a:ln w="38100" cmpd="sng">
                          <a:solidFill>
                            <a:srgbClr val="008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 o:spid="_x0000_s1026" style="position:absolute;margin-left:1in;margin-top:84pt;width:153pt;height:45pt;rotation:754994fd;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" fillcolor="#4f81bd [3204]" strokecolor="green" strokeweight="3pt">
                <v:fill opacity="0" color2="#a7bfde [1620]" o:opacity2="0" rotate="t" type="gradient">
                  <o:fill v:ext="view" type="gradientUnscaled"/>
                </v:fill>
                <v:shadow on="t" opacity="22937f" mv:blur="40000f" origin=",.5" offset="0,23000emu"/>
              </v:oval>
            </w:pict>
          </mc:Fallback>
        </mc:AlternateContent>
      </w:r>
      <w:r>
        <w:rPr>
          <w:noProof/>
        </w:rPr>
        <w:drawing>
          <wp:inline distT="0" distB="0" distL="0" distR="0" wp14:anchorId="4A151350" wp14:editId="08821D19">
            <wp:extent cx="4457700" cy="3926472"/>
            <wp:effectExtent l="0" t="0" r="0" b="10795"/>
            <wp:docPr id="1" name="Picture 1" descr="Macintosh HD:Users:user:Desktop:UNC DPT:Capstone:Screen Shot 2014-12-01 at 3.20.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UNC DPT:Capstone:Screen Shot 2014-12-01 at 3.20.18 PM.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6981" t="3288" r="16809" b="3562"/>
                    <a:stretch/>
                  </pic:blipFill>
                  <pic:spPr bwMode="auto">
                    <a:xfrm>
                      <a:off x="0" y="0"/>
                      <a:ext cx="4457700" cy="3926472"/>
                    </a:xfrm>
                    <a:prstGeom prst="rect">
                      <a:avLst/>
                    </a:prstGeom>
                    <a:noFill/>
                    <a:ln>
                      <a:noFill/>
                    </a:ln>
                    <a:extLst>
                      <a:ext uri="{53640926-AAD7-44d8-BBD7-CCE9431645EC}">
                        <a14:shadowObscured xmlns:a14="http://schemas.microsoft.com/office/drawing/2010/main"/>
                      </a:ext>
                    </a:extLst>
                  </pic:spPr>
                </pic:pic>
              </a:graphicData>
            </a:graphic>
          </wp:inline>
        </w:drawing>
      </w:r>
    </w:p>
    <w:p w14:paraId="7900522A" w14:textId="3A2FA010" w:rsidR="00570E50" w:rsidRPr="00570E50" w:rsidRDefault="00570E50">
      <w:pPr>
        <w:rPr>
          <w:i/>
          <w:sz w:val="20"/>
          <w:szCs w:val="20"/>
        </w:rPr>
      </w:pPr>
      <w:r w:rsidRPr="00825A6A">
        <w:rPr>
          <w:i/>
          <w:sz w:val="20"/>
          <w:szCs w:val="20"/>
        </w:rPr>
        <w:t>Credit: Histopathology Bone-Paget disease. YouTube. 2007. Assessed online at https://www.youtube.com/watch</w:t>
      </w:r>
      <w:r>
        <w:rPr>
          <w:i/>
          <w:sz w:val="20"/>
          <w:szCs w:val="20"/>
        </w:rPr>
        <w:t xml:space="preserve"> </w:t>
      </w:r>
      <w:r w:rsidRPr="00825A6A">
        <w:rPr>
          <w:i/>
          <w:sz w:val="20"/>
          <w:szCs w:val="20"/>
        </w:rPr>
        <w:t>?v=dC2TrqcEJEA#t=16</w:t>
      </w:r>
    </w:p>
    <w:p w14:paraId="1CC5C4AD" w14:textId="36E1A894" w:rsidR="00627F0D" w:rsidRDefault="00C86159">
      <w:pPr>
        <w:rPr>
          <w:sz w:val="20"/>
          <w:szCs w:val="20"/>
        </w:rPr>
      </w:pPr>
      <w:r>
        <w:rPr>
          <w:sz w:val="20"/>
          <w:szCs w:val="20"/>
        </w:rPr>
        <w:t xml:space="preserve">Top: Note the high number of </w:t>
      </w:r>
      <w:r w:rsidR="00EA174F">
        <w:rPr>
          <w:sz w:val="20"/>
          <w:szCs w:val="20"/>
        </w:rPr>
        <w:t xml:space="preserve">overactive </w:t>
      </w:r>
      <w:r>
        <w:rPr>
          <w:sz w:val="20"/>
          <w:szCs w:val="20"/>
        </w:rPr>
        <w:t>osteoblasts along the edges of the pink, “mosaic” trabeculae (green circle)</w:t>
      </w:r>
      <w:r w:rsidR="00832FBA">
        <w:rPr>
          <w:sz w:val="20"/>
          <w:szCs w:val="20"/>
        </w:rPr>
        <w:t>.</w:t>
      </w:r>
    </w:p>
    <w:p w14:paraId="064ED34D" w14:textId="6B330F5E" w:rsidR="00C86159" w:rsidRDefault="00C86159">
      <w:pPr>
        <w:rPr>
          <w:sz w:val="20"/>
          <w:szCs w:val="20"/>
        </w:rPr>
      </w:pPr>
      <w:r>
        <w:rPr>
          <w:sz w:val="20"/>
          <w:szCs w:val="20"/>
        </w:rPr>
        <w:t xml:space="preserve">Bottom: The trabeculae </w:t>
      </w:r>
      <w:r w:rsidR="005B5C04">
        <w:rPr>
          <w:sz w:val="20"/>
          <w:szCs w:val="20"/>
        </w:rPr>
        <w:t>are</w:t>
      </w:r>
      <w:r>
        <w:rPr>
          <w:sz w:val="20"/>
          <w:szCs w:val="20"/>
        </w:rPr>
        <w:t xml:space="preserve"> arranged in a</w:t>
      </w:r>
      <w:r w:rsidR="005B5C04">
        <w:rPr>
          <w:sz w:val="20"/>
          <w:szCs w:val="20"/>
        </w:rPr>
        <w:t>n organized,</w:t>
      </w:r>
      <w:r>
        <w:rPr>
          <w:sz w:val="20"/>
          <w:szCs w:val="20"/>
        </w:rPr>
        <w:t xml:space="preserve"> parallel fashion with an occas</w:t>
      </w:r>
      <w:r w:rsidR="005B5C04">
        <w:rPr>
          <w:sz w:val="20"/>
          <w:szCs w:val="20"/>
        </w:rPr>
        <w:t>ional osteoblast along its edge.</w:t>
      </w:r>
    </w:p>
    <w:p w14:paraId="42175D7C" w14:textId="77777777" w:rsidR="002D77F8" w:rsidRDefault="002D77F8">
      <w:pPr>
        <w:rPr>
          <w:sz w:val="20"/>
          <w:szCs w:val="20"/>
        </w:rPr>
      </w:pPr>
    </w:p>
    <w:p w14:paraId="156A3AE3" w14:textId="77777777" w:rsidR="002D77F8" w:rsidRDefault="002D77F8">
      <w:pPr>
        <w:rPr>
          <w:sz w:val="20"/>
          <w:szCs w:val="20"/>
        </w:rPr>
      </w:pPr>
    </w:p>
    <w:p w14:paraId="592C5C8B" w14:textId="77777777" w:rsidR="005D40A9" w:rsidRDefault="005D40A9">
      <w:pPr>
        <w:rPr>
          <w:sz w:val="20"/>
          <w:szCs w:val="20"/>
        </w:rPr>
      </w:pPr>
    </w:p>
    <w:p w14:paraId="77D302DF" w14:textId="79ABA099" w:rsidR="0025202D" w:rsidRDefault="0025202D">
      <w:r w:rsidRPr="00793C08">
        <w:rPr>
          <w:b/>
        </w:rPr>
        <w:t>Figure 2</w:t>
      </w:r>
      <w:r w:rsidR="002F747E">
        <w:t>: Radiographic I</w:t>
      </w:r>
      <w:r>
        <w:t xml:space="preserve">mages of </w:t>
      </w:r>
      <w:r w:rsidR="002F747E">
        <w:t>Bones A</w:t>
      </w:r>
      <w:r>
        <w:t>ffected by PDB</w:t>
      </w:r>
    </w:p>
    <w:p w14:paraId="71F886A7" w14:textId="338941E4" w:rsidR="00EA4331" w:rsidRPr="00EA4331" w:rsidRDefault="00EA4331">
      <w:pPr>
        <w:rPr>
          <w:i/>
          <w:sz w:val="18"/>
          <w:szCs w:val="18"/>
        </w:rPr>
      </w:pPr>
      <w:r>
        <w:rPr>
          <w:i/>
          <w:sz w:val="18"/>
          <w:szCs w:val="18"/>
        </w:rPr>
        <w:t>All images</w:t>
      </w:r>
      <w:r w:rsidR="00A37870">
        <w:rPr>
          <w:i/>
          <w:sz w:val="18"/>
          <w:szCs w:val="18"/>
        </w:rPr>
        <w:t xml:space="preserve"> in Figure 2</w:t>
      </w:r>
      <w:r>
        <w:rPr>
          <w:i/>
          <w:sz w:val="18"/>
          <w:szCs w:val="18"/>
        </w:rPr>
        <w:t xml:space="preserve"> obtained </w:t>
      </w:r>
      <w:r w:rsidR="00573C8C">
        <w:rPr>
          <w:i/>
          <w:sz w:val="18"/>
          <w:szCs w:val="18"/>
        </w:rPr>
        <w:t>from</w:t>
      </w:r>
      <w:r>
        <w:rPr>
          <w:i/>
          <w:sz w:val="18"/>
          <w:szCs w:val="18"/>
        </w:rPr>
        <w:t xml:space="preserve"> </w:t>
      </w:r>
      <w:r w:rsidRPr="00EA4331">
        <w:rPr>
          <w:i/>
          <w:sz w:val="18"/>
          <w:szCs w:val="18"/>
        </w:rPr>
        <w:t>http://radiopaedia.org/articles/paget-disease-of-bone-2</w:t>
      </w:r>
      <w:r>
        <w:rPr>
          <w:i/>
          <w:sz w:val="18"/>
          <w:szCs w:val="18"/>
        </w:rPr>
        <w:t>.</w:t>
      </w:r>
    </w:p>
    <w:p w14:paraId="1354B8EA" w14:textId="77777777" w:rsidR="005C071D" w:rsidRDefault="005C071D"/>
    <w:p w14:paraId="28F92D46" w14:textId="73B62436" w:rsidR="0044065B" w:rsidRDefault="005C071D">
      <w:r>
        <w:t>2a. X-ray of skull</w:t>
      </w:r>
      <w:r w:rsidR="0044065B">
        <w:tab/>
      </w:r>
      <w:r w:rsidR="0044065B">
        <w:tab/>
      </w:r>
      <w:r w:rsidR="0044065B">
        <w:tab/>
        <w:t xml:space="preserve">   </w:t>
      </w:r>
      <w:r w:rsidR="00DB1733">
        <w:tab/>
      </w:r>
      <w:r w:rsidR="0044065B">
        <w:t>2b. Radiograph of thoracolumbar spine</w:t>
      </w:r>
    </w:p>
    <w:p w14:paraId="406EFACF" w14:textId="7DDA4B99" w:rsidR="005C071D" w:rsidRPr="0025202D" w:rsidRDefault="0044065B" w:rsidP="0044065B">
      <w:pPr>
        <w:tabs>
          <w:tab w:val="left" w:pos="7120"/>
          <w:tab w:val="left" w:pos="7200"/>
          <w:tab w:val="left" w:pos="7616"/>
        </w:tabs>
      </w:pPr>
      <w:r>
        <w:rPr>
          <w:rFonts w:eastAsia="Times New Roman"/>
          <w:noProof/>
        </w:rPr>
        <w:drawing>
          <wp:anchor distT="0" distB="0" distL="114300" distR="114300" simplePos="0" relativeHeight="251664384" behindDoc="0" locked="0" layoutInCell="1" allowOverlap="1" wp14:anchorId="3E5067C4" wp14:editId="3AFAF2DE">
            <wp:simplePos x="0" y="0"/>
            <wp:positionH relativeFrom="column">
              <wp:posOffset>2743200</wp:posOffset>
            </wp:positionH>
            <wp:positionV relativeFrom="paragraph">
              <wp:posOffset>37465</wp:posOffset>
            </wp:positionV>
            <wp:extent cx="1600200" cy="2113280"/>
            <wp:effectExtent l="0" t="0" r="0" b="0"/>
            <wp:wrapNone/>
            <wp:docPr id="8" name="irc_mi" descr="http://img.medscape.com/fullsize/migrated/450/752/ar450752.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medscape.com/fullsize/migrated/450/752/ar450752.fig1.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6842" r="31235" b="21767"/>
                    <a:stretch/>
                  </pic:blipFill>
                  <pic:spPr bwMode="auto">
                    <a:xfrm>
                      <a:off x="0" y="0"/>
                      <a:ext cx="1600200" cy="2113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665408" behindDoc="0" locked="0" layoutInCell="1" allowOverlap="1" wp14:anchorId="57F14C38" wp14:editId="4384F882">
            <wp:simplePos x="0" y="0"/>
            <wp:positionH relativeFrom="column">
              <wp:posOffset>0</wp:posOffset>
            </wp:positionH>
            <wp:positionV relativeFrom="paragraph">
              <wp:posOffset>69215</wp:posOffset>
            </wp:positionV>
            <wp:extent cx="2062480" cy="1681480"/>
            <wp:effectExtent l="0" t="0" r="0" b="0"/>
            <wp:wrapNone/>
            <wp:docPr id="3" name="Picture 2" descr="http://images.radiopaedia.org/images/438/c5642ba05b7caf1a01ba5c3d62cee8_big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radiopaedia.org/images/438/c5642ba05b7caf1a01ba5c3d62cee8_big_gallery.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5554" b="12084"/>
                    <a:stretch/>
                  </pic:blipFill>
                  <pic:spPr bwMode="auto">
                    <a:xfrm>
                      <a:off x="0" y="0"/>
                      <a:ext cx="2062480" cy="1681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p>
    <w:p w14:paraId="32AA605B" w14:textId="32835C78" w:rsidR="0044065B" w:rsidRDefault="00C1418C">
      <w:pPr>
        <w:rPr>
          <w:sz w:val="20"/>
          <w:szCs w:val="20"/>
        </w:rPr>
      </w:pPr>
      <w:r>
        <w:rPr>
          <w:noProof/>
          <w:sz w:val="20"/>
          <w:szCs w:val="20"/>
        </w:rPr>
        <mc:AlternateContent>
          <mc:Choice Requires="wps">
            <w:drawing>
              <wp:anchor distT="0" distB="0" distL="114300" distR="114300" simplePos="0" relativeHeight="251668480" behindDoc="0" locked="0" layoutInCell="1" allowOverlap="1" wp14:anchorId="747F433A" wp14:editId="4A6D08F4">
                <wp:simplePos x="0" y="0"/>
                <wp:positionH relativeFrom="column">
                  <wp:posOffset>914400</wp:posOffset>
                </wp:positionH>
                <wp:positionV relativeFrom="paragraph">
                  <wp:posOffset>25400</wp:posOffset>
                </wp:positionV>
                <wp:extent cx="114300" cy="228600"/>
                <wp:effectExtent l="76200" t="50800" r="88900" b="101600"/>
                <wp:wrapNone/>
                <wp:docPr id="6" name="Straight Arrow Connector 6"/>
                <wp:cNvGraphicFramePr/>
                <a:graphic xmlns:a="http://schemas.openxmlformats.org/drawingml/2006/main">
                  <a:graphicData uri="http://schemas.microsoft.com/office/word/2010/wordprocessingShape">
                    <wps:wsp>
                      <wps:cNvCnPr/>
                      <wps:spPr>
                        <a:xfrm flipH="1" flipV="1">
                          <a:off x="0" y="0"/>
                          <a:ext cx="114300" cy="228600"/>
                        </a:xfrm>
                        <a:prstGeom prst="straightConnector1">
                          <a:avLst/>
                        </a:prstGeom>
                        <a:ln w="12700"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6" o:spid="_x0000_s1026" type="#_x0000_t32" style="position:absolute;margin-left:1in;margin-top:2pt;width:9pt;height:18pt;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" strokecolor="black [3213]" strokeweight="1pt">
                <v:stroke endarrow="open"/>
                <v:shadow on="t" opacity="24903f" mv:blur="40000f" origin=",.5" offset="0,20000emu"/>
              </v:shape>
            </w:pict>
          </mc:Fallback>
        </mc:AlternateContent>
      </w:r>
    </w:p>
    <w:p w14:paraId="3FDF2849" w14:textId="4D90326B" w:rsidR="00C6238B" w:rsidRDefault="00C1418C" w:rsidP="005D40A9">
      <w:pPr>
        <w:tabs>
          <w:tab w:val="left" w:pos="6390"/>
        </w:tabs>
        <w:rPr>
          <w:sz w:val="20"/>
          <w:szCs w:val="20"/>
        </w:rPr>
      </w:pPr>
      <w:r>
        <w:rPr>
          <w:noProof/>
          <w:sz w:val="20"/>
          <w:szCs w:val="20"/>
        </w:rPr>
        <mc:AlternateContent>
          <mc:Choice Requires="wps">
            <w:drawing>
              <wp:anchor distT="0" distB="0" distL="114300" distR="114300" simplePos="0" relativeHeight="251667456" behindDoc="0" locked="0" layoutInCell="1" allowOverlap="1" wp14:anchorId="2FEB06DE" wp14:editId="5F07D46B">
                <wp:simplePos x="0" y="0"/>
                <wp:positionH relativeFrom="column">
                  <wp:posOffset>457200</wp:posOffset>
                </wp:positionH>
                <wp:positionV relativeFrom="paragraph">
                  <wp:posOffset>107950</wp:posOffset>
                </wp:positionV>
                <wp:extent cx="228600" cy="114300"/>
                <wp:effectExtent l="50800" t="50800" r="76200" b="88900"/>
                <wp:wrapNone/>
                <wp:docPr id="5" name="Straight Arrow Connector 5"/>
                <wp:cNvGraphicFramePr/>
                <a:graphic xmlns:a="http://schemas.openxmlformats.org/drawingml/2006/main">
                  <a:graphicData uri="http://schemas.microsoft.com/office/word/2010/wordprocessingShape">
                    <wps:wsp>
                      <wps:cNvCnPr/>
                      <wps:spPr>
                        <a:xfrm flipH="1" flipV="1">
                          <a:off x="0" y="0"/>
                          <a:ext cx="228600" cy="114300"/>
                        </a:xfrm>
                        <a:prstGeom prst="straightConnector1">
                          <a:avLst/>
                        </a:prstGeom>
                        <a:ln w="12700"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5" o:spid="_x0000_s1026" type="#_x0000_t32" style="position:absolute;margin-left:36pt;margin-top:8.5pt;width:18pt;height:9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" strokecolor="black [3213]" strokeweight="1pt">
                <v:stroke endarrow="open"/>
                <v:shadow on="t" opacity="24903f" mv:blur="40000f" origin=",.5" offset="0,20000emu"/>
              </v:shape>
            </w:pict>
          </mc:Fallback>
        </mc:AlternateContent>
      </w:r>
      <w:r w:rsidR="00573C8C">
        <w:rPr>
          <w:sz w:val="20"/>
          <w:szCs w:val="20"/>
        </w:rPr>
        <w:tab/>
      </w:r>
    </w:p>
    <w:p w14:paraId="3A201D98" w14:textId="24BE5022" w:rsidR="00C6238B" w:rsidRDefault="00C1418C" w:rsidP="00DB1733">
      <w:pPr>
        <w:tabs>
          <w:tab w:val="left" w:pos="6930"/>
        </w:tabs>
        <w:rPr>
          <w:sz w:val="20"/>
          <w:szCs w:val="20"/>
        </w:rPr>
      </w:pPr>
      <w:r>
        <w:rPr>
          <w:noProof/>
          <w:sz w:val="20"/>
          <w:szCs w:val="20"/>
        </w:rPr>
        <mc:AlternateContent>
          <mc:Choice Requires="wps">
            <w:drawing>
              <wp:anchor distT="0" distB="0" distL="114300" distR="114300" simplePos="0" relativeHeight="251669504" behindDoc="0" locked="0" layoutInCell="1" allowOverlap="1" wp14:anchorId="3414E80B" wp14:editId="53FD4AB0">
                <wp:simplePos x="0" y="0"/>
                <wp:positionH relativeFrom="column">
                  <wp:posOffset>1600200</wp:posOffset>
                </wp:positionH>
                <wp:positionV relativeFrom="paragraph">
                  <wp:posOffset>76200</wp:posOffset>
                </wp:positionV>
                <wp:extent cx="228600" cy="0"/>
                <wp:effectExtent l="0" t="101600" r="25400" b="177800"/>
                <wp:wrapNone/>
                <wp:docPr id="7" name="Straight Arrow Connector 7"/>
                <wp:cNvGraphicFramePr/>
                <a:graphic xmlns:a="http://schemas.openxmlformats.org/drawingml/2006/main">
                  <a:graphicData uri="http://schemas.microsoft.com/office/word/2010/wordprocessingShape">
                    <wps:wsp>
                      <wps:cNvCnPr/>
                      <wps:spPr>
                        <a:xfrm>
                          <a:off x="0" y="0"/>
                          <a:ext cx="228600" cy="0"/>
                        </a:xfrm>
                        <a:prstGeom prst="straightConnector1">
                          <a:avLst/>
                        </a:prstGeom>
                        <a:ln w="12700"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7" o:spid="_x0000_s1026" type="#_x0000_t32" style="position:absolute;margin-left:126pt;margin-top:6pt;width:18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" strokecolor="black [3213]" strokeweight="1pt">
                <v:stroke endarrow="open"/>
                <v:shadow on="t" opacity="24903f" mv:blur="40000f" origin=",.5" offset="0,20000emu"/>
              </v:shape>
            </w:pict>
          </mc:Fallback>
        </mc:AlternateContent>
      </w:r>
    </w:p>
    <w:p w14:paraId="0F1E804C" w14:textId="000A35E7" w:rsidR="0044065B" w:rsidRPr="004A4FCE" w:rsidRDefault="00C1418C" w:rsidP="00DB1733">
      <w:pPr>
        <w:tabs>
          <w:tab w:val="left" w:pos="6930"/>
        </w:tabs>
        <w:rPr>
          <w:sz w:val="20"/>
          <w:szCs w:val="20"/>
        </w:rPr>
      </w:pPr>
      <w:r>
        <w:rPr>
          <w:noProof/>
          <w:sz w:val="20"/>
          <w:szCs w:val="20"/>
        </w:rPr>
        <mc:AlternateContent>
          <mc:Choice Requires="wps">
            <w:drawing>
              <wp:anchor distT="0" distB="0" distL="114300" distR="114300" simplePos="0" relativeHeight="251666432" behindDoc="0" locked="0" layoutInCell="1" allowOverlap="1" wp14:anchorId="475CEF43" wp14:editId="30524402">
                <wp:simplePos x="0" y="0"/>
                <wp:positionH relativeFrom="column">
                  <wp:posOffset>228600</wp:posOffset>
                </wp:positionH>
                <wp:positionV relativeFrom="paragraph">
                  <wp:posOffset>273050</wp:posOffset>
                </wp:positionV>
                <wp:extent cx="228600" cy="0"/>
                <wp:effectExtent l="76200" t="101600" r="0" b="177800"/>
                <wp:wrapNone/>
                <wp:docPr id="4" name="Straight Arrow Connector 4"/>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w="12700"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 o:spid="_x0000_s1026" type="#_x0000_t32" style="position:absolute;margin-left:18pt;margin-top:21.5pt;width:18pt;height:0;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" strokecolor="black [3213]" strokeweight="1pt">
                <v:stroke endarrow="open"/>
                <v:shadow on="t" opacity="24903f" mv:blur="40000f" origin=",.5" offset="0,20000emu"/>
              </v:shape>
            </w:pict>
          </mc:Fallback>
        </mc:AlternateContent>
      </w:r>
      <w:r w:rsidR="00C6238B">
        <w:rPr>
          <w:sz w:val="20"/>
          <w:szCs w:val="20"/>
        </w:rPr>
        <w:tab/>
      </w:r>
      <w:r w:rsidR="00573C8C" w:rsidRPr="004A4FCE">
        <w:rPr>
          <w:sz w:val="20"/>
          <w:szCs w:val="20"/>
        </w:rPr>
        <w:t>Characteristic “picture frame”</w:t>
      </w:r>
      <w:r w:rsidR="008C059E" w:rsidRPr="004A4FCE">
        <w:rPr>
          <w:sz w:val="20"/>
          <w:szCs w:val="20"/>
        </w:rPr>
        <w:t xml:space="preserve"> </w:t>
      </w:r>
      <w:r w:rsidR="00DB1733" w:rsidRPr="004A4FCE">
        <w:rPr>
          <w:sz w:val="20"/>
          <w:szCs w:val="20"/>
        </w:rPr>
        <w:tab/>
      </w:r>
      <w:r w:rsidR="00573C8C" w:rsidRPr="004A4FCE">
        <w:rPr>
          <w:sz w:val="20"/>
          <w:szCs w:val="20"/>
        </w:rPr>
        <w:t xml:space="preserve">vertebral body, caused by </w:t>
      </w:r>
      <w:r w:rsidR="00133635" w:rsidRPr="004A4FCE">
        <w:rPr>
          <w:sz w:val="20"/>
          <w:szCs w:val="20"/>
        </w:rPr>
        <w:tab/>
      </w:r>
      <w:r w:rsidR="00DB1733" w:rsidRPr="004A4FCE">
        <w:rPr>
          <w:sz w:val="20"/>
          <w:szCs w:val="20"/>
        </w:rPr>
        <w:tab/>
        <w:t>medullary</w:t>
      </w:r>
      <w:r w:rsidR="00133635" w:rsidRPr="004A4FCE">
        <w:rPr>
          <w:sz w:val="20"/>
          <w:szCs w:val="20"/>
        </w:rPr>
        <w:t xml:space="preserve"> </w:t>
      </w:r>
      <w:r w:rsidR="008C059E" w:rsidRPr="004A4FCE">
        <w:rPr>
          <w:sz w:val="20"/>
          <w:szCs w:val="20"/>
        </w:rPr>
        <w:t>bone</w:t>
      </w:r>
      <w:r w:rsidR="00FA0FBB" w:rsidRPr="004A4FCE">
        <w:rPr>
          <w:sz w:val="20"/>
          <w:szCs w:val="20"/>
        </w:rPr>
        <w:t xml:space="preserve"> resorption</w:t>
      </w:r>
      <w:r w:rsidR="00133635" w:rsidRPr="004A4FCE">
        <w:rPr>
          <w:sz w:val="20"/>
          <w:szCs w:val="20"/>
        </w:rPr>
        <w:t xml:space="preserve"> with </w:t>
      </w:r>
      <w:r w:rsidR="00133635" w:rsidRPr="004A4FCE">
        <w:rPr>
          <w:sz w:val="20"/>
          <w:szCs w:val="20"/>
        </w:rPr>
        <w:tab/>
      </w:r>
      <w:r w:rsidR="008C059E" w:rsidRPr="004A4FCE">
        <w:rPr>
          <w:sz w:val="20"/>
          <w:szCs w:val="20"/>
        </w:rPr>
        <w:t xml:space="preserve">dense cortical </w:t>
      </w:r>
      <w:r w:rsidR="00573C8C" w:rsidRPr="004A4FCE">
        <w:rPr>
          <w:sz w:val="20"/>
          <w:szCs w:val="20"/>
        </w:rPr>
        <w:t>thickening</w:t>
      </w:r>
      <w:r w:rsidR="00EB6F40">
        <w:rPr>
          <w:sz w:val="20"/>
          <w:szCs w:val="20"/>
        </w:rPr>
        <w:t>.</w:t>
      </w:r>
    </w:p>
    <w:p w14:paraId="202C8DDF" w14:textId="77777777" w:rsidR="0044065B" w:rsidRDefault="0044065B">
      <w:pPr>
        <w:rPr>
          <w:sz w:val="20"/>
          <w:szCs w:val="20"/>
        </w:rPr>
      </w:pPr>
    </w:p>
    <w:p w14:paraId="7E5DBE77" w14:textId="77777777" w:rsidR="00133635" w:rsidRDefault="00133635">
      <w:pPr>
        <w:rPr>
          <w:sz w:val="20"/>
          <w:szCs w:val="20"/>
        </w:rPr>
      </w:pPr>
    </w:p>
    <w:p w14:paraId="684B6892" w14:textId="77777777" w:rsidR="0044065B" w:rsidRDefault="0044065B">
      <w:pPr>
        <w:rPr>
          <w:sz w:val="20"/>
          <w:szCs w:val="20"/>
        </w:rPr>
      </w:pPr>
    </w:p>
    <w:p w14:paraId="2FF78A99" w14:textId="77777777" w:rsidR="0044065B" w:rsidRDefault="0044065B">
      <w:pPr>
        <w:rPr>
          <w:sz w:val="20"/>
          <w:szCs w:val="20"/>
        </w:rPr>
      </w:pPr>
    </w:p>
    <w:p w14:paraId="1D20CA69" w14:textId="4439FF76" w:rsidR="00C86159" w:rsidRPr="00B04621" w:rsidRDefault="00836863" w:rsidP="00B04621">
      <w:pPr>
        <w:rPr>
          <w:sz w:val="20"/>
          <w:szCs w:val="20"/>
        </w:rPr>
      </w:pPr>
      <w:r>
        <w:rPr>
          <w:sz w:val="20"/>
          <w:szCs w:val="20"/>
        </w:rPr>
        <w:t xml:space="preserve">Osteoporosis circumscripta: a large, </w:t>
      </w:r>
      <w:r w:rsidR="0044065B">
        <w:rPr>
          <w:sz w:val="20"/>
          <w:szCs w:val="20"/>
        </w:rPr>
        <w:br/>
      </w:r>
      <w:r>
        <w:rPr>
          <w:sz w:val="20"/>
          <w:szCs w:val="20"/>
        </w:rPr>
        <w:t>well-defined lytic lesion (arrows)</w:t>
      </w:r>
      <w:r w:rsidR="00EB6F40">
        <w:rPr>
          <w:sz w:val="20"/>
          <w:szCs w:val="20"/>
        </w:rPr>
        <w:t>.</w:t>
      </w:r>
      <w:r w:rsidR="0044065B" w:rsidRPr="0044065B">
        <w:rPr>
          <w:rFonts w:eastAsia="Times New Roman"/>
        </w:rPr>
        <w:t xml:space="preserve"> </w:t>
      </w:r>
    </w:p>
    <w:p w14:paraId="0E01ED0C" w14:textId="1A3B5554" w:rsidR="00C86159" w:rsidRDefault="00115A94" w:rsidP="00FE5E5E">
      <w:pPr>
        <w:tabs>
          <w:tab w:val="left" w:pos="5584"/>
          <w:tab w:val="left" w:pos="5776"/>
        </w:tabs>
      </w:pPr>
      <w:r>
        <w:t xml:space="preserve">Figure 2c: Bone Scintigraphy </w:t>
      </w:r>
      <w:r w:rsidR="00FE5E5E">
        <w:tab/>
        <w:t>Figure 2d: CT of Femur</w:t>
      </w:r>
      <w:r w:rsidR="00FE5E5E">
        <w:tab/>
      </w:r>
    </w:p>
    <w:p w14:paraId="7AEFA319" w14:textId="7EB08D97" w:rsidR="00C86159" w:rsidRDefault="00FE5E5E">
      <w:r>
        <w:rPr>
          <w:rFonts w:eastAsia="Times New Roman"/>
          <w:noProof/>
        </w:rPr>
        <w:drawing>
          <wp:anchor distT="0" distB="0" distL="114300" distR="114300" simplePos="0" relativeHeight="251671552" behindDoc="0" locked="0" layoutInCell="1" allowOverlap="1" wp14:anchorId="43E0C1AE" wp14:editId="354957DB">
            <wp:simplePos x="0" y="0"/>
            <wp:positionH relativeFrom="column">
              <wp:posOffset>3543300</wp:posOffset>
            </wp:positionH>
            <wp:positionV relativeFrom="paragraph">
              <wp:posOffset>53340</wp:posOffset>
            </wp:positionV>
            <wp:extent cx="1600200" cy="2514600"/>
            <wp:effectExtent l="0" t="0" r="0" b="0"/>
            <wp:wrapNone/>
            <wp:docPr id="11" name="Picture 8" descr="http://images.radiopaedia.org/images/7864790/6e77d66d67f17f97ca47ca79a3a90b_big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radiopaedia.org/images/7864790/6e77d66d67f17f97ca47ca79a3a90b_big_gallery.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1011" r="25656"/>
                    <a:stretch/>
                  </pic:blipFill>
                  <pic:spPr bwMode="auto">
                    <a:xfrm>
                      <a:off x="0" y="0"/>
                      <a:ext cx="1600200" cy="251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5A94">
        <w:rPr>
          <w:rFonts w:eastAsia="Times New Roman"/>
          <w:noProof/>
        </w:rPr>
        <w:drawing>
          <wp:anchor distT="0" distB="0" distL="114300" distR="114300" simplePos="0" relativeHeight="251670528" behindDoc="0" locked="0" layoutInCell="1" allowOverlap="1" wp14:anchorId="08194775" wp14:editId="321B5FDF">
            <wp:simplePos x="0" y="0"/>
            <wp:positionH relativeFrom="column">
              <wp:posOffset>0</wp:posOffset>
            </wp:positionH>
            <wp:positionV relativeFrom="paragraph">
              <wp:posOffset>53340</wp:posOffset>
            </wp:positionV>
            <wp:extent cx="2743200" cy="3018790"/>
            <wp:effectExtent l="0" t="0" r="0" b="3810"/>
            <wp:wrapNone/>
            <wp:docPr id="10" name="Picture 6" descr="http://images.radiopaedia.org/images/633614/af844bac7d5949a681be938cf5b4a4_big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radiopaedia.org/images/633614/af844bac7d5949a681be938cf5b4a4_big_galler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3018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50E9B2" w14:textId="77777777" w:rsidR="00C86159" w:rsidRDefault="00C86159"/>
    <w:p w14:paraId="792235FD" w14:textId="77777777" w:rsidR="00C86159" w:rsidRDefault="00C86159"/>
    <w:p w14:paraId="307E336E" w14:textId="77777777" w:rsidR="00C86159" w:rsidRDefault="00C86159"/>
    <w:p w14:paraId="7487DB00" w14:textId="77777777" w:rsidR="00C86159" w:rsidRDefault="00C86159"/>
    <w:p w14:paraId="1A346876" w14:textId="77777777" w:rsidR="0044065B" w:rsidRDefault="0044065B"/>
    <w:p w14:paraId="67984278" w14:textId="77777777" w:rsidR="0044065B" w:rsidRDefault="0044065B"/>
    <w:p w14:paraId="573AD9FF" w14:textId="77777777" w:rsidR="0044065B" w:rsidRDefault="0044065B"/>
    <w:p w14:paraId="07C9F4C4" w14:textId="239FAF2A" w:rsidR="0044065B" w:rsidRDefault="00C1418C">
      <w:r>
        <w:rPr>
          <w:noProof/>
          <w:sz w:val="20"/>
          <w:szCs w:val="20"/>
        </w:rPr>
        <mc:AlternateContent>
          <mc:Choice Requires="wps">
            <w:drawing>
              <wp:anchor distT="0" distB="0" distL="114300" distR="114300" simplePos="0" relativeHeight="251673600" behindDoc="0" locked="0" layoutInCell="1" allowOverlap="1" wp14:anchorId="100CF633" wp14:editId="751163D5">
                <wp:simplePos x="0" y="0"/>
                <wp:positionH relativeFrom="column">
                  <wp:posOffset>4457700</wp:posOffset>
                </wp:positionH>
                <wp:positionV relativeFrom="paragraph">
                  <wp:posOffset>22860</wp:posOffset>
                </wp:positionV>
                <wp:extent cx="228600" cy="114300"/>
                <wp:effectExtent l="50800" t="50800" r="76200" b="88900"/>
                <wp:wrapNone/>
                <wp:docPr id="12" name="Straight Arrow Connector 12"/>
                <wp:cNvGraphicFramePr/>
                <a:graphic xmlns:a="http://schemas.openxmlformats.org/drawingml/2006/main">
                  <a:graphicData uri="http://schemas.microsoft.com/office/word/2010/wordprocessingShape">
                    <wps:wsp>
                      <wps:cNvCnPr/>
                      <wps:spPr>
                        <a:xfrm flipH="1" flipV="1">
                          <a:off x="0" y="0"/>
                          <a:ext cx="228600" cy="114300"/>
                        </a:xfrm>
                        <a:prstGeom prst="straightConnector1">
                          <a:avLst/>
                        </a:prstGeom>
                        <a:ln w="12700" cmpd="sng">
                          <a:solidFill>
                            <a:schemeClr val="bg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351pt;margin-top:1.8pt;width:18pt;height:9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" strokecolor="white [3212]" strokeweight="1pt">
                <v:stroke endarrow="open"/>
                <v:shadow on="t" opacity="24903f" mv:blur="40000f" origin=",.5" offset="0,20000emu"/>
              </v:shape>
            </w:pict>
          </mc:Fallback>
        </mc:AlternateContent>
      </w:r>
    </w:p>
    <w:p w14:paraId="67353817" w14:textId="77777777" w:rsidR="00115A94" w:rsidRDefault="00115A94"/>
    <w:p w14:paraId="7FB5C875" w14:textId="77777777" w:rsidR="00115A94" w:rsidRDefault="00115A94"/>
    <w:p w14:paraId="7BD8253D" w14:textId="77777777" w:rsidR="00115A94" w:rsidRDefault="00115A94"/>
    <w:p w14:paraId="2E19955D" w14:textId="77777777" w:rsidR="00115A94" w:rsidRDefault="00115A94"/>
    <w:p w14:paraId="2683E289" w14:textId="77777777" w:rsidR="00115A94" w:rsidRDefault="00115A94"/>
    <w:p w14:paraId="2C965BC4" w14:textId="3EFDA495" w:rsidR="00115A94" w:rsidRDefault="00115A94"/>
    <w:p w14:paraId="7D9298A6" w14:textId="2691D8E1" w:rsidR="00115A94" w:rsidRPr="004A4FCE" w:rsidRDefault="00FE5E5E" w:rsidP="00103C52">
      <w:pPr>
        <w:tabs>
          <w:tab w:val="left" w:pos="5580"/>
        </w:tabs>
        <w:rPr>
          <w:sz w:val="20"/>
          <w:szCs w:val="20"/>
        </w:rPr>
      </w:pPr>
      <w:r>
        <w:tab/>
      </w:r>
      <w:r w:rsidRPr="004A4FCE">
        <w:rPr>
          <w:sz w:val="20"/>
          <w:szCs w:val="20"/>
        </w:rPr>
        <w:t xml:space="preserve">The “blade of grass” or “candle flame sign” refers </w:t>
      </w:r>
      <w:r w:rsidR="00103C52" w:rsidRPr="004A4FCE">
        <w:rPr>
          <w:sz w:val="20"/>
          <w:szCs w:val="20"/>
        </w:rPr>
        <w:tab/>
        <w:t xml:space="preserve">to the </w:t>
      </w:r>
      <w:r w:rsidRPr="004A4FCE">
        <w:rPr>
          <w:sz w:val="20"/>
          <w:szCs w:val="20"/>
        </w:rPr>
        <w:t xml:space="preserve">lucent leading edge in long bones during the </w:t>
      </w:r>
      <w:r w:rsidR="00103C52" w:rsidRPr="004A4FCE">
        <w:rPr>
          <w:sz w:val="20"/>
          <w:szCs w:val="20"/>
        </w:rPr>
        <w:tab/>
      </w:r>
      <w:r w:rsidRPr="004A4FCE">
        <w:rPr>
          <w:sz w:val="20"/>
          <w:szCs w:val="20"/>
        </w:rPr>
        <w:t>lytic phase of PD</w:t>
      </w:r>
      <w:r w:rsidR="00103C52" w:rsidRPr="004A4FCE">
        <w:rPr>
          <w:sz w:val="20"/>
          <w:szCs w:val="20"/>
        </w:rPr>
        <w:t>B</w:t>
      </w:r>
      <w:r w:rsidR="00EB6F40">
        <w:rPr>
          <w:sz w:val="20"/>
          <w:szCs w:val="20"/>
        </w:rPr>
        <w:t>.</w:t>
      </w:r>
    </w:p>
    <w:p w14:paraId="7BF71488" w14:textId="29FB3E4D" w:rsidR="00115A94" w:rsidRPr="004A4FCE" w:rsidRDefault="00115A94">
      <w:pPr>
        <w:rPr>
          <w:sz w:val="20"/>
          <w:szCs w:val="20"/>
        </w:rPr>
      </w:pPr>
      <w:r w:rsidRPr="004A4FCE">
        <w:rPr>
          <w:sz w:val="20"/>
          <w:szCs w:val="20"/>
        </w:rPr>
        <w:t xml:space="preserve">Increased uptake of radiopharmaceutical in different </w:t>
      </w:r>
      <w:r w:rsidR="00D20B5F" w:rsidRPr="004A4FCE">
        <w:rPr>
          <w:sz w:val="20"/>
          <w:szCs w:val="20"/>
        </w:rPr>
        <w:br/>
      </w:r>
      <w:r w:rsidRPr="004A4FCE">
        <w:rPr>
          <w:sz w:val="20"/>
          <w:szCs w:val="20"/>
        </w:rPr>
        <w:t>bones</w:t>
      </w:r>
      <w:r w:rsidR="00D20B5F" w:rsidRPr="004A4FCE">
        <w:rPr>
          <w:sz w:val="20"/>
          <w:szCs w:val="20"/>
        </w:rPr>
        <w:t xml:space="preserve"> affected by PDB</w:t>
      </w:r>
      <w:r w:rsidR="00EB6F40">
        <w:rPr>
          <w:sz w:val="20"/>
          <w:szCs w:val="20"/>
        </w:rPr>
        <w:t>.</w:t>
      </w:r>
    </w:p>
    <w:p w14:paraId="50DBABE7" w14:textId="77777777" w:rsidR="00115A94" w:rsidRDefault="00115A94"/>
    <w:p w14:paraId="165E988F" w14:textId="77777777" w:rsidR="00115A94" w:rsidRDefault="00115A94"/>
    <w:p w14:paraId="449B5014" w14:textId="77777777" w:rsidR="006B0DA0" w:rsidRDefault="006B0DA0"/>
    <w:p w14:paraId="2250CB79" w14:textId="5C006F1F" w:rsidR="00865F60" w:rsidRPr="00B3195C" w:rsidRDefault="00B3195C">
      <w:r>
        <w:rPr>
          <w:b/>
        </w:rPr>
        <w:t>Figure 2e:</w:t>
      </w:r>
      <w:r>
        <w:t xml:space="preserve"> Radiograph of diseased femur</w:t>
      </w:r>
      <w:r w:rsidR="00FB1A76">
        <w:t xml:space="preserve"> with common PDB findings</w:t>
      </w:r>
    </w:p>
    <w:p w14:paraId="109AA8BE" w14:textId="2FA5317D" w:rsidR="00865F60" w:rsidRDefault="00865F60">
      <w:r>
        <w:rPr>
          <w:noProof/>
        </w:rPr>
        <w:drawing>
          <wp:inline distT="0" distB="0" distL="0" distR="0" wp14:anchorId="6F68628C" wp14:editId="6158AA11">
            <wp:extent cx="3545205" cy="2895600"/>
            <wp:effectExtent l="0" t="0" r="1079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2-03 at 4.23.41 PM.png"/>
                    <pic:cNvPicPr/>
                  </pic:nvPicPr>
                  <pic:blipFill rotWithShape="1">
                    <a:blip r:embed="rId13">
                      <a:extLst>
                        <a:ext uri="{28A0092B-C50C-407E-A947-70E740481C1C}">
                          <a14:useLocalDpi xmlns:a14="http://schemas.microsoft.com/office/drawing/2010/main" val="0"/>
                        </a:ext>
                      </a:extLst>
                    </a:blip>
                    <a:srcRect t="1" r="4596" b="-1187"/>
                    <a:stretch/>
                  </pic:blipFill>
                  <pic:spPr bwMode="auto">
                    <a:xfrm>
                      <a:off x="0" y="0"/>
                      <a:ext cx="3546383" cy="2896562"/>
                    </a:xfrm>
                    <a:prstGeom prst="rect">
                      <a:avLst/>
                    </a:prstGeom>
                    <a:ln>
                      <a:noFill/>
                    </a:ln>
                    <a:extLst>
                      <a:ext uri="{53640926-AAD7-44d8-BBD7-CCE9431645EC}">
                        <a14:shadowObscured xmlns:a14="http://schemas.microsoft.com/office/drawing/2010/main"/>
                      </a:ext>
                    </a:extLst>
                  </pic:spPr>
                </pic:pic>
              </a:graphicData>
            </a:graphic>
          </wp:inline>
        </w:drawing>
      </w:r>
    </w:p>
    <w:p w14:paraId="3B117D9B" w14:textId="5B05FDFB" w:rsidR="00865F60" w:rsidRPr="00B3195C" w:rsidRDefault="00B3195C">
      <w:pPr>
        <w:rPr>
          <w:i/>
          <w:sz w:val="18"/>
          <w:szCs w:val="18"/>
        </w:rPr>
      </w:pPr>
      <w:r w:rsidRPr="00B3195C">
        <w:rPr>
          <w:i/>
          <w:sz w:val="18"/>
          <w:szCs w:val="18"/>
        </w:rPr>
        <w:t>Photo credit: Nuria Guanabens, MD. www.paget.org</w:t>
      </w:r>
    </w:p>
    <w:p w14:paraId="290C6998" w14:textId="77777777" w:rsidR="00865F60" w:rsidRDefault="00865F60"/>
    <w:p w14:paraId="5C3BAE3B" w14:textId="77777777" w:rsidR="00865F60" w:rsidRDefault="00865F60"/>
    <w:p w14:paraId="3A672563" w14:textId="77777777" w:rsidR="0094104E" w:rsidRDefault="0094104E"/>
    <w:p w14:paraId="21812924" w14:textId="77777777" w:rsidR="00865F60" w:rsidRDefault="00865F60"/>
    <w:p w14:paraId="4167C271" w14:textId="77777777" w:rsidR="006B0DA0" w:rsidRDefault="006B0DA0"/>
    <w:p w14:paraId="460F5F0B" w14:textId="2C30160D" w:rsidR="00115A94" w:rsidRDefault="00FE5E5E">
      <w:pPr>
        <w:rPr>
          <w:rFonts w:eastAsia="Times New Roman"/>
        </w:rPr>
      </w:pPr>
      <w:r>
        <w:rPr>
          <w:rFonts w:eastAsia="Times New Roman"/>
        </w:rPr>
        <w:t xml:space="preserve"> </w:t>
      </w:r>
      <w:r w:rsidR="0006705F" w:rsidRPr="0006705F">
        <w:rPr>
          <w:rFonts w:eastAsia="Times New Roman"/>
          <w:b/>
        </w:rPr>
        <w:t>Figure 3:</w:t>
      </w:r>
      <w:r w:rsidR="0006705F">
        <w:rPr>
          <w:rFonts w:eastAsia="Times New Roman"/>
        </w:rPr>
        <w:t xml:space="preserve"> </w:t>
      </w:r>
      <w:r w:rsidR="00287860">
        <w:rPr>
          <w:rFonts w:eastAsia="Times New Roman"/>
        </w:rPr>
        <w:t xml:space="preserve">Common </w:t>
      </w:r>
      <w:r w:rsidR="00591224">
        <w:rPr>
          <w:rFonts w:eastAsia="Times New Roman"/>
        </w:rPr>
        <w:t xml:space="preserve">Observable </w:t>
      </w:r>
      <w:r w:rsidR="0006705F">
        <w:rPr>
          <w:rFonts w:eastAsia="Times New Roman"/>
        </w:rPr>
        <w:t>Clinical Presentations of PDB</w:t>
      </w:r>
    </w:p>
    <w:p w14:paraId="484E9351" w14:textId="3564A03B" w:rsidR="0006705F" w:rsidRDefault="00BC2CAA">
      <w:pPr>
        <w:rPr>
          <w:rFonts w:eastAsia="Times New Roman"/>
        </w:rPr>
      </w:pPr>
      <w:r>
        <w:rPr>
          <w:rFonts w:eastAsia="Times New Roman"/>
        </w:rPr>
        <w:br/>
      </w:r>
    </w:p>
    <w:p w14:paraId="5EC4179B" w14:textId="7915D6BA" w:rsidR="0006705F" w:rsidRPr="0006705F" w:rsidRDefault="0006705F" w:rsidP="00E329B0">
      <w:r>
        <w:t>Figure 3a: Bowing of legs</w:t>
      </w:r>
      <w:r w:rsidR="00E329B0">
        <w:tab/>
        <w:t xml:space="preserve"> </w:t>
      </w:r>
      <w:r w:rsidR="00E329B0">
        <w:tab/>
      </w:r>
      <w:r w:rsidR="00E329B0">
        <w:tab/>
      </w:r>
      <w:r w:rsidR="00E329B0">
        <w:tab/>
      </w:r>
      <w:r w:rsidR="00E329B0">
        <w:tab/>
        <w:t xml:space="preserve">   Figure 3b: Frontal bossing of skull</w:t>
      </w:r>
    </w:p>
    <w:p w14:paraId="23AD938A" w14:textId="7F89E20E" w:rsidR="0006705F" w:rsidRDefault="00E329B0" w:rsidP="0006705F">
      <w:pPr>
        <w:tabs>
          <w:tab w:val="center" w:pos="4680"/>
        </w:tabs>
        <w:rPr>
          <w:i/>
          <w:sz w:val="18"/>
          <w:szCs w:val="18"/>
        </w:rPr>
      </w:pPr>
      <w:r>
        <w:rPr>
          <w:noProof/>
        </w:rPr>
        <w:drawing>
          <wp:anchor distT="0" distB="0" distL="114300" distR="114300" simplePos="0" relativeHeight="251675648" behindDoc="0" locked="0" layoutInCell="1" allowOverlap="1" wp14:anchorId="30D2876B" wp14:editId="3A3841AB">
            <wp:simplePos x="0" y="0"/>
            <wp:positionH relativeFrom="column">
              <wp:posOffset>3771900</wp:posOffset>
            </wp:positionH>
            <wp:positionV relativeFrom="paragraph">
              <wp:posOffset>20320</wp:posOffset>
            </wp:positionV>
            <wp:extent cx="1485900" cy="1804128"/>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2-02 at 1.43.25 PM.png"/>
                    <pic:cNvPicPr/>
                  </pic:nvPicPr>
                  <pic:blipFill>
                    <a:blip r:embed="rId14">
                      <a:extLst>
                        <a:ext uri="{28A0092B-C50C-407E-A947-70E740481C1C}">
                          <a14:useLocalDpi xmlns:a14="http://schemas.microsoft.com/office/drawing/2010/main" val="0"/>
                        </a:ext>
                      </a:extLst>
                    </a:blip>
                    <a:stretch>
                      <a:fillRect/>
                    </a:stretch>
                  </pic:blipFill>
                  <pic:spPr>
                    <a:xfrm>
                      <a:off x="0" y="0"/>
                      <a:ext cx="1486401" cy="1804736"/>
                    </a:xfrm>
                    <a:prstGeom prst="rect">
                      <a:avLst/>
                    </a:prstGeom>
                  </pic:spPr>
                </pic:pic>
              </a:graphicData>
            </a:graphic>
            <wp14:sizeRelH relativeFrom="page">
              <wp14:pctWidth>0</wp14:pctWidth>
            </wp14:sizeRelH>
            <wp14:sizeRelV relativeFrom="page">
              <wp14:pctHeight>0</wp14:pctHeight>
            </wp14:sizeRelV>
          </wp:anchor>
        </w:drawing>
      </w:r>
      <w:r w:rsidR="0006705F">
        <w:rPr>
          <w:rFonts w:eastAsia="Times New Roman"/>
          <w:noProof/>
        </w:rPr>
        <w:drawing>
          <wp:anchor distT="0" distB="0" distL="114300" distR="114300" simplePos="0" relativeHeight="251674624" behindDoc="0" locked="0" layoutInCell="1" allowOverlap="1" wp14:anchorId="247EC982" wp14:editId="45CB4F4A">
            <wp:simplePos x="0" y="0"/>
            <wp:positionH relativeFrom="column">
              <wp:align>left</wp:align>
            </wp:positionH>
            <wp:positionV relativeFrom="paragraph">
              <wp:align>top</wp:align>
            </wp:positionV>
            <wp:extent cx="2340610" cy="1732280"/>
            <wp:effectExtent l="0" t="0" r="0" b="0"/>
            <wp:wrapNone/>
            <wp:docPr id="14" name="Picture 12" descr="aget's disease of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get's disease of leg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0610" cy="1732280"/>
                    </a:xfrm>
                    <a:prstGeom prst="rect">
                      <a:avLst/>
                    </a:prstGeom>
                    <a:noFill/>
                    <a:ln>
                      <a:noFill/>
                    </a:ln>
                  </pic:spPr>
                </pic:pic>
              </a:graphicData>
            </a:graphic>
          </wp:anchor>
        </w:drawing>
      </w:r>
      <w:r w:rsidR="0006705F">
        <w:rPr>
          <w:i/>
          <w:sz w:val="18"/>
          <w:szCs w:val="18"/>
        </w:rPr>
        <w:tab/>
      </w:r>
      <w:r w:rsidR="0006705F">
        <w:br w:type="textWrapping" w:clear="all"/>
      </w:r>
    </w:p>
    <w:p w14:paraId="43A755BF" w14:textId="77777777" w:rsidR="0006705F" w:rsidRDefault="0006705F">
      <w:pPr>
        <w:rPr>
          <w:i/>
          <w:sz w:val="18"/>
          <w:szCs w:val="18"/>
        </w:rPr>
      </w:pPr>
    </w:p>
    <w:p w14:paraId="05914A6B" w14:textId="77777777" w:rsidR="0006705F" w:rsidRDefault="0006705F">
      <w:pPr>
        <w:rPr>
          <w:i/>
          <w:sz w:val="18"/>
          <w:szCs w:val="18"/>
        </w:rPr>
      </w:pPr>
    </w:p>
    <w:p w14:paraId="31E0B008" w14:textId="77777777" w:rsidR="0006705F" w:rsidRDefault="0006705F">
      <w:pPr>
        <w:rPr>
          <w:i/>
          <w:sz w:val="18"/>
          <w:szCs w:val="18"/>
        </w:rPr>
      </w:pPr>
    </w:p>
    <w:p w14:paraId="13CDEF7C" w14:textId="77777777" w:rsidR="0006705F" w:rsidRDefault="0006705F">
      <w:pPr>
        <w:rPr>
          <w:i/>
          <w:sz w:val="18"/>
          <w:szCs w:val="18"/>
        </w:rPr>
      </w:pPr>
    </w:p>
    <w:p w14:paraId="5E6933F3" w14:textId="77777777" w:rsidR="0006705F" w:rsidRDefault="0006705F">
      <w:pPr>
        <w:rPr>
          <w:i/>
          <w:sz w:val="18"/>
          <w:szCs w:val="18"/>
        </w:rPr>
      </w:pPr>
    </w:p>
    <w:p w14:paraId="04FACB32" w14:textId="77777777" w:rsidR="0006705F" w:rsidRDefault="0006705F">
      <w:pPr>
        <w:rPr>
          <w:i/>
          <w:sz w:val="18"/>
          <w:szCs w:val="18"/>
        </w:rPr>
      </w:pPr>
    </w:p>
    <w:p w14:paraId="2451EF71" w14:textId="77777777" w:rsidR="0006705F" w:rsidRDefault="0006705F">
      <w:pPr>
        <w:rPr>
          <w:i/>
          <w:sz w:val="18"/>
          <w:szCs w:val="18"/>
        </w:rPr>
      </w:pPr>
    </w:p>
    <w:p w14:paraId="765B9751" w14:textId="77777777" w:rsidR="0006705F" w:rsidRDefault="0006705F">
      <w:pPr>
        <w:rPr>
          <w:i/>
          <w:sz w:val="18"/>
          <w:szCs w:val="18"/>
        </w:rPr>
      </w:pPr>
    </w:p>
    <w:p w14:paraId="32C8F364" w14:textId="77777777" w:rsidR="0006705F" w:rsidRDefault="0006705F">
      <w:pPr>
        <w:rPr>
          <w:i/>
          <w:sz w:val="18"/>
          <w:szCs w:val="18"/>
        </w:rPr>
      </w:pPr>
    </w:p>
    <w:p w14:paraId="622E0BA2" w14:textId="77777777" w:rsidR="0006705F" w:rsidRDefault="0006705F">
      <w:pPr>
        <w:rPr>
          <w:i/>
          <w:sz w:val="18"/>
          <w:szCs w:val="18"/>
        </w:rPr>
      </w:pPr>
    </w:p>
    <w:p w14:paraId="1B812A8F" w14:textId="77777777" w:rsidR="0006705F" w:rsidRDefault="0006705F">
      <w:pPr>
        <w:rPr>
          <w:i/>
          <w:sz w:val="18"/>
          <w:szCs w:val="18"/>
        </w:rPr>
      </w:pPr>
    </w:p>
    <w:p w14:paraId="56BE1292" w14:textId="2AC6A46D" w:rsidR="00115A94" w:rsidRDefault="00E329B0" w:rsidP="00E329B0">
      <w:pPr>
        <w:ind w:left="6030" w:hanging="6030"/>
        <w:rPr>
          <w:i/>
          <w:sz w:val="18"/>
          <w:szCs w:val="18"/>
        </w:rPr>
      </w:pPr>
      <w:r w:rsidRPr="0071381E">
        <w:rPr>
          <w:i/>
          <w:sz w:val="18"/>
          <w:szCs w:val="18"/>
        </w:rPr>
        <w:t>http://www.etsu.edu/com/medicalmystery/pagetsofbone.aspx</w:t>
      </w:r>
      <w:r>
        <w:rPr>
          <w:i/>
          <w:sz w:val="18"/>
          <w:szCs w:val="18"/>
        </w:rPr>
        <w:t xml:space="preserve"> </w:t>
      </w:r>
      <w:r w:rsidR="0071381E" w:rsidRPr="0094104E">
        <w:rPr>
          <w:i/>
          <w:sz w:val="18"/>
          <w:szCs w:val="18"/>
        </w:rPr>
        <w:t>http://images.rheumatology.org/viewphoto.php?imageId=2861840&amp;albumId=75679</w:t>
      </w:r>
    </w:p>
    <w:p w14:paraId="440AD417" w14:textId="77777777" w:rsidR="0071381E" w:rsidRDefault="0071381E" w:rsidP="00E329B0">
      <w:pPr>
        <w:ind w:left="6030" w:hanging="6030"/>
        <w:rPr>
          <w:i/>
          <w:sz w:val="18"/>
          <w:szCs w:val="18"/>
        </w:rPr>
      </w:pPr>
    </w:p>
    <w:p w14:paraId="7A89A1EF" w14:textId="77777777" w:rsidR="00115A94" w:rsidRDefault="00115A94"/>
    <w:p w14:paraId="19461A1D" w14:textId="77777777" w:rsidR="00F40501" w:rsidRDefault="00F40501"/>
    <w:p w14:paraId="316496D0" w14:textId="77777777" w:rsidR="00F40501" w:rsidRDefault="00F40501"/>
    <w:p w14:paraId="2A49650D" w14:textId="288C0E86" w:rsidR="00115A94" w:rsidRDefault="00591224">
      <w:r>
        <w:t xml:space="preserve">Figure 3c: </w:t>
      </w:r>
      <w:r w:rsidR="00A06C1B">
        <w:t xml:space="preserve">“The Ugly Duchess” </w:t>
      </w:r>
    </w:p>
    <w:p w14:paraId="5CB65F37" w14:textId="3D08CBF3" w:rsidR="00115A94" w:rsidRDefault="00591224">
      <w:r>
        <w:rPr>
          <w:rFonts w:eastAsia="Times New Roman"/>
          <w:noProof/>
        </w:rPr>
        <w:drawing>
          <wp:anchor distT="0" distB="0" distL="114300" distR="114300" simplePos="0" relativeHeight="251676672" behindDoc="0" locked="0" layoutInCell="1" allowOverlap="1" wp14:anchorId="6A53BA32" wp14:editId="15850751">
            <wp:simplePos x="0" y="0"/>
            <wp:positionH relativeFrom="column">
              <wp:posOffset>0</wp:posOffset>
            </wp:positionH>
            <wp:positionV relativeFrom="paragraph">
              <wp:posOffset>53340</wp:posOffset>
            </wp:positionV>
            <wp:extent cx="2288540" cy="2741930"/>
            <wp:effectExtent l="0" t="0" r="0" b="1270"/>
            <wp:wrapNone/>
            <wp:docPr id="17" name="Picture 16" descr="http://upload.wikimedia.org/wikipedia/commons/thumb/3/36/Quentin_Matsys_-_A_Grotesque_old_woman.jpg/1280px-Quentin_Matsys_-_A_Grotesque_old_wo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thumb/3/36/Quentin_Matsys_-_A_Grotesque_old_woman.jpg/1280px-Quentin_Matsys_-_A_Grotesque_old_woman.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8787"/>
                    <a:stretch/>
                  </pic:blipFill>
                  <pic:spPr bwMode="auto">
                    <a:xfrm>
                      <a:off x="0" y="0"/>
                      <a:ext cx="2288540" cy="2741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958F03" w14:textId="77777777" w:rsidR="0006705F" w:rsidRDefault="0006705F"/>
    <w:p w14:paraId="4F9C2FBE" w14:textId="77777777" w:rsidR="0006705F" w:rsidRDefault="0006705F"/>
    <w:p w14:paraId="35E07B11" w14:textId="77777777" w:rsidR="0006705F" w:rsidRDefault="0006705F"/>
    <w:p w14:paraId="7FDE1C5B" w14:textId="77777777" w:rsidR="0006705F" w:rsidRDefault="0006705F"/>
    <w:p w14:paraId="06F2BF74" w14:textId="77777777" w:rsidR="0006705F" w:rsidRDefault="0006705F"/>
    <w:p w14:paraId="29A78A4D" w14:textId="77777777" w:rsidR="0006705F" w:rsidRDefault="0006705F"/>
    <w:p w14:paraId="1B71788D" w14:textId="77777777" w:rsidR="0006705F" w:rsidRDefault="0006705F"/>
    <w:p w14:paraId="6B2A851F" w14:textId="77777777" w:rsidR="0006705F" w:rsidRDefault="0006705F"/>
    <w:p w14:paraId="5941F68A" w14:textId="77777777" w:rsidR="0006705F" w:rsidRDefault="0006705F"/>
    <w:p w14:paraId="529BE4C6" w14:textId="77777777" w:rsidR="0006705F" w:rsidRDefault="0006705F"/>
    <w:p w14:paraId="41A45533" w14:textId="77777777" w:rsidR="0006705F" w:rsidRDefault="0006705F"/>
    <w:p w14:paraId="58655420" w14:textId="77777777" w:rsidR="0006705F" w:rsidRDefault="0006705F"/>
    <w:p w14:paraId="42593E38" w14:textId="77777777" w:rsidR="0006705F" w:rsidRDefault="0006705F"/>
    <w:p w14:paraId="74B4C813" w14:textId="77777777" w:rsidR="0006705F" w:rsidRDefault="0006705F"/>
    <w:p w14:paraId="566C8A05" w14:textId="77777777" w:rsidR="0006705F" w:rsidRDefault="0006705F"/>
    <w:p w14:paraId="1CF7CB3E" w14:textId="249763BB" w:rsidR="0006705F" w:rsidRPr="00A06C1B" w:rsidRDefault="00A06C1B">
      <w:pPr>
        <w:rPr>
          <w:i/>
          <w:sz w:val="18"/>
          <w:szCs w:val="18"/>
        </w:rPr>
      </w:pPr>
      <w:r w:rsidRPr="00A06C1B">
        <w:rPr>
          <w:i/>
          <w:sz w:val="18"/>
          <w:szCs w:val="18"/>
        </w:rPr>
        <w:t>http://www.theguardian.com/culture/2008/oct/11/art-painting</w:t>
      </w:r>
    </w:p>
    <w:p w14:paraId="693CD2CD" w14:textId="76A5DB35" w:rsidR="0006705F" w:rsidRPr="00A06C1B" w:rsidRDefault="00A06C1B">
      <w:pPr>
        <w:rPr>
          <w:sz w:val="20"/>
          <w:szCs w:val="20"/>
        </w:rPr>
      </w:pPr>
      <w:r>
        <w:rPr>
          <w:sz w:val="20"/>
          <w:szCs w:val="20"/>
        </w:rPr>
        <w:t>A famous painting by Quinten Massys (</w:t>
      </w:r>
      <w:r w:rsidRPr="00A06C1B">
        <w:rPr>
          <w:sz w:val="20"/>
          <w:szCs w:val="20"/>
        </w:rPr>
        <w:t>1513</w:t>
      </w:r>
      <w:r>
        <w:rPr>
          <w:sz w:val="20"/>
          <w:szCs w:val="20"/>
        </w:rPr>
        <w:t>), it is now thought</w:t>
      </w:r>
      <w:r>
        <w:rPr>
          <w:sz w:val="20"/>
          <w:szCs w:val="20"/>
        </w:rPr>
        <w:br/>
        <w:t>that the sitter suffered from PDB. Notice her prono</w:t>
      </w:r>
      <w:r w:rsidR="000971C8">
        <w:rPr>
          <w:sz w:val="20"/>
          <w:szCs w:val="20"/>
        </w:rPr>
        <w:t>unced</w:t>
      </w:r>
      <w:r w:rsidR="000971C8">
        <w:rPr>
          <w:sz w:val="20"/>
          <w:szCs w:val="20"/>
        </w:rPr>
        <w:br/>
        <w:t>forehead and enlarged jaw</w:t>
      </w:r>
      <w:r>
        <w:rPr>
          <w:sz w:val="20"/>
          <w:szCs w:val="20"/>
        </w:rPr>
        <w:t>bones.</w:t>
      </w:r>
    </w:p>
    <w:p w14:paraId="5B6FA35C" w14:textId="77777777" w:rsidR="00115A94" w:rsidRDefault="00115A94"/>
    <w:p w14:paraId="64DAED37" w14:textId="77777777" w:rsidR="00115A94" w:rsidRDefault="00115A94"/>
    <w:p w14:paraId="3DCB4D4B" w14:textId="77777777" w:rsidR="00115A94" w:rsidRDefault="00115A94"/>
    <w:p w14:paraId="2F948567" w14:textId="77777777" w:rsidR="00293EA8" w:rsidRDefault="00293EA8"/>
    <w:p w14:paraId="6B9F7245" w14:textId="77777777" w:rsidR="00AD3F45" w:rsidRDefault="00AD3F45"/>
    <w:p w14:paraId="784AA4A2" w14:textId="77777777" w:rsidR="003F3D5E" w:rsidRDefault="003F3D5E"/>
    <w:p w14:paraId="2856B8B4" w14:textId="7D925F78" w:rsidR="00115A94" w:rsidRDefault="00332C3A">
      <w:r>
        <w:t>Resources</w:t>
      </w:r>
    </w:p>
    <w:p w14:paraId="3DDD40E2" w14:textId="77777777" w:rsidR="00CF65D4" w:rsidRDefault="00CF65D4"/>
    <w:p w14:paraId="09C51E69" w14:textId="77777777" w:rsidR="00332C3A" w:rsidRDefault="00332C3A"/>
    <w:p w14:paraId="794B0B1D" w14:textId="5F387A41" w:rsidR="00C9632D" w:rsidRDefault="00332C3A" w:rsidP="00A6525A">
      <w:pPr>
        <w:rPr>
          <w:rFonts w:eastAsia="Times New Roman"/>
        </w:rPr>
      </w:pPr>
      <w:r>
        <w:t xml:space="preserve">1.     </w:t>
      </w:r>
      <w:r>
        <w:rPr>
          <w:rFonts w:eastAsia="Times New Roman"/>
        </w:rPr>
        <w:t>Gruener G, Camacho P. Paget's disease of bone. Handb Clin Neurol. 2014;119:529-40. PubMed PMID: 24365317.</w:t>
      </w:r>
      <w:r w:rsidR="00710D7E">
        <w:rPr>
          <w:rFonts w:eastAsia="Times New Roman"/>
        </w:rPr>
        <w:br/>
      </w:r>
      <w:r w:rsidR="00710D7E">
        <w:rPr>
          <w:rFonts w:eastAsia="Times New Roman"/>
        </w:rPr>
        <w:br/>
        <w:t xml:space="preserve">2.     Knipe </w:t>
      </w:r>
      <w:r w:rsidR="004F1615">
        <w:rPr>
          <w:rFonts w:eastAsia="Times New Roman"/>
        </w:rPr>
        <w:t xml:space="preserve">H, Gaillard F, et al. Paget disease of bone. Radiopaedia.org. Assessed December 1, 2014 online at </w:t>
      </w:r>
      <w:r w:rsidR="004F1615" w:rsidRPr="004F1615">
        <w:rPr>
          <w:rFonts w:eastAsia="Times New Roman"/>
        </w:rPr>
        <w:t>http://radiopaedia.org/articles/paget-disease-of-bone-2</w:t>
      </w:r>
      <w:r w:rsidR="004F1615">
        <w:rPr>
          <w:rFonts w:eastAsia="Times New Roman"/>
        </w:rPr>
        <w:t>.</w:t>
      </w:r>
      <w:r w:rsidR="004F1615">
        <w:rPr>
          <w:rFonts w:eastAsia="Times New Roman"/>
        </w:rPr>
        <w:br/>
      </w:r>
      <w:r w:rsidR="004F1615">
        <w:rPr>
          <w:rFonts w:eastAsia="Times New Roman"/>
        </w:rPr>
        <w:br/>
        <w:t xml:space="preserve">3.     </w:t>
      </w:r>
      <w:r w:rsidR="00710D7E">
        <w:rPr>
          <w:rFonts w:eastAsia="Times New Roman"/>
        </w:rPr>
        <w:t xml:space="preserve">Schoenfeld K, </w:t>
      </w:r>
      <w:r w:rsidR="00710D7E" w:rsidRPr="00BE435C">
        <w:rPr>
          <w:rFonts w:eastAsia="Times New Roman"/>
        </w:rPr>
        <w:t xml:space="preserve">Pariser D, Lonnemann E. Paget’s Disease. Physiopedia. Assessed December 1, 2014 online at </w:t>
      </w:r>
      <w:r w:rsidR="006B2C4D" w:rsidRPr="006B2C4D">
        <w:rPr>
          <w:rFonts w:eastAsia="Times New Roman"/>
        </w:rPr>
        <w:t>http://www.physio-pedia.com/Paget%27s_Disease#cite_</w:t>
      </w:r>
      <w:r w:rsidR="006B2C4D">
        <w:rPr>
          <w:rFonts w:eastAsia="Times New Roman"/>
        </w:rPr>
        <w:t xml:space="preserve"> </w:t>
      </w:r>
      <w:r w:rsidR="00710D7E" w:rsidRPr="00BE435C">
        <w:rPr>
          <w:rFonts w:eastAsia="Times New Roman"/>
        </w:rPr>
        <w:t>note-Goodman_and_Fuller-0.</w:t>
      </w:r>
      <w:r w:rsidR="00710D7E" w:rsidRPr="00BE435C">
        <w:rPr>
          <w:rFonts w:eastAsia="Times New Roman"/>
        </w:rPr>
        <w:br/>
      </w:r>
      <w:r w:rsidR="00710D7E" w:rsidRPr="00BE435C">
        <w:rPr>
          <w:rFonts w:eastAsia="Times New Roman"/>
        </w:rPr>
        <w:br/>
        <w:t xml:space="preserve">4.     </w:t>
      </w:r>
      <w:r w:rsidR="001C2751" w:rsidRPr="00BE435C">
        <w:rPr>
          <w:rFonts w:eastAsia="Times New Roman"/>
        </w:rPr>
        <w:t>Bolland MJ, Cundy T. Paget's disease of bone: clinical review and update. J Clin Pathol. 2013 Nov;66(11):924-7. PubMed PMID: 24043712.</w:t>
      </w:r>
      <w:r w:rsidR="000D224D" w:rsidRPr="00BE435C">
        <w:rPr>
          <w:rFonts w:eastAsia="Times New Roman"/>
        </w:rPr>
        <w:br/>
      </w:r>
      <w:r w:rsidR="000D224D" w:rsidRPr="00C9632D">
        <w:rPr>
          <w:rFonts w:eastAsia="Times New Roman"/>
        </w:rPr>
        <w:br/>
        <w:t>5.</w:t>
      </w:r>
      <w:r w:rsidR="00BE435C" w:rsidRPr="00C9632D">
        <w:rPr>
          <w:rFonts w:eastAsia="Times New Roman"/>
        </w:rPr>
        <w:t xml:space="preserve">     </w:t>
      </w:r>
      <w:r w:rsidR="00BE435C" w:rsidRPr="00C9632D">
        <w:t xml:space="preserve">Ralston SH, Langston AL, Reid IR. Pathogenesis and management of paget's disease of bone. </w:t>
      </w:r>
      <w:r w:rsidR="00BE435C" w:rsidRPr="00C9632D">
        <w:rPr>
          <w:iCs/>
        </w:rPr>
        <w:t>The Lancet</w:t>
      </w:r>
      <w:r w:rsidR="00BE435C" w:rsidRPr="00C9632D">
        <w:t xml:space="preserve">. 2008;372(9633):155-163. doi: </w:t>
      </w:r>
      <w:r w:rsidR="00C9632D" w:rsidRPr="00C9632D">
        <w:t>http://dx.doi.org/10.1016/</w:t>
      </w:r>
      <w:r w:rsidR="00C9632D">
        <w:t xml:space="preserve"> </w:t>
      </w:r>
      <w:r w:rsidR="00BE435C" w:rsidRPr="00C9632D">
        <w:t>S0140-6736(08)61035-1.</w:t>
      </w:r>
      <w:r w:rsidR="00455EEA" w:rsidRPr="00C9632D">
        <w:br/>
      </w:r>
      <w:r w:rsidR="00455EEA" w:rsidRPr="00C9632D">
        <w:br/>
        <w:t xml:space="preserve">6.     </w:t>
      </w:r>
      <w:r w:rsidR="00455EEA" w:rsidRPr="00C9632D">
        <w:rPr>
          <w:rFonts w:eastAsia="Times New Roman"/>
        </w:rPr>
        <w:t xml:space="preserve">Gross, M. </w:t>
      </w:r>
      <w:r w:rsidR="00455EEA" w:rsidRPr="00C9632D">
        <w:rPr>
          <w:rStyle w:val="Emphasis"/>
          <w:rFonts w:eastAsia="Times New Roman"/>
        </w:rPr>
        <w:t>Bone: Composition, Structure, Mechanical Properties, and Healing</w:t>
      </w:r>
      <w:r w:rsidR="00455EEA" w:rsidRPr="00C9632D">
        <w:rPr>
          <w:rFonts w:eastAsia="Times New Roman"/>
        </w:rPr>
        <w:t>.  2014. Accessed on December 1, 2014: https://voicethread.com/#u3595440. b166168.i884921</w:t>
      </w:r>
      <w:r w:rsidR="00811444" w:rsidRPr="00C9632D">
        <w:rPr>
          <w:rFonts w:eastAsia="Times New Roman"/>
        </w:rPr>
        <w:t>.</w:t>
      </w:r>
      <w:r w:rsidR="00811444" w:rsidRPr="00C9632D">
        <w:rPr>
          <w:rFonts w:eastAsia="Times New Roman"/>
        </w:rPr>
        <w:br/>
      </w:r>
      <w:r w:rsidR="00811444" w:rsidRPr="00C9632D">
        <w:rPr>
          <w:rFonts w:eastAsia="Times New Roman"/>
        </w:rPr>
        <w:br/>
        <w:t xml:space="preserve">7.     </w:t>
      </w:r>
      <w:r w:rsidR="00811444" w:rsidRPr="00C9632D">
        <w:rPr>
          <w:rStyle w:val="cit-auth"/>
          <w:rFonts w:eastAsia="Times New Roman"/>
        </w:rPr>
        <w:t>Curry, J.D. The Structure of Bone Tissue. Bones: Structure and Mechanics. Princ</w:t>
      </w:r>
      <w:r w:rsidR="00C9632D" w:rsidRPr="00C9632D">
        <w:rPr>
          <w:rStyle w:val="cit-auth"/>
          <w:rFonts w:eastAsia="Times New Roman"/>
        </w:rPr>
        <w:t>eton U. Press. Princeton, NJ.</w:t>
      </w:r>
      <w:r w:rsidR="00811444" w:rsidRPr="00C9632D">
        <w:rPr>
          <w:rStyle w:val="cit-auth"/>
          <w:rFonts w:eastAsia="Times New Roman"/>
        </w:rPr>
        <w:t xml:space="preserve"> </w:t>
      </w:r>
      <w:r w:rsidR="00C9632D" w:rsidRPr="00C9632D">
        <w:rPr>
          <w:rStyle w:val="cit-auth"/>
          <w:rFonts w:eastAsia="Times New Roman"/>
        </w:rPr>
        <w:t>2006;</w:t>
      </w:r>
      <w:r w:rsidR="00811444" w:rsidRPr="00C9632D">
        <w:rPr>
          <w:rStyle w:val="cit-auth"/>
          <w:rFonts w:eastAsia="Times New Roman"/>
        </w:rPr>
        <w:t>12–14</w:t>
      </w:r>
      <w:r w:rsidR="00C9632D" w:rsidRPr="00C9632D">
        <w:rPr>
          <w:rStyle w:val="cit-auth"/>
          <w:rFonts w:eastAsia="Times New Roman"/>
        </w:rPr>
        <w:t>.</w:t>
      </w:r>
      <w:r w:rsidR="00C9632D" w:rsidRPr="00C9632D">
        <w:rPr>
          <w:rStyle w:val="cit-auth"/>
          <w:rFonts w:eastAsia="Times New Roman"/>
        </w:rPr>
        <w:br/>
      </w:r>
      <w:r w:rsidR="00C9632D" w:rsidRPr="00C9632D">
        <w:rPr>
          <w:rStyle w:val="cit-auth"/>
          <w:rFonts w:eastAsia="Times New Roman"/>
        </w:rPr>
        <w:br/>
        <w:t xml:space="preserve">8.     </w:t>
      </w:r>
      <w:r w:rsidR="00625BAA">
        <w:rPr>
          <w:rFonts w:eastAsia="Times New Roman"/>
        </w:rPr>
        <w:t>Corral-Gudino L, Borao-Cengotita-Bengoa M, Del Pino-Montes J, Ralston S. Epidemiology of Paget's disease of bone: a systematic review and meta-analysis of secular changes. Bone. 2013 Aug;55(2):347-52. PubMed PMID: 23643679.</w:t>
      </w:r>
      <w:r w:rsidR="00D11BBE">
        <w:rPr>
          <w:rFonts w:eastAsia="Times New Roman"/>
        </w:rPr>
        <w:br/>
      </w:r>
      <w:r w:rsidR="00D11BBE">
        <w:rPr>
          <w:rFonts w:eastAsia="Times New Roman"/>
        </w:rPr>
        <w:br/>
        <w:t xml:space="preserve">9.     </w:t>
      </w:r>
      <w:r w:rsidR="00490245">
        <w:rPr>
          <w:rFonts w:eastAsia="Times New Roman"/>
        </w:rPr>
        <w:t>Information for Patients About Paget’s Disease of Bone</w:t>
      </w:r>
      <w:r w:rsidR="00D11BBE">
        <w:rPr>
          <w:rFonts w:eastAsia="Times New Roman"/>
        </w:rPr>
        <w:t>. NIH Osteoporosis and Related Bone Disease</w:t>
      </w:r>
      <w:r w:rsidR="00490245">
        <w:rPr>
          <w:rFonts w:eastAsia="Times New Roman"/>
        </w:rPr>
        <w:t>s National Resource Center. 2012</w:t>
      </w:r>
      <w:r w:rsidR="00D11BBE">
        <w:rPr>
          <w:rFonts w:eastAsia="Times New Roman"/>
        </w:rPr>
        <w:t xml:space="preserve">. Assessed December 2, 2014 online at </w:t>
      </w:r>
      <w:r w:rsidR="00D11BBE" w:rsidRPr="00D11BBE">
        <w:rPr>
          <w:rFonts w:eastAsia="Times New Roman"/>
        </w:rPr>
        <w:t>http://www.niams.nih.gov/Health_Info/Bone/</w:t>
      </w:r>
      <w:r w:rsidR="00D11BBE">
        <w:rPr>
          <w:rFonts w:eastAsia="Times New Roman"/>
        </w:rPr>
        <w:t xml:space="preserve"> </w:t>
      </w:r>
      <w:r w:rsidR="00D11BBE" w:rsidRPr="00D11BBE">
        <w:rPr>
          <w:rFonts w:eastAsia="Times New Roman"/>
        </w:rPr>
        <w:t>Pagets/pagets_disease_ff.asp</w:t>
      </w:r>
      <w:r w:rsidR="00D11BBE">
        <w:rPr>
          <w:rFonts w:eastAsia="Times New Roman"/>
        </w:rPr>
        <w:t>.</w:t>
      </w:r>
      <w:r w:rsidR="00DA65DF">
        <w:rPr>
          <w:rFonts w:eastAsia="Times New Roman"/>
        </w:rPr>
        <w:br/>
      </w:r>
      <w:r w:rsidR="00DA65DF">
        <w:rPr>
          <w:rFonts w:eastAsia="Times New Roman"/>
        </w:rPr>
        <w:br/>
        <w:t xml:space="preserve">10.     van Staa TP, Selby P, Leufkens HG, Lyles K, Sprafka JM, Cooper C. Incidence and natural history of </w:t>
      </w:r>
      <w:r w:rsidR="00DA65DF" w:rsidRPr="00B922F5">
        <w:rPr>
          <w:rFonts w:eastAsia="Times New Roman"/>
        </w:rPr>
        <w:t>Paget's disease of bone in England and Wales. J Bone Miner Res. 2002 Mar;17(3):465-71. PubMed PMID: 11878305.</w:t>
      </w:r>
      <w:r w:rsidR="00B922F5" w:rsidRPr="00B922F5">
        <w:rPr>
          <w:rFonts w:eastAsia="Times New Roman"/>
        </w:rPr>
        <w:br/>
      </w:r>
      <w:r w:rsidR="00B922F5" w:rsidRPr="00B922F5">
        <w:rPr>
          <w:rFonts w:eastAsia="Times New Roman"/>
        </w:rPr>
        <w:br/>
        <w:t xml:space="preserve">11.     </w:t>
      </w:r>
      <w:r w:rsidR="00EC555E">
        <w:rPr>
          <w:rFonts w:eastAsia="Times New Roman"/>
        </w:rPr>
        <w:t xml:space="preserve">Reid IR, Miller P, Lyles K, et al. Comparison of a single infusion of zoledronic acid with risedronate for paget's disease. </w:t>
      </w:r>
      <w:r w:rsidR="00EC555E">
        <w:rPr>
          <w:rFonts w:eastAsia="Times New Roman"/>
          <w:i/>
          <w:iCs/>
        </w:rPr>
        <w:t>N Engl J Med</w:t>
      </w:r>
      <w:r w:rsidR="00EC555E">
        <w:rPr>
          <w:rFonts w:eastAsia="Times New Roman"/>
        </w:rPr>
        <w:t xml:space="preserve">. 2005;353(9):898-908. </w:t>
      </w:r>
      <w:r w:rsidR="00EC555E" w:rsidRPr="00EC555E">
        <w:rPr>
          <w:rFonts w:eastAsia="Times New Roman"/>
        </w:rPr>
        <w:t>http://dx.doi.org/10.1056/</w:t>
      </w:r>
      <w:r w:rsidR="00EC555E">
        <w:rPr>
          <w:rFonts w:eastAsia="Times New Roman"/>
        </w:rPr>
        <w:t xml:space="preserve"> </w:t>
      </w:r>
      <w:r w:rsidR="00EC555E" w:rsidRPr="00EC555E">
        <w:rPr>
          <w:rFonts w:eastAsia="Times New Roman"/>
        </w:rPr>
        <w:t>NEJMoa044241</w:t>
      </w:r>
      <w:r w:rsidR="00EC555E">
        <w:rPr>
          <w:rFonts w:eastAsia="Times New Roman"/>
        </w:rPr>
        <w:t>. doi: 10.1056/NEJMoa044241.</w:t>
      </w:r>
      <w:r w:rsidR="0084474B">
        <w:rPr>
          <w:rFonts w:eastAsia="Times New Roman"/>
        </w:rPr>
        <w:br/>
      </w:r>
      <w:r w:rsidR="0084474B">
        <w:rPr>
          <w:rFonts w:eastAsia="Times New Roman"/>
        </w:rPr>
        <w:br/>
        <w:t>12.     Griz L, Fontan D, Mesquita P, Lazaretti-Castro M, Borba VZ, Borges JL, Fontenele T, Maia J, Bandeira F. Diagnosis and management of Paget?s disease of bone. Arq Bras Endocrinol Metabol. 2014 Aug;58(6):587-99. PubMed PMID: 25211441.</w:t>
      </w:r>
      <w:r w:rsidR="00335680">
        <w:rPr>
          <w:rFonts w:eastAsia="Times New Roman"/>
        </w:rPr>
        <w:br/>
      </w:r>
      <w:r w:rsidR="00335680">
        <w:rPr>
          <w:rFonts w:eastAsia="Times New Roman"/>
        </w:rPr>
        <w:br/>
        <w:t xml:space="preserve">13.     Alikhan MM, Driver K, Lohr KM. Paget Disease. Medscape. Updated March 2013. Assessed December 2, 2014 at </w:t>
      </w:r>
      <w:r w:rsidR="00335680" w:rsidRPr="00335680">
        <w:rPr>
          <w:rFonts w:eastAsia="Times New Roman"/>
        </w:rPr>
        <w:t>http://emedicine.medscape.com/article/334607-overview</w:t>
      </w:r>
      <w:r w:rsidR="00335680">
        <w:rPr>
          <w:rFonts w:eastAsia="Times New Roman"/>
        </w:rPr>
        <w:t>.</w:t>
      </w:r>
      <w:r w:rsidR="006E785D">
        <w:rPr>
          <w:rFonts w:eastAsia="Times New Roman"/>
        </w:rPr>
        <w:br/>
      </w:r>
      <w:r w:rsidR="001C4D9E">
        <w:rPr>
          <w:rFonts w:eastAsia="Times New Roman"/>
        </w:rPr>
        <w:br/>
        <w:t xml:space="preserve">14.     </w:t>
      </w:r>
      <w:r w:rsidR="002E1583" w:rsidRPr="001C4D9E">
        <w:rPr>
          <w:rFonts w:eastAsia="Times New Roman"/>
        </w:rPr>
        <w:t xml:space="preserve">Siris ES, Roodman GD. Paget’s disease of bone. In: Favus MJ, ed. </w:t>
      </w:r>
      <w:r w:rsidR="002E1583" w:rsidRPr="001C4D9E">
        <w:rPr>
          <w:rFonts w:eastAsia="Times New Roman"/>
          <w:i/>
          <w:iCs/>
        </w:rPr>
        <w:t>Primer on the Metabolic</w:t>
      </w:r>
      <w:r w:rsidR="002E1583" w:rsidRPr="001C4D9E">
        <w:rPr>
          <w:rFonts w:eastAsia="Times New Roman"/>
        </w:rPr>
        <w:t xml:space="preserve"> </w:t>
      </w:r>
      <w:r w:rsidR="002E1583" w:rsidRPr="001C4D9E">
        <w:rPr>
          <w:rFonts w:eastAsia="Times New Roman"/>
          <w:i/>
          <w:iCs/>
        </w:rPr>
        <w:t>Bone Diseases and Disorders of Mineral Metabolism.</w:t>
      </w:r>
      <w:r w:rsidR="002E1583" w:rsidRPr="001C4D9E">
        <w:rPr>
          <w:rFonts w:eastAsia="Times New Roman"/>
        </w:rPr>
        <w:t xml:space="preserve"> 5th ed. Washington, DC: American Society for Bone and Mineral Research; 2003:495-506. </w:t>
      </w:r>
      <w:r w:rsidR="00F154EB">
        <w:rPr>
          <w:rFonts w:eastAsia="Times New Roman"/>
        </w:rPr>
        <w:br/>
      </w:r>
      <w:r w:rsidR="00F154EB">
        <w:rPr>
          <w:rFonts w:eastAsia="Times New Roman"/>
        </w:rPr>
        <w:br/>
        <w:t>15.     Langston AL, Campbell MK, Fraser WD, Maclennan G, Selby P, Ralston SH. Clinical determinants of quality of life in Paget's disease of bone. Calcif Tissue Int. 2007 Jan;80(1):1-9. PubMed PMID: 17205328.</w:t>
      </w:r>
      <w:r w:rsidR="006E785D">
        <w:rPr>
          <w:rFonts w:eastAsia="Times New Roman"/>
        </w:rPr>
        <w:br/>
      </w:r>
    </w:p>
    <w:p w14:paraId="14B6EFE6" w14:textId="04403750" w:rsidR="00A6525A" w:rsidRPr="00A6525A" w:rsidRDefault="00A6525A" w:rsidP="00A6525A">
      <w:pPr>
        <w:rPr>
          <w:rFonts w:eastAsia="Times New Roman"/>
        </w:rPr>
      </w:pPr>
      <w:r>
        <w:rPr>
          <w:rFonts w:eastAsia="Times New Roman"/>
        </w:rPr>
        <w:t xml:space="preserve">16.     Chow D, Slipman CW. Rehabilitation for Paget Disease. Medscape. Updated Nov 2013. Assessed December 2, 2014 at </w:t>
      </w:r>
      <w:r w:rsidRPr="00A6525A">
        <w:rPr>
          <w:rFonts w:eastAsia="Times New Roman"/>
        </w:rPr>
        <w:t>http://emedicine.medscape.com/article/311688-overview#showall</w:t>
      </w:r>
      <w:r>
        <w:rPr>
          <w:rFonts w:eastAsia="Times New Roman"/>
        </w:rPr>
        <w:t>.</w:t>
      </w:r>
    </w:p>
    <w:p w14:paraId="6A2C50BF" w14:textId="6FDAAC41" w:rsidR="00332C3A" w:rsidRDefault="00332C3A"/>
    <w:sectPr w:rsidR="00332C3A" w:rsidSect="00627F0D">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E40B55" w14:textId="77777777" w:rsidR="002E037F" w:rsidRDefault="002E037F" w:rsidP="00F06066">
      <w:r>
        <w:separator/>
      </w:r>
    </w:p>
  </w:endnote>
  <w:endnote w:type="continuationSeparator" w:id="0">
    <w:p w14:paraId="73449F28" w14:textId="77777777" w:rsidR="002E037F" w:rsidRDefault="002E037F" w:rsidP="00F06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EB0E4E" w14:textId="77777777" w:rsidR="002E037F" w:rsidRDefault="002E037F" w:rsidP="00F06066">
      <w:r>
        <w:separator/>
      </w:r>
    </w:p>
  </w:footnote>
  <w:footnote w:type="continuationSeparator" w:id="0">
    <w:p w14:paraId="3AEFB4B4" w14:textId="77777777" w:rsidR="002E037F" w:rsidRDefault="002E037F" w:rsidP="00F0606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661A1" w14:textId="5434BDFA" w:rsidR="002E037F" w:rsidRDefault="002E037F" w:rsidP="00F06066">
    <w:pPr>
      <w:pStyle w:val="Header"/>
      <w:jc w:val="right"/>
    </w:pPr>
    <w:r>
      <w:t>Thomas Reid Medlin</w:t>
    </w:r>
  </w:p>
  <w:p w14:paraId="5B5B2F5C" w14:textId="06690CB2" w:rsidR="002E037F" w:rsidRDefault="002E037F" w:rsidP="00F06066">
    <w:pPr>
      <w:pStyle w:val="Header"/>
      <w:jc w:val="right"/>
    </w:pPr>
    <w:r>
      <w:t>December 4, 2014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6ED7"/>
    <w:multiLevelType w:val="hybridMultilevel"/>
    <w:tmpl w:val="0B3C76B8"/>
    <w:lvl w:ilvl="0" w:tplc="15467C16">
      <w:start w:val="1"/>
      <w:numFmt w:val="decimal"/>
      <w:lvlText w:val="%1."/>
      <w:lvlJc w:val="left"/>
      <w:pPr>
        <w:tabs>
          <w:tab w:val="num" w:pos="720"/>
        </w:tabs>
        <w:ind w:left="720" w:hanging="360"/>
      </w:pPr>
    </w:lvl>
    <w:lvl w:ilvl="1" w:tplc="BB8456AC" w:tentative="1">
      <w:start w:val="1"/>
      <w:numFmt w:val="decimal"/>
      <w:lvlText w:val="%2."/>
      <w:lvlJc w:val="left"/>
      <w:pPr>
        <w:tabs>
          <w:tab w:val="num" w:pos="1440"/>
        </w:tabs>
        <w:ind w:left="1440" w:hanging="360"/>
      </w:pPr>
    </w:lvl>
    <w:lvl w:ilvl="2" w:tplc="5B342E8E" w:tentative="1">
      <w:start w:val="1"/>
      <w:numFmt w:val="decimal"/>
      <w:lvlText w:val="%3."/>
      <w:lvlJc w:val="left"/>
      <w:pPr>
        <w:tabs>
          <w:tab w:val="num" w:pos="2160"/>
        </w:tabs>
        <w:ind w:left="2160" w:hanging="360"/>
      </w:pPr>
    </w:lvl>
    <w:lvl w:ilvl="3" w:tplc="6EBE0078" w:tentative="1">
      <w:start w:val="1"/>
      <w:numFmt w:val="decimal"/>
      <w:lvlText w:val="%4."/>
      <w:lvlJc w:val="left"/>
      <w:pPr>
        <w:tabs>
          <w:tab w:val="num" w:pos="2880"/>
        </w:tabs>
        <w:ind w:left="2880" w:hanging="360"/>
      </w:pPr>
    </w:lvl>
    <w:lvl w:ilvl="4" w:tplc="4F303652" w:tentative="1">
      <w:start w:val="1"/>
      <w:numFmt w:val="decimal"/>
      <w:lvlText w:val="%5."/>
      <w:lvlJc w:val="left"/>
      <w:pPr>
        <w:tabs>
          <w:tab w:val="num" w:pos="3600"/>
        </w:tabs>
        <w:ind w:left="3600" w:hanging="360"/>
      </w:pPr>
    </w:lvl>
    <w:lvl w:ilvl="5" w:tplc="55EE22EA" w:tentative="1">
      <w:start w:val="1"/>
      <w:numFmt w:val="decimal"/>
      <w:lvlText w:val="%6."/>
      <w:lvlJc w:val="left"/>
      <w:pPr>
        <w:tabs>
          <w:tab w:val="num" w:pos="4320"/>
        </w:tabs>
        <w:ind w:left="4320" w:hanging="360"/>
      </w:pPr>
    </w:lvl>
    <w:lvl w:ilvl="6" w:tplc="EC8C62F6" w:tentative="1">
      <w:start w:val="1"/>
      <w:numFmt w:val="decimal"/>
      <w:lvlText w:val="%7."/>
      <w:lvlJc w:val="left"/>
      <w:pPr>
        <w:tabs>
          <w:tab w:val="num" w:pos="5040"/>
        </w:tabs>
        <w:ind w:left="5040" w:hanging="360"/>
      </w:pPr>
    </w:lvl>
    <w:lvl w:ilvl="7" w:tplc="DD3A84FA" w:tentative="1">
      <w:start w:val="1"/>
      <w:numFmt w:val="decimal"/>
      <w:lvlText w:val="%8."/>
      <w:lvlJc w:val="left"/>
      <w:pPr>
        <w:tabs>
          <w:tab w:val="num" w:pos="5760"/>
        </w:tabs>
        <w:ind w:left="5760" w:hanging="360"/>
      </w:pPr>
    </w:lvl>
    <w:lvl w:ilvl="8" w:tplc="FCA6EECC" w:tentative="1">
      <w:start w:val="1"/>
      <w:numFmt w:val="decimal"/>
      <w:lvlText w:val="%9."/>
      <w:lvlJc w:val="left"/>
      <w:pPr>
        <w:tabs>
          <w:tab w:val="num" w:pos="6480"/>
        </w:tabs>
        <w:ind w:left="6480" w:hanging="360"/>
      </w:pPr>
    </w:lvl>
  </w:abstractNum>
  <w:abstractNum w:abstractNumId="1">
    <w:nsid w:val="08A01DF4"/>
    <w:multiLevelType w:val="multilevel"/>
    <w:tmpl w:val="95765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D630BC8"/>
    <w:multiLevelType w:val="hybridMultilevel"/>
    <w:tmpl w:val="54EEB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FSVPasteboard_" w:val="4"/>
  </w:docVars>
  <w:rsids>
    <w:rsidRoot w:val="005E477D"/>
    <w:rsid w:val="000007AE"/>
    <w:rsid w:val="00021690"/>
    <w:rsid w:val="00024FCD"/>
    <w:rsid w:val="00041734"/>
    <w:rsid w:val="00041FCD"/>
    <w:rsid w:val="00056ABF"/>
    <w:rsid w:val="0006705F"/>
    <w:rsid w:val="00083E02"/>
    <w:rsid w:val="000971C8"/>
    <w:rsid w:val="000A138E"/>
    <w:rsid w:val="000C69A8"/>
    <w:rsid w:val="000D224D"/>
    <w:rsid w:val="000F1133"/>
    <w:rsid w:val="000F78E1"/>
    <w:rsid w:val="00102E10"/>
    <w:rsid w:val="00103C52"/>
    <w:rsid w:val="00115A94"/>
    <w:rsid w:val="00124F70"/>
    <w:rsid w:val="00133635"/>
    <w:rsid w:val="00133A69"/>
    <w:rsid w:val="0014310C"/>
    <w:rsid w:val="00144627"/>
    <w:rsid w:val="00161A29"/>
    <w:rsid w:val="00197C23"/>
    <w:rsid w:val="001C2751"/>
    <w:rsid w:val="001C4D9E"/>
    <w:rsid w:val="001E5CE4"/>
    <w:rsid w:val="00210AA2"/>
    <w:rsid w:val="00222D27"/>
    <w:rsid w:val="00244E67"/>
    <w:rsid w:val="002457D0"/>
    <w:rsid w:val="0025031F"/>
    <w:rsid w:val="0025202D"/>
    <w:rsid w:val="00287860"/>
    <w:rsid w:val="00293EA8"/>
    <w:rsid w:val="002A15DD"/>
    <w:rsid w:val="002A51ED"/>
    <w:rsid w:val="002B282B"/>
    <w:rsid w:val="002C1248"/>
    <w:rsid w:val="002C21CF"/>
    <w:rsid w:val="002D77F8"/>
    <w:rsid w:val="002D79C0"/>
    <w:rsid w:val="002E037F"/>
    <w:rsid w:val="002E1583"/>
    <w:rsid w:val="002F747E"/>
    <w:rsid w:val="003165D6"/>
    <w:rsid w:val="0032129A"/>
    <w:rsid w:val="00322906"/>
    <w:rsid w:val="00327E5A"/>
    <w:rsid w:val="0033172D"/>
    <w:rsid w:val="00332C3A"/>
    <w:rsid w:val="00335680"/>
    <w:rsid w:val="0034506E"/>
    <w:rsid w:val="003531C4"/>
    <w:rsid w:val="00354FFD"/>
    <w:rsid w:val="00357067"/>
    <w:rsid w:val="003A26C5"/>
    <w:rsid w:val="003A2910"/>
    <w:rsid w:val="003C4970"/>
    <w:rsid w:val="003D4858"/>
    <w:rsid w:val="003D766D"/>
    <w:rsid w:val="003E2F5F"/>
    <w:rsid w:val="003E7624"/>
    <w:rsid w:val="003F3D5E"/>
    <w:rsid w:val="0044065B"/>
    <w:rsid w:val="00455EEA"/>
    <w:rsid w:val="00472B06"/>
    <w:rsid w:val="004825AB"/>
    <w:rsid w:val="00490245"/>
    <w:rsid w:val="0049527C"/>
    <w:rsid w:val="004A17B3"/>
    <w:rsid w:val="004A4FCE"/>
    <w:rsid w:val="004B4F81"/>
    <w:rsid w:val="004B6BEB"/>
    <w:rsid w:val="004C228D"/>
    <w:rsid w:val="004D1EB8"/>
    <w:rsid w:val="004D2096"/>
    <w:rsid w:val="004D6E23"/>
    <w:rsid w:val="004E7ED1"/>
    <w:rsid w:val="004F1615"/>
    <w:rsid w:val="00502C40"/>
    <w:rsid w:val="00522643"/>
    <w:rsid w:val="00526EAF"/>
    <w:rsid w:val="00570E50"/>
    <w:rsid w:val="0057237C"/>
    <w:rsid w:val="00573C8C"/>
    <w:rsid w:val="0058308E"/>
    <w:rsid w:val="00591224"/>
    <w:rsid w:val="005B0CB3"/>
    <w:rsid w:val="005B5C04"/>
    <w:rsid w:val="005C071D"/>
    <w:rsid w:val="005D40A9"/>
    <w:rsid w:val="005D5188"/>
    <w:rsid w:val="005E477D"/>
    <w:rsid w:val="00601BB2"/>
    <w:rsid w:val="0062394F"/>
    <w:rsid w:val="00625BAA"/>
    <w:rsid w:val="00627F0D"/>
    <w:rsid w:val="00647D17"/>
    <w:rsid w:val="00692FC5"/>
    <w:rsid w:val="00696783"/>
    <w:rsid w:val="006A0387"/>
    <w:rsid w:val="006B0DA0"/>
    <w:rsid w:val="006B2C4D"/>
    <w:rsid w:val="006D05B5"/>
    <w:rsid w:val="006E1B02"/>
    <w:rsid w:val="006E785D"/>
    <w:rsid w:val="006F6380"/>
    <w:rsid w:val="00707983"/>
    <w:rsid w:val="00710D7E"/>
    <w:rsid w:val="0071381E"/>
    <w:rsid w:val="007147EC"/>
    <w:rsid w:val="00717C10"/>
    <w:rsid w:val="00721947"/>
    <w:rsid w:val="007238D1"/>
    <w:rsid w:val="00724F39"/>
    <w:rsid w:val="0073189A"/>
    <w:rsid w:val="00731E96"/>
    <w:rsid w:val="007416C9"/>
    <w:rsid w:val="0075020E"/>
    <w:rsid w:val="0077509B"/>
    <w:rsid w:val="00784220"/>
    <w:rsid w:val="00793C08"/>
    <w:rsid w:val="0079470F"/>
    <w:rsid w:val="007B45E5"/>
    <w:rsid w:val="007B6236"/>
    <w:rsid w:val="007C3B66"/>
    <w:rsid w:val="007C63AD"/>
    <w:rsid w:val="007E76E8"/>
    <w:rsid w:val="00811444"/>
    <w:rsid w:val="00814D33"/>
    <w:rsid w:val="0082492B"/>
    <w:rsid w:val="0082569D"/>
    <w:rsid w:val="00825A6A"/>
    <w:rsid w:val="00832FBA"/>
    <w:rsid w:val="008354CC"/>
    <w:rsid w:val="00836863"/>
    <w:rsid w:val="00837AD3"/>
    <w:rsid w:val="008438A1"/>
    <w:rsid w:val="0084474B"/>
    <w:rsid w:val="00853FC8"/>
    <w:rsid w:val="00865F60"/>
    <w:rsid w:val="0087338F"/>
    <w:rsid w:val="008843E4"/>
    <w:rsid w:val="008A1CF9"/>
    <w:rsid w:val="008B4051"/>
    <w:rsid w:val="008B47FB"/>
    <w:rsid w:val="008B7852"/>
    <w:rsid w:val="008B7CF3"/>
    <w:rsid w:val="008C059E"/>
    <w:rsid w:val="008C43C3"/>
    <w:rsid w:val="008F571F"/>
    <w:rsid w:val="0091722B"/>
    <w:rsid w:val="0093396E"/>
    <w:rsid w:val="0094104E"/>
    <w:rsid w:val="00947C2A"/>
    <w:rsid w:val="009567FE"/>
    <w:rsid w:val="0096094E"/>
    <w:rsid w:val="00961DF9"/>
    <w:rsid w:val="00975994"/>
    <w:rsid w:val="009D3E63"/>
    <w:rsid w:val="009D6C86"/>
    <w:rsid w:val="009E3645"/>
    <w:rsid w:val="009F1EDF"/>
    <w:rsid w:val="00A06C1B"/>
    <w:rsid w:val="00A2041A"/>
    <w:rsid w:val="00A23D90"/>
    <w:rsid w:val="00A37870"/>
    <w:rsid w:val="00A5288E"/>
    <w:rsid w:val="00A52D9A"/>
    <w:rsid w:val="00A561A4"/>
    <w:rsid w:val="00A56E09"/>
    <w:rsid w:val="00A57AFC"/>
    <w:rsid w:val="00A6525A"/>
    <w:rsid w:val="00A94153"/>
    <w:rsid w:val="00A945A6"/>
    <w:rsid w:val="00AA2467"/>
    <w:rsid w:val="00AC42E0"/>
    <w:rsid w:val="00AD3F45"/>
    <w:rsid w:val="00AE3B2C"/>
    <w:rsid w:val="00B03B50"/>
    <w:rsid w:val="00B04098"/>
    <w:rsid w:val="00B04621"/>
    <w:rsid w:val="00B07091"/>
    <w:rsid w:val="00B17451"/>
    <w:rsid w:val="00B26677"/>
    <w:rsid w:val="00B27A69"/>
    <w:rsid w:val="00B3195C"/>
    <w:rsid w:val="00B450EB"/>
    <w:rsid w:val="00B60BE8"/>
    <w:rsid w:val="00B728D8"/>
    <w:rsid w:val="00B84D97"/>
    <w:rsid w:val="00B922F5"/>
    <w:rsid w:val="00BA7454"/>
    <w:rsid w:val="00BB4009"/>
    <w:rsid w:val="00BC2CAA"/>
    <w:rsid w:val="00BD5585"/>
    <w:rsid w:val="00BE1BA3"/>
    <w:rsid w:val="00BE435C"/>
    <w:rsid w:val="00BE6789"/>
    <w:rsid w:val="00C12E87"/>
    <w:rsid w:val="00C1418C"/>
    <w:rsid w:val="00C30E23"/>
    <w:rsid w:val="00C47C6D"/>
    <w:rsid w:val="00C5040F"/>
    <w:rsid w:val="00C57538"/>
    <w:rsid w:val="00C60D31"/>
    <w:rsid w:val="00C6238B"/>
    <w:rsid w:val="00C659C1"/>
    <w:rsid w:val="00C725F1"/>
    <w:rsid w:val="00C86159"/>
    <w:rsid w:val="00C9632D"/>
    <w:rsid w:val="00CB3A39"/>
    <w:rsid w:val="00CE19A1"/>
    <w:rsid w:val="00CE63E7"/>
    <w:rsid w:val="00CF65D4"/>
    <w:rsid w:val="00D06C69"/>
    <w:rsid w:val="00D11BBE"/>
    <w:rsid w:val="00D12E08"/>
    <w:rsid w:val="00D14DC1"/>
    <w:rsid w:val="00D20B5F"/>
    <w:rsid w:val="00D50C61"/>
    <w:rsid w:val="00D52DF0"/>
    <w:rsid w:val="00D54517"/>
    <w:rsid w:val="00D61585"/>
    <w:rsid w:val="00D80078"/>
    <w:rsid w:val="00DA3E64"/>
    <w:rsid w:val="00DA5115"/>
    <w:rsid w:val="00DA65DF"/>
    <w:rsid w:val="00DB1733"/>
    <w:rsid w:val="00DB1CA0"/>
    <w:rsid w:val="00DC6701"/>
    <w:rsid w:val="00DD6191"/>
    <w:rsid w:val="00DE15A8"/>
    <w:rsid w:val="00DF0968"/>
    <w:rsid w:val="00E1064A"/>
    <w:rsid w:val="00E329B0"/>
    <w:rsid w:val="00E36C26"/>
    <w:rsid w:val="00E422BC"/>
    <w:rsid w:val="00E43026"/>
    <w:rsid w:val="00E6118B"/>
    <w:rsid w:val="00E96717"/>
    <w:rsid w:val="00EA174F"/>
    <w:rsid w:val="00EA4331"/>
    <w:rsid w:val="00EB04FA"/>
    <w:rsid w:val="00EB6F40"/>
    <w:rsid w:val="00EC4A60"/>
    <w:rsid w:val="00EC555E"/>
    <w:rsid w:val="00ED4BCD"/>
    <w:rsid w:val="00EE2CF6"/>
    <w:rsid w:val="00F06066"/>
    <w:rsid w:val="00F12EE6"/>
    <w:rsid w:val="00F154EB"/>
    <w:rsid w:val="00F2515F"/>
    <w:rsid w:val="00F40501"/>
    <w:rsid w:val="00F52AE9"/>
    <w:rsid w:val="00F768F3"/>
    <w:rsid w:val="00F831CB"/>
    <w:rsid w:val="00FA0647"/>
    <w:rsid w:val="00FA0FBB"/>
    <w:rsid w:val="00FB1A76"/>
    <w:rsid w:val="00FB395B"/>
    <w:rsid w:val="00FC477F"/>
    <w:rsid w:val="00FE389A"/>
    <w:rsid w:val="00FE5E5E"/>
    <w:rsid w:val="00FF56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9A46D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477D"/>
    <w:pPr>
      <w:ind w:left="720"/>
      <w:contextualSpacing/>
    </w:pPr>
    <w:rPr>
      <w:rFonts w:eastAsia="Times New Roman"/>
      <w:sz w:val="20"/>
      <w:szCs w:val="20"/>
    </w:rPr>
  </w:style>
  <w:style w:type="character" w:styleId="Hyperlink">
    <w:name w:val="Hyperlink"/>
    <w:basedOn w:val="DefaultParagraphFont"/>
    <w:uiPriority w:val="99"/>
    <w:unhideWhenUsed/>
    <w:rsid w:val="00BE435C"/>
    <w:rPr>
      <w:color w:val="0000FF"/>
      <w:u w:val="single"/>
    </w:rPr>
  </w:style>
  <w:style w:type="character" w:styleId="Emphasis">
    <w:name w:val="Emphasis"/>
    <w:basedOn w:val="DefaultParagraphFont"/>
    <w:uiPriority w:val="20"/>
    <w:qFormat/>
    <w:rsid w:val="00455EEA"/>
    <w:rPr>
      <w:i/>
      <w:iCs/>
    </w:rPr>
  </w:style>
  <w:style w:type="character" w:customStyle="1" w:styleId="reference-text">
    <w:name w:val="reference-text"/>
    <w:basedOn w:val="DefaultParagraphFont"/>
    <w:rsid w:val="00811444"/>
  </w:style>
  <w:style w:type="character" w:customStyle="1" w:styleId="cit-auth">
    <w:name w:val="cit-auth"/>
    <w:basedOn w:val="DefaultParagraphFont"/>
    <w:rsid w:val="00C9632D"/>
  </w:style>
  <w:style w:type="character" w:customStyle="1" w:styleId="cit-name-surname">
    <w:name w:val="cit-name-surname"/>
    <w:basedOn w:val="DefaultParagraphFont"/>
    <w:rsid w:val="00C9632D"/>
  </w:style>
  <w:style w:type="character" w:customStyle="1" w:styleId="cit-name-given-names">
    <w:name w:val="cit-name-given-names"/>
    <w:basedOn w:val="DefaultParagraphFont"/>
    <w:rsid w:val="00C9632D"/>
  </w:style>
  <w:style w:type="character" w:customStyle="1" w:styleId="cit-etal">
    <w:name w:val="cit-etal"/>
    <w:basedOn w:val="DefaultParagraphFont"/>
    <w:rsid w:val="00C9632D"/>
  </w:style>
  <w:style w:type="character" w:styleId="HTMLCite">
    <w:name w:val="HTML Cite"/>
    <w:basedOn w:val="DefaultParagraphFont"/>
    <w:uiPriority w:val="99"/>
    <w:semiHidden/>
    <w:unhideWhenUsed/>
    <w:rsid w:val="00C9632D"/>
    <w:rPr>
      <w:i/>
      <w:iCs/>
    </w:rPr>
  </w:style>
  <w:style w:type="character" w:customStyle="1" w:styleId="cit-article-title">
    <w:name w:val="cit-article-title"/>
    <w:basedOn w:val="DefaultParagraphFont"/>
    <w:rsid w:val="00C9632D"/>
  </w:style>
  <w:style w:type="character" w:customStyle="1" w:styleId="cit-pub-date">
    <w:name w:val="cit-pub-date"/>
    <w:basedOn w:val="DefaultParagraphFont"/>
    <w:rsid w:val="00C9632D"/>
  </w:style>
  <w:style w:type="character" w:customStyle="1" w:styleId="cit-vol">
    <w:name w:val="cit-vol"/>
    <w:basedOn w:val="DefaultParagraphFont"/>
    <w:rsid w:val="00C9632D"/>
  </w:style>
  <w:style w:type="character" w:customStyle="1" w:styleId="cit-fpage">
    <w:name w:val="cit-fpage"/>
    <w:basedOn w:val="DefaultParagraphFont"/>
    <w:rsid w:val="00C9632D"/>
  </w:style>
  <w:style w:type="character" w:customStyle="1" w:styleId="cit-lpage">
    <w:name w:val="cit-lpage"/>
    <w:basedOn w:val="DefaultParagraphFont"/>
    <w:rsid w:val="00C9632D"/>
  </w:style>
  <w:style w:type="paragraph" w:styleId="BalloonText">
    <w:name w:val="Balloon Text"/>
    <w:basedOn w:val="Normal"/>
    <w:link w:val="BalloonTextChar"/>
    <w:uiPriority w:val="99"/>
    <w:semiHidden/>
    <w:unhideWhenUsed/>
    <w:rsid w:val="00C861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6159"/>
    <w:rPr>
      <w:rFonts w:ascii="Lucida Grande" w:hAnsi="Lucida Grande" w:cs="Lucida Grande"/>
      <w:sz w:val="18"/>
      <w:szCs w:val="18"/>
    </w:rPr>
  </w:style>
  <w:style w:type="character" w:styleId="Strong">
    <w:name w:val="Strong"/>
    <w:basedOn w:val="DefaultParagraphFont"/>
    <w:uiPriority w:val="22"/>
    <w:qFormat/>
    <w:rsid w:val="00C725F1"/>
    <w:rPr>
      <w:b/>
      <w:bCs/>
    </w:rPr>
  </w:style>
  <w:style w:type="paragraph" w:styleId="NormalWeb">
    <w:name w:val="Normal (Web)"/>
    <w:basedOn w:val="Normal"/>
    <w:uiPriority w:val="99"/>
    <w:semiHidden/>
    <w:unhideWhenUsed/>
    <w:rsid w:val="00B922F5"/>
    <w:pPr>
      <w:spacing w:before="100" w:beforeAutospacing="1" w:after="100" w:afterAutospacing="1"/>
    </w:pPr>
    <w:rPr>
      <w:rFonts w:ascii="Times" w:hAnsi="Times"/>
      <w:sz w:val="20"/>
      <w:szCs w:val="20"/>
    </w:rPr>
  </w:style>
  <w:style w:type="paragraph" w:styleId="Header">
    <w:name w:val="header"/>
    <w:basedOn w:val="Normal"/>
    <w:link w:val="HeaderChar"/>
    <w:uiPriority w:val="99"/>
    <w:unhideWhenUsed/>
    <w:rsid w:val="00F06066"/>
    <w:pPr>
      <w:tabs>
        <w:tab w:val="center" w:pos="4320"/>
        <w:tab w:val="right" w:pos="8640"/>
      </w:tabs>
    </w:pPr>
  </w:style>
  <w:style w:type="character" w:customStyle="1" w:styleId="HeaderChar">
    <w:name w:val="Header Char"/>
    <w:basedOn w:val="DefaultParagraphFont"/>
    <w:link w:val="Header"/>
    <w:uiPriority w:val="99"/>
    <w:rsid w:val="00F06066"/>
  </w:style>
  <w:style w:type="paragraph" w:styleId="Footer">
    <w:name w:val="footer"/>
    <w:basedOn w:val="Normal"/>
    <w:link w:val="FooterChar"/>
    <w:uiPriority w:val="99"/>
    <w:unhideWhenUsed/>
    <w:rsid w:val="00F06066"/>
    <w:pPr>
      <w:tabs>
        <w:tab w:val="center" w:pos="4320"/>
        <w:tab w:val="right" w:pos="8640"/>
      </w:tabs>
    </w:pPr>
  </w:style>
  <w:style w:type="character" w:customStyle="1" w:styleId="FooterChar">
    <w:name w:val="Footer Char"/>
    <w:basedOn w:val="DefaultParagraphFont"/>
    <w:link w:val="Footer"/>
    <w:uiPriority w:val="99"/>
    <w:rsid w:val="00F0606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477D"/>
    <w:pPr>
      <w:ind w:left="720"/>
      <w:contextualSpacing/>
    </w:pPr>
    <w:rPr>
      <w:rFonts w:eastAsia="Times New Roman"/>
      <w:sz w:val="20"/>
      <w:szCs w:val="20"/>
    </w:rPr>
  </w:style>
  <w:style w:type="character" w:styleId="Hyperlink">
    <w:name w:val="Hyperlink"/>
    <w:basedOn w:val="DefaultParagraphFont"/>
    <w:uiPriority w:val="99"/>
    <w:unhideWhenUsed/>
    <w:rsid w:val="00BE435C"/>
    <w:rPr>
      <w:color w:val="0000FF"/>
      <w:u w:val="single"/>
    </w:rPr>
  </w:style>
  <w:style w:type="character" w:styleId="Emphasis">
    <w:name w:val="Emphasis"/>
    <w:basedOn w:val="DefaultParagraphFont"/>
    <w:uiPriority w:val="20"/>
    <w:qFormat/>
    <w:rsid w:val="00455EEA"/>
    <w:rPr>
      <w:i/>
      <w:iCs/>
    </w:rPr>
  </w:style>
  <w:style w:type="character" w:customStyle="1" w:styleId="reference-text">
    <w:name w:val="reference-text"/>
    <w:basedOn w:val="DefaultParagraphFont"/>
    <w:rsid w:val="00811444"/>
  </w:style>
  <w:style w:type="character" w:customStyle="1" w:styleId="cit-auth">
    <w:name w:val="cit-auth"/>
    <w:basedOn w:val="DefaultParagraphFont"/>
    <w:rsid w:val="00C9632D"/>
  </w:style>
  <w:style w:type="character" w:customStyle="1" w:styleId="cit-name-surname">
    <w:name w:val="cit-name-surname"/>
    <w:basedOn w:val="DefaultParagraphFont"/>
    <w:rsid w:val="00C9632D"/>
  </w:style>
  <w:style w:type="character" w:customStyle="1" w:styleId="cit-name-given-names">
    <w:name w:val="cit-name-given-names"/>
    <w:basedOn w:val="DefaultParagraphFont"/>
    <w:rsid w:val="00C9632D"/>
  </w:style>
  <w:style w:type="character" w:customStyle="1" w:styleId="cit-etal">
    <w:name w:val="cit-etal"/>
    <w:basedOn w:val="DefaultParagraphFont"/>
    <w:rsid w:val="00C9632D"/>
  </w:style>
  <w:style w:type="character" w:styleId="HTMLCite">
    <w:name w:val="HTML Cite"/>
    <w:basedOn w:val="DefaultParagraphFont"/>
    <w:uiPriority w:val="99"/>
    <w:semiHidden/>
    <w:unhideWhenUsed/>
    <w:rsid w:val="00C9632D"/>
    <w:rPr>
      <w:i/>
      <w:iCs/>
    </w:rPr>
  </w:style>
  <w:style w:type="character" w:customStyle="1" w:styleId="cit-article-title">
    <w:name w:val="cit-article-title"/>
    <w:basedOn w:val="DefaultParagraphFont"/>
    <w:rsid w:val="00C9632D"/>
  </w:style>
  <w:style w:type="character" w:customStyle="1" w:styleId="cit-pub-date">
    <w:name w:val="cit-pub-date"/>
    <w:basedOn w:val="DefaultParagraphFont"/>
    <w:rsid w:val="00C9632D"/>
  </w:style>
  <w:style w:type="character" w:customStyle="1" w:styleId="cit-vol">
    <w:name w:val="cit-vol"/>
    <w:basedOn w:val="DefaultParagraphFont"/>
    <w:rsid w:val="00C9632D"/>
  </w:style>
  <w:style w:type="character" w:customStyle="1" w:styleId="cit-fpage">
    <w:name w:val="cit-fpage"/>
    <w:basedOn w:val="DefaultParagraphFont"/>
    <w:rsid w:val="00C9632D"/>
  </w:style>
  <w:style w:type="character" w:customStyle="1" w:styleId="cit-lpage">
    <w:name w:val="cit-lpage"/>
    <w:basedOn w:val="DefaultParagraphFont"/>
    <w:rsid w:val="00C9632D"/>
  </w:style>
  <w:style w:type="paragraph" w:styleId="BalloonText">
    <w:name w:val="Balloon Text"/>
    <w:basedOn w:val="Normal"/>
    <w:link w:val="BalloonTextChar"/>
    <w:uiPriority w:val="99"/>
    <w:semiHidden/>
    <w:unhideWhenUsed/>
    <w:rsid w:val="00C861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6159"/>
    <w:rPr>
      <w:rFonts w:ascii="Lucida Grande" w:hAnsi="Lucida Grande" w:cs="Lucida Grande"/>
      <w:sz w:val="18"/>
      <w:szCs w:val="18"/>
    </w:rPr>
  </w:style>
  <w:style w:type="character" w:styleId="Strong">
    <w:name w:val="Strong"/>
    <w:basedOn w:val="DefaultParagraphFont"/>
    <w:uiPriority w:val="22"/>
    <w:qFormat/>
    <w:rsid w:val="00C725F1"/>
    <w:rPr>
      <w:b/>
      <w:bCs/>
    </w:rPr>
  </w:style>
  <w:style w:type="paragraph" w:styleId="NormalWeb">
    <w:name w:val="Normal (Web)"/>
    <w:basedOn w:val="Normal"/>
    <w:uiPriority w:val="99"/>
    <w:semiHidden/>
    <w:unhideWhenUsed/>
    <w:rsid w:val="00B922F5"/>
    <w:pPr>
      <w:spacing w:before="100" w:beforeAutospacing="1" w:after="100" w:afterAutospacing="1"/>
    </w:pPr>
    <w:rPr>
      <w:rFonts w:ascii="Times" w:hAnsi="Times"/>
      <w:sz w:val="20"/>
      <w:szCs w:val="20"/>
    </w:rPr>
  </w:style>
  <w:style w:type="paragraph" w:styleId="Header">
    <w:name w:val="header"/>
    <w:basedOn w:val="Normal"/>
    <w:link w:val="HeaderChar"/>
    <w:uiPriority w:val="99"/>
    <w:unhideWhenUsed/>
    <w:rsid w:val="00F06066"/>
    <w:pPr>
      <w:tabs>
        <w:tab w:val="center" w:pos="4320"/>
        <w:tab w:val="right" w:pos="8640"/>
      </w:tabs>
    </w:pPr>
  </w:style>
  <w:style w:type="character" w:customStyle="1" w:styleId="HeaderChar">
    <w:name w:val="Header Char"/>
    <w:basedOn w:val="DefaultParagraphFont"/>
    <w:link w:val="Header"/>
    <w:uiPriority w:val="99"/>
    <w:rsid w:val="00F06066"/>
  </w:style>
  <w:style w:type="paragraph" w:styleId="Footer">
    <w:name w:val="footer"/>
    <w:basedOn w:val="Normal"/>
    <w:link w:val="FooterChar"/>
    <w:uiPriority w:val="99"/>
    <w:unhideWhenUsed/>
    <w:rsid w:val="00F06066"/>
    <w:pPr>
      <w:tabs>
        <w:tab w:val="center" w:pos="4320"/>
        <w:tab w:val="right" w:pos="8640"/>
      </w:tabs>
    </w:pPr>
  </w:style>
  <w:style w:type="character" w:customStyle="1" w:styleId="FooterChar">
    <w:name w:val="Footer Char"/>
    <w:basedOn w:val="DefaultParagraphFont"/>
    <w:link w:val="Footer"/>
    <w:uiPriority w:val="99"/>
    <w:rsid w:val="00F06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251622">
      <w:bodyDiv w:val="1"/>
      <w:marLeft w:val="0"/>
      <w:marRight w:val="0"/>
      <w:marTop w:val="0"/>
      <w:marBottom w:val="0"/>
      <w:divBdr>
        <w:top w:val="none" w:sz="0" w:space="0" w:color="auto"/>
        <w:left w:val="none" w:sz="0" w:space="0" w:color="auto"/>
        <w:bottom w:val="none" w:sz="0" w:space="0" w:color="auto"/>
        <w:right w:val="none" w:sz="0" w:space="0" w:color="auto"/>
      </w:divBdr>
      <w:divsChild>
        <w:div w:id="423889305">
          <w:marLeft w:val="302"/>
          <w:marRight w:val="0"/>
          <w:marTop w:val="86"/>
          <w:marBottom w:val="0"/>
          <w:divBdr>
            <w:top w:val="none" w:sz="0" w:space="0" w:color="auto"/>
            <w:left w:val="none" w:sz="0" w:space="0" w:color="auto"/>
            <w:bottom w:val="none" w:sz="0" w:space="0" w:color="auto"/>
            <w:right w:val="none" w:sz="0" w:space="0" w:color="auto"/>
          </w:divBdr>
        </w:div>
      </w:divsChild>
    </w:div>
    <w:div w:id="1336608562">
      <w:bodyDiv w:val="1"/>
      <w:marLeft w:val="0"/>
      <w:marRight w:val="0"/>
      <w:marTop w:val="0"/>
      <w:marBottom w:val="0"/>
      <w:divBdr>
        <w:top w:val="none" w:sz="0" w:space="0" w:color="auto"/>
        <w:left w:val="none" w:sz="0" w:space="0" w:color="auto"/>
        <w:bottom w:val="none" w:sz="0" w:space="0" w:color="auto"/>
        <w:right w:val="none" w:sz="0" w:space="0" w:color="auto"/>
      </w:divBdr>
      <w:divsChild>
        <w:div w:id="629941629">
          <w:marLeft w:val="302"/>
          <w:marRight w:val="0"/>
          <w:marTop w:val="86"/>
          <w:marBottom w:val="0"/>
          <w:divBdr>
            <w:top w:val="none" w:sz="0" w:space="0" w:color="auto"/>
            <w:left w:val="none" w:sz="0" w:space="0" w:color="auto"/>
            <w:bottom w:val="none" w:sz="0" w:space="0" w:color="auto"/>
            <w:right w:val="none" w:sz="0" w:space="0" w:color="auto"/>
          </w:divBdr>
        </w:div>
      </w:divsChild>
    </w:div>
    <w:div w:id="1365786847">
      <w:bodyDiv w:val="1"/>
      <w:marLeft w:val="0"/>
      <w:marRight w:val="0"/>
      <w:marTop w:val="0"/>
      <w:marBottom w:val="0"/>
      <w:divBdr>
        <w:top w:val="none" w:sz="0" w:space="0" w:color="auto"/>
        <w:left w:val="none" w:sz="0" w:space="0" w:color="auto"/>
        <w:bottom w:val="none" w:sz="0" w:space="0" w:color="auto"/>
        <w:right w:val="none" w:sz="0" w:space="0" w:color="auto"/>
      </w:divBdr>
      <w:divsChild>
        <w:div w:id="1149903850">
          <w:marLeft w:val="0"/>
          <w:marRight w:val="0"/>
          <w:marTop w:val="0"/>
          <w:marBottom w:val="0"/>
          <w:divBdr>
            <w:top w:val="none" w:sz="0" w:space="0" w:color="auto"/>
            <w:left w:val="none" w:sz="0" w:space="0" w:color="auto"/>
            <w:bottom w:val="none" w:sz="0" w:space="0" w:color="auto"/>
            <w:right w:val="none" w:sz="0" w:space="0" w:color="auto"/>
          </w:divBdr>
        </w:div>
      </w:divsChild>
    </w:div>
    <w:div w:id="2012297831">
      <w:bodyDiv w:val="1"/>
      <w:marLeft w:val="0"/>
      <w:marRight w:val="0"/>
      <w:marTop w:val="0"/>
      <w:marBottom w:val="0"/>
      <w:divBdr>
        <w:top w:val="none" w:sz="0" w:space="0" w:color="auto"/>
        <w:left w:val="none" w:sz="0" w:space="0" w:color="auto"/>
        <w:bottom w:val="none" w:sz="0" w:space="0" w:color="auto"/>
        <w:right w:val="none" w:sz="0" w:space="0" w:color="auto"/>
      </w:divBdr>
    </w:div>
    <w:div w:id="203892156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419</TotalTime>
  <Pages>16</Pages>
  <Words>4165</Words>
  <Characters>23409</Characters>
  <Application>Microsoft Macintosh Word</Application>
  <DocSecurity>0</DocSecurity>
  <Lines>360</Lines>
  <Paragraphs>25</Paragraphs>
  <ScaleCrop>false</ScaleCrop>
  <Company/>
  <LinksUpToDate>false</LinksUpToDate>
  <CharactersWithSpaces>27549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Reid Medlin</dc:creator>
  <cp:keywords/>
  <dc:description/>
  <cp:lastModifiedBy>Reid Medlin</cp:lastModifiedBy>
  <cp:revision>216</cp:revision>
  <dcterms:created xsi:type="dcterms:W3CDTF">2014-12-01T15:20:00Z</dcterms:created>
  <dcterms:modified xsi:type="dcterms:W3CDTF">2014-12-04T16:03:00Z</dcterms:modified>
</cp:coreProperties>
</file>